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134AD754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8901B8">
        <w:rPr>
          <w:sz w:val="28"/>
          <w:szCs w:val="28"/>
        </w:rPr>
        <w:t>Адельгареев Руслан Рустамович</w:t>
      </w:r>
    </w:p>
    <w:p w14:paraId="3545719B" w14:textId="32904295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901B8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3C8BBAB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№1. Создание диаграммы прецедентов (вариантов использования). </w:t>
      </w:r>
    </w:p>
    <w:p w14:paraId="5787D56D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1139E9A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8B831EB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5FD226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00DC41D" w14:textId="77777777" w:rsidR="008901B8" w:rsidRPr="008901B8" w:rsidRDefault="008901B8" w:rsidP="008901B8">
      <w:pPr>
        <w:numPr>
          <w:ilvl w:val="0"/>
          <w:numId w:val="2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B294AE1" w14:textId="77777777" w:rsidR="008901B8" w:rsidRPr="008901B8" w:rsidRDefault="008901B8" w:rsidP="008901B8">
      <w:pPr>
        <w:numPr>
          <w:ilvl w:val="0"/>
          <w:numId w:val="2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2A5203" w14:textId="77777777" w:rsidR="008901B8" w:rsidRPr="008901B8" w:rsidRDefault="008901B8" w:rsidP="008901B8">
      <w:pPr>
        <w:numPr>
          <w:ilvl w:val="0"/>
          <w:numId w:val="2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64990060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5CB0410F" w14:textId="77777777" w:rsidR="008901B8" w:rsidRPr="008901B8" w:rsidRDefault="008901B8" w:rsidP="008901B8">
      <w:pPr>
        <w:spacing w:line="259" w:lineRule="auto"/>
        <w:ind w:left="910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Диаграмма вариантов использования (Диаграмма прецедентов). </w:t>
      </w:r>
    </w:p>
    <w:p w14:paraId="70BCC2A6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 </w:t>
      </w:r>
    </w:p>
    <w:p w14:paraId="14845138" w14:textId="77777777" w:rsidR="008901B8" w:rsidRPr="008901B8" w:rsidRDefault="008901B8" w:rsidP="008901B8">
      <w:pPr>
        <w:spacing w:after="155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14:paraId="332C8F0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При построении диаграммы используют следующие элементы: </w:t>
      </w:r>
    </w:p>
    <w:p w14:paraId="4F772C5F" w14:textId="77777777" w:rsidR="008901B8" w:rsidRPr="008901B8" w:rsidRDefault="008901B8" w:rsidP="008901B8">
      <w:pPr>
        <w:spacing w:after="100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29EE20E3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действующее лицо (актер) </w:t>
      </w:r>
      <w:r w:rsidRPr="008901B8">
        <w:rPr>
          <w:sz w:val="28"/>
          <w:szCs w:val="28"/>
        </w:rP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14:paraId="2F707F47" w14:textId="77777777" w:rsidR="008901B8" w:rsidRPr="008901B8" w:rsidRDefault="008901B8" w:rsidP="008901B8">
      <w:pPr>
        <w:numPr>
          <w:ilvl w:val="0"/>
          <w:numId w:val="21"/>
        </w:numPr>
        <w:spacing w:after="155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прецеденты </w:t>
      </w:r>
      <w:r w:rsidRPr="008901B8">
        <w:rPr>
          <w:sz w:val="28"/>
          <w:szCs w:val="28"/>
        </w:rP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14:paraId="09CFA655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Между прецедентами существуют связи: </w:t>
      </w:r>
    </w:p>
    <w:p w14:paraId="7E2CAEB1" w14:textId="77777777" w:rsidR="008901B8" w:rsidRPr="008901B8" w:rsidRDefault="008901B8" w:rsidP="008901B8">
      <w:pPr>
        <w:spacing w:after="94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1336B5C3" w14:textId="77777777" w:rsidR="008901B8" w:rsidRPr="008901B8" w:rsidRDefault="008901B8" w:rsidP="008901B8">
      <w:pPr>
        <w:numPr>
          <w:ilvl w:val="0"/>
          <w:numId w:val="21"/>
        </w:numPr>
        <w:spacing w:after="173" w:line="2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обобщение </w:t>
      </w:r>
      <w:r w:rsidRPr="008901B8">
        <w:rPr>
          <w:sz w:val="28"/>
          <w:szCs w:val="28"/>
        </w:rPr>
        <w:t xml:space="preserve">– показывает общность ролей; </w:t>
      </w:r>
    </w:p>
    <w:p w14:paraId="34E7BE40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включение </w:t>
      </w:r>
      <w:r w:rsidRPr="008901B8">
        <w:rPr>
          <w:sz w:val="28"/>
          <w:szCs w:val="28"/>
        </w:rP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14:paraId="397A70DF" w14:textId="77777777" w:rsidR="008901B8" w:rsidRPr="008901B8" w:rsidRDefault="008901B8" w:rsidP="008901B8">
      <w:pPr>
        <w:numPr>
          <w:ilvl w:val="0"/>
          <w:numId w:val="21"/>
        </w:numPr>
        <w:spacing w:after="146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lastRenderedPageBreak/>
        <w:t xml:space="preserve">расширение </w:t>
      </w:r>
      <w:r w:rsidRPr="008901B8">
        <w:rPr>
          <w:sz w:val="28"/>
          <w:szCs w:val="28"/>
        </w:rPr>
        <w:t xml:space="preserve">– показывает взаимосвязь базового прецедента и прецедентов, которые являются специальными случаями. </w:t>
      </w:r>
    </w:p>
    <w:p w14:paraId="2948E9C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6D3CB40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«Предприятие по сборке и продаже компьютеров»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CD28638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работе с клиентами </w:t>
      </w:r>
      <w:r w:rsidRPr="008901B8">
        <w:rPr>
          <w:sz w:val="28"/>
          <w:szCs w:val="28"/>
        </w:rPr>
        <w:t xml:space="preserve">– сотрудник, который работает с заказчиком и его заказом. </w:t>
      </w:r>
    </w:p>
    <w:p w14:paraId="4373F5EC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снабжению </w:t>
      </w:r>
      <w:r w:rsidRPr="008901B8">
        <w:rPr>
          <w:sz w:val="28"/>
          <w:szCs w:val="28"/>
        </w:rPr>
        <w:t xml:space="preserve">– сотрудник, занимающийся закупкой необходимых комплектующих. </w:t>
      </w:r>
    </w:p>
    <w:p w14:paraId="52AE47EF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настольных компьютеров </w:t>
      </w:r>
      <w:r w:rsidRPr="008901B8">
        <w:rPr>
          <w:sz w:val="28"/>
          <w:szCs w:val="28"/>
        </w:rPr>
        <w:t xml:space="preserve">– сотрудник, который занимается сборкой настольных компьютеров. </w:t>
      </w:r>
    </w:p>
    <w:p w14:paraId="030A7691" w14:textId="77777777" w:rsidR="008901B8" w:rsidRPr="008901B8" w:rsidRDefault="008901B8" w:rsidP="008901B8">
      <w:pPr>
        <w:numPr>
          <w:ilvl w:val="0"/>
          <w:numId w:val="22"/>
        </w:numPr>
        <w:spacing w:after="149" w:line="2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ноутбуков </w:t>
      </w:r>
      <w:r w:rsidRPr="008901B8">
        <w:rPr>
          <w:sz w:val="28"/>
          <w:szCs w:val="28"/>
        </w:rPr>
        <w:t xml:space="preserve">– сотрудник, занимающийся сборкой ноутбуков. </w:t>
      </w:r>
    </w:p>
    <w:p w14:paraId="43734AE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</w:t>
      </w:r>
      <w:r w:rsidRPr="008901B8">
        <w:rPr>
          <w:i/>
          <w:sz w:val="28"/>
          <w:szCs w:val="28"/>
        </w:rPr>
        <w:tab/>
        <w:t xml:space="preserve">по </w:t>
      </w:r>
      <w:r w:rsidRPr="008901B8">
        <w:rPr>
          <w:i/>
          <w:sz w:val="28"/>
          <w:szCs w:val="28"/>
        </w:rPr>
        <w:tab/>
        <w:t xml:space="preserve">тестированию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который </w:t>
      </w:r>
      <w:r w:rsidRPr="008901B8">
        <w:rPr>
          <w:sz w:val="28"/>
          <w:szCs w:val="28"/>
        </w:rPr>
        <w:tab/>
        <w:t xml:space="preserve">занимается тестированием компьютеров. </w:t>
      </w:r>
    </w:p>
    <w:p w14:paraId="390C680B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Завскладом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заведующий </w:t>
      </w:r>
      <w:r w:rsidRPr="008901B8">
        <w:rPr>
          <w:sz w:val="28"/>
          <w:szCs w:val="28"/>
        </w:rPr>
        <w:tab/>
        <w:t xml:space="preserve">складом комплектующих частей. </w:t>
      </w:r>
      <w:r w:rsidRPr="008901B8">
        <w:rPr>
          <w:sz w:val="28"/>
          <w:szCs w:val="28"/>
        </w:rPr>
        <w:br w:type="page"/>
      </w:r>
    </w:p>
    <w:p w14:paraId="2C00315C" w14:textId="77777777" w:rsidR="008901B8" w:rsidRPr="008901B8" w:rsidRDefault="008901B8" w:rsidP="008901B8">
      <w:pPr>
        <w:spacing w:after="282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1E725537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Работа с заказом </w:t>
      </w:r>
      <w:r w:rsidRPr="008901B8">
        <w:rPr>
          <w:sz w:val="28"/>
          <w:szCs w:val="28"/>
        </w:rPr>
        <w:t xml:space="preserve">– позволяет менеджеру по работе с клиентами выполнять действия с заказом (добавлять, изменять, удалять). </w:t>
      </w:r>
    </w:p>
    <w:p w14:paraId="233BDAB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клиенте </w:t>
      </w:r>
      <w:r w:rsidRPr="008901B8">
        <w:rPr>
          <w:sz w:val="28"/>
          <w:szCs w:val="28"/>
        </w:rP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14:paraId="4A41D5F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поставщиках </w:t>
      </w:r>
      <w:r w:rsidRPr="008901B8">
        <w:rPr>
          <w:sz w:val="28"/>
          <w:szCs w:val="28"/>
        </w:rPr>
        <w:t xml:space="preserve">– позволяет менеджеру по снабжению добавлять или удалять поставщиков. </w:t>
      </w:r>
    </w:p>
    <w:p w14:paraId="5AB9ABB5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комплектующих </w:t>
      </w:r>
      <w:r w:rsidRPr="008901B8">
        <w:rPr>
          <w:sz w:val="28"/>
          <w:szCs w:val="28"/>
        </w:rP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14:paraId="1FFD363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Сборка компьютеров </w:t>
      </w:r>
      <w:r w:rsidRPr="008901B8">
        <w:rPr>
          <w:sz w:val="28"/>
          <w:szCs w:val="28"/>
        </w:rPr>
        <w:t xml:space="preserve">– позволяет инженеру по сборке просматривать наряды на сборку компьютеров и отмечать ход выполнения работы. </w:t>
      </w:r>
    </w:p>
    <w:p w14:paraId="5014BDCE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Требование необходимых комплектующих </w:t>
      </w:r>
      <w:r w:rsidRPr="008901B8">
        <w:rPr>
          <w:sz w:val="28"/>
          <w:szCs w:val="28"/>
        </w:rPr>
        <w:t xml:space="preserve">– предназначено для запроса инженером по сборке необходимых запчастей со склада. </w:t>
      </w:r>
    </w:p>
    <w:p w14:paraId="46C27708" w14:textId="77777777" w:rsidR="008901B8" w:rsidRPr="008901B8" w:rsidRDefault="008901B8" w:rsidP="008901B8">
      <w:pPr>
        <w:numPr>
          <w:ilvl w:val="0"/>
          <w:numId w:val="22"/>
        </w:numPr>
        <w:spacing w:after="16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Учет поступления и выдачи комплектующих </w:t>
      </w:r>
      <w:r w:rsidRPr="008901B8">
        <w:rPr>
          <w:sz w:val="28"/>
          <w:szCs w:val="28"/>
        </w:rPr>
        <w:t xml:space="preserve">– позволяет завскладом вести учет поступления и выдачи запчастей со склада. </w:t>
      </w:r>
    </w:p>
    <w:p w14:paraId="2D5D36AA" w14:textId="77777777" w:rsidR="008901B8" w:rsidRPr="008901B8" w:rsidRDefault="008901B8" w:rsidP="008901B8">
      <w:pPr>
        <w:spacing w:after="30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</w:t>
      </w:r>
      <w:proofErr w:type="spellStart"/>
      <w:r w:rsidRPr="008901B8">
        <w:rPr>
          <w:sz w:val="28"/>
          <w:szCs w:val="28"/>
        </w:rPr>
        <w:t>Visio</w:t>
      </w:r>
      <w:proofErr w:type="spellEnd"/>
      <w:r w:rsidRPr="008901B8">
        <w:rPr>
          <w:sz w:val="28"/>
          <w:szCs w:val="28"/>
        </w:rPr>
        <w:t xml:space="preserve"> фигура называется </w:t>
      </w:r>
    </w:p>
    <w:p w14:paraId="6C06D98B" w14:textId="77777777" w:rsidR="008901B8" w:rsidRPr="008901B8" w:rsidRDefault="008901B8" w:rsidP="008901B8">
      <w:pPr>
        <w:spacing w:line="259" w:lineRule="auto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«Ассоциация»</w:t>
      </w:r>
      <w:r w:rsidRPr="008901B8">
        <w:rPr>
          <w:sz w:val="28"/>
          <w:szCs w:val="28"/>
        </w:rPr>
        <w:t xml:space="preserve">). </w:t>
      </w:r>
    </w:p>
    <w:p w14:paraId="5DD495C4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F826C2D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Для удобства связи «Менеджера по сборке настольных компьютеров» и </w:t>
      </w:r>
    </w:p>
    <w:p w14:paraId="097CCA60" w14:textId="77777777" w:rsidR="008901B8" w:rsidRPr="008901B8" w:rsidRDefault="008901B8" w:rsidP="008901B8">
      <w:pPr>
        <w:spacing w:after="16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 w:rsidRPr="008901B8">
        <w:rPr>
          <w:i/>
          <w:sz w:val="28"/>
          <w:szCs w:val="28"/>
        </w:rPr>
        <w:t>«Обобщение»</w:t>
      </w:r>
      <w:r w:rsidRPr="008901B8">
        <w:rPr>
          <w:sz w:val="28"/>
          <w:szCs w:val="28"/>
        </w:rPr>
        <w:t xml:space="preserve">. </w:t>
      </w:r>
    </w:p>
    <w:p w14:paraId="136C780E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14:paraId="434666E2" w14:textId="77777777" w:rsidR="008901B8" w:rsidRPr="008901B8" w:rsidRDefault="008901B8" w:rsidP="008901B8">
      <w:pPr>
        <w:spacing w:after="160"/>
        <w:rPr>
          <w:sz w:val="28"/>
          <w:szCs w:val="28"/>
        </w:rPr>
      </w:pPr>
      <w:r w:rsidRPr="008901B8">
        <w:rPr>
          <w:i/>
          <w:sz w:val="28"/>
          <w:szCs w:val="28"/>
        </w:rPr>
        <w:t>«Расширить»</w:t>
      </w:r>
      <w:r w:rsidRPr="008901B8">
        <w:rPr>
          <w:sz w:val="28"/>
          <w:szCs w:val="28"/>
        </w:rP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14:paraId="7EE5D5F9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14:paraId="524EA48C" w14:textId="77777777" w:rsidR="008901B8" w:rsidRPr="008901B8" w:rsidRDefault="008901B8" w:rsidP="008901B8">
      <w:pPr>
        <w:spacing w:after="155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«Включить»</w:t>
      </w:r>
      <w:r w:rsidRPr="008901B8">
        <w:rPr>
          <w:sz w:val="28"/>
          <w:szCs w:val="28"/>
        </w:rPr>
        <w:t xml:space="preserve">), поскольку для сборки компьютеров нужно заказывать необходимые запчасти со склада. </w:t>
      </w:r>
    </w:p>
    <w:p w14:paraId="2E0B68B3" w14:textId="77777777" w:rsidR="008901B8" w:rsidRPr="008901B8" w:rsidRDefault="008901B8" w:rsidP="008901B8">
      <w:pPr>
        <w:keepNext/>
        <w:spacing w:after="15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9710" w:dyaOrig="10710" w14:anchorId="4994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7.25pt;height:253.5pt" o:ole="">
            <v:imagedata r:id="rId7" o:title=""/>
          </v:shape>
          <o:OLEObject Type="Embed" ProgID="Visio.Drawing.15" ShapeID="_x0000_i1041" DrawAspect="Content" ObjectID="_1758668641" r:id="rId8"/>
        </w:object>
      </w:r>
    </w:p>
    <w:p w14:paraId="06BC6CB4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bookmarkStart w:id="0" w:name="_GoBack"/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1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bookmarkEnd w:id="0"/>
    <w:p w14:paraId="05A2E86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5BB1F18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06A4CD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B7956B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900B1B9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AAF012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16CC84F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3F1505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48DDF5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1BE35C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9228C2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D66B0A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794726D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№2. Создание диаграммы прецедентов (вариантов использования). </w:t>
      </w:r>
    </w:p>
    <w:p w14:paraId="74F6A56C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5351AAB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14CE477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E59AFA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C7711F5" w14:textId="77777777" w:rsidR="008901B8" w:rsidRPr="008901B8" w:rsidRDefault="008901B8" w:rsidP="008901B8">
      <w:pPr>
        <w:numPr>
          <w:ilvl w:val="0"/>
          <w:numId w:val="26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3EF8B321" w14:textId="77777777" w:rsidR="008901B8" w:rsidRPr="008901B8" w:rsidRDefault="008901B8" w:rsidP="008901B8">
      <w:pPr>
        <w:numPr>
          <w:ilvl w:val="0"/>
          <w:numId w:val="26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5FCCBA2" w14:textId="77777777" w:rsidR="008901B8" w:rsidRPr="008901B8" w:rsidRDefault="008901B8" w:rsidP="008901B8">
      <w:pPr>
        <w:numPr>
          <w:ilvl w:val="0"/>
          <w:numId w:val="26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1CED1B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26C0E3D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50F0E646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«Мобильное приложение по оплате услуг за электроэнергию»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4BEF65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6CFDBC40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Зарегистрированный пользователь.</w:t>
      </w:r>
    </w:p>
    <w:p w14:paraId="5D2BD01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4DC0C40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пользователю в систему.</w:t>
      </w:r>
    </w:p>
    <w:p w14:paraId="38CEEF0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счёта – необходимые данные для регистрации пользователя.</w:t>
      </w:r>
    </w:p>
    <w:p w14:paraId="75B4E271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– необходимые данные для регистрации.</w:t>
      </w:r>
    </w:p>
    <w:p w14:paraId="375FEF67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ФИО – необходимые данные для регистрации.</w:t>
      </w:r>
    </w:p>
    <w:p w14:paraId="7670210D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Привязка банковской карты – возможность после регистрации незарегистрированного пользователя.</w:t>
      </w:r>
    </w:p>
    <w:p w14:paraId="46B0D95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Авторизация – позволяет авторизоваться авторизованному пользователю в систему.</w:t>
      </w:r>
    </w:p>
    <w:p w14:paraId="098FEFD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Оплата услуги за электроэнергию – действие зарегистрированного пользователя.</w:t>
      </w:r>
    </w:p>
    <w:p w14:paraId="71F1259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Подтверждение оплаты – обязательное условие оплаты услуги за электроэнергию.</w:t>
      </w:r>
    </w:p>
    <w:p w14:paraId="4B3C99F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показания – обязательное условие оплаты услуги за электроэнергию.</w:t>
      </w:r>
    </w:p>
    <w:p w14:paraId="6EEBF099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Запрос отчёта по оплате – дополнительная возможность оплаты услуги за электроэнергию.</w:t>
      </w:r>
    </w:p>
    <w:p w14:paraId="6C7A032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периода для отчета – обязательное условие запроса отчёта по оплате лицевого счёта.</w:t>
      </w:r>
    </w:p>
    <w:p w14:paraId="1FD9079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Скачать – действие зарегистрированного пользователя.</w:t>
      </w:r>
    </w:p>
    <w:p w14:paraId="64057D94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Генерация квитанции – обязательное условие действия скачать.</w:t>
      </w:r>
    </w:p>
    <w:p w14:paraId="41AF806A" w14:textId="77777777" w:rsidR="008901B8" w:rsidRPr="008901B8" w:rsidRDefault="008901B8" w:rsidP="008901B8">
      <w:pPr>
        <w:keepNext/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3246" w:dyaOrig="12046" w14:anchorId="53B75D86">
          <v:shape id="_x0000_i1042" type="#_x0000_t75" style="width:467.25pt;height:425.25pt" o:ole="">
            <v:imagedata r:id="rId9" o:title=""/>
          </v:shape>
          <o:OLEObject Type="Embed" ProgID="Visio.Drawing.15" ShapeID="_x0000_i1042" DrawAspect="Content" ObjectID="_1758668642" r:id="rId10"/>
        </w:object>
      </w:r>
    </w:p>
    <w:p w14:paraId="04DE40B2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2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>- Диаграмма вариантов использования</w:t>
      </w:r>
    </w:p>
    <w:p w14:paraId="5D64AC80" w14:textId="77777777" w:rsidR="008901B8" w:rsidRPr="008901B8" w:rsidRDefault="008901B8" w:rsidP="008901B8">
      <w:pPr>
        <w:rPr>
          <w:sz w:val="28"/>
          <w:szCs w:val="28"/>
        </w:rPr>
      </w:pPr>
    </w:p>
    <w:p w14:paraId="7A3AA168" w14:textId="77777777" w:rsidR="008901B8" w:rsidRPr="008901B8" w:rsidRDefault="008901B8" w:rsidP="008901B8">
      <w:pPr>
        <w:rPr>
          <w:sz w:val="28"/>
          <w:szCs w:val="28"/>
        </w:rPr>
      </w:pPr>
    </w:p>
    <w:p w14:paraId="364F1D1A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№3. Создание диаграммы прецедентов (вариантов использования). </w:t>
      </w:r>
    </w:p>
    <w:p w14:paraId="141C2DEA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81A17B8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C0C99AD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4A7065A7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54F88F68" w14:textId="77777777" w:rsidR="008901B8" w:rsidRPr="008901B8" w:rsidRDefault="008901B8" w:rsidP="008901B8">
      <w:pPr>
        <w:numPr>
          <w:ilvl w:val="0"/>
          <w:numId w:val="25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5EA27D85" w14:textId="77777777" w:rsidR="008901B8" w:rsidRPr="008901B8" w:rsidRDefault="008901B8" w:rsidP="008901B8">
      <w:pPr>
        <w:numPr>
          <w:ilvl w:val="0"/>
          <w:numId w:val="25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B63102" w14:textId="77777777" w:rsidR="008901B8" w:rsidRPr="008901B8" w:rsidRDefault="008901B8" w:rsidP="008901B8">
      <w:pPr>
        <w:numPr>
          <w:ilvl w:val="0"/>
          <w:numId w:val="25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Вставить отношения между вариантами использования и действующими лицами. </w:t>
      </w:r>
    </w:p>
    <w:p w14:paraId="5A82DD76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6976D97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«Программа для фитнес-центра по распределению фитнес – расписания и контроля его соблюдения»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0F82D0F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Клиент.</w:t>
      </w:r>
    </w:p>
    <w:p w14:paraId="2897D99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64845139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Тренер.</w:t>
      </w:r>
    </w:p>
    <w:p w14:paraId="432CD4D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29EE33D8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3247A2F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клиенту в систему.</w:t>
      </w:r>
    </w:p>
    <w:p w14:paraId="01447C43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Отправление заявки тренеру – действие клиента, который предусматривает, то что клиент авторизован.</w:t>
      </w:r>
    </w:p>
    <w:p w14:paraId="3B5FBA3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proofErr w:type="spellStart"/>
      <w:r w:rsidRPr="008901B8">
        <w:rPr>
          <w:sz w:val="28"/>
          <w:szCs w:val="28"/>
        </w:rPr>
        <w:t>Авторизирование</w:t>
      </w:r>
      <w:proofErr w:type="spellEnd"/>
      <w:r w:rsidRPr="008901B8">
        <w:rPr>
          <w:sz w:val="28"/>
          <w:szCs w:val="28"/>
        </w:rPr>
        <w:t xml:space="preserve"> – действие, которое включает в себя ввод телефона и ввод пароля.</w:t>
      </w:r>
    </w:p>
    <w:p w14:paraId="6278437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телефона – обязательное действие для авторизации.</w:t>
      </w:r>
    </w:p>
    <w:p w14:paraId="3AC2512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- обязательное действие для авторизации.</w:t>
      </w:r>
    </w:p>
    <w:p w14:paraId="4BB116B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Регистрирование – действие не зарегистрированного клиента, включающее в себя ввод </w:t>
      </w:r>
      <w:proofErr w:type="spellStart"/>
      <w:r w:rsidRPr="008901B8">
        <w:rPr>
          <w:sz w:val="28"/>
          <w:szCs w:val="28"/>
        </w:rPr>
        <w:t>фио</w:t>
      </w:r>
      <w:proofErr w:type="spellEnd"/>
      <w:r w:rsidRPr="008901B8">
        <w:rPr>
          <w:sz w:val="28"/>
          <w:szCs w:val="28"/>
        </w:rPr>
        <w:t>, добавление фото профиля, ввод пола, ввод даты рождения.</w:t>
      </w:r>
    </w:p>
    <w:p w14:paraId="63C175D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Ввод </w:t>
      </w:r>
      <w:proofErr w:type="spellStart"/>
      <w:r w:rsidRPr="008901B8">
        <w:rPr>
          <w:sz w:val="28"/>
          <w:szCs w:val="28"/>
        </w:rPr>
        <w:t>фио</w:t>
      </w:r>
      <w:proofErr w:type="spellEnd"/>
      <w:r w:rsidRPr="008901B8">
        <w:rPr>
          <w:sz w:val="28"/>
          <w:szCs w:val="28"/>
        </w:rPr>
        <w:t xml:space="preserve"> - обязательное действие для регистрации.</w:t>
      </w:r>
    </w:p>
    <w:p w14:paraId="0FD2D9F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фото профиля - обязательное действие для регистрации.</w:t>
      </w:r>
    </w:p>
    <w:p w14:paraId="270124FD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пола - обязательное действие для регистрации.</w:t>
      </w:r>
    </w:p>
    <w:p w14:paraId="71F4B73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даты рождения - обязательное действие для регистрации.</w:t>
      </w:r>
    </w:p>
    <w:p w14:paraId="54262A8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Взаимодействие с заявкой – действие тренера.</w:t>
      </w:r>
    </w:p>
    <w:p w14:paraId="573B2E13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Отклонение заявки – возможный путь взаимодействия с заявкой.</w:t>
      </w:r>
    </w:p>
    <w:p w14:paraId="14637A5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Принятие заявки - возможный путь взаимодействия с заявкой.</w:t>
      </w:r>
    </w:p>
    <w:p w14:paraId="4759944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причины – обязательное действие для отклонения заявки.</w:t>
      </w:r>
    </w:p>
    <w:p w14:paraId="529B445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Выставление плана индивидуальных занятий для клиента – обязательное действие для принятия заявки.</w:t>
      </w:r>
    </w:p>
    <w:p w14:paraId="299A56F6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списка текущих клиентов – действие тренера.</w:t>
      </w:r>
    </w:p>
    <w:p w14:paraId="2106F78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новых тренеров – действие администратора.</w:t>
      </w:r>
    </w:p>
    <w:p w14:paraId="2352DFE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Записывание на курсы тренеров – действие администратора.</w:t>
      </w:r>
    </w:p>
    <w:p w14:paraId="3D650719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Предоставление скидки постоянным клиентам – действие администратора.</w:t>
      </w:r>
    </w:p>
    <w:p w14:paraId="67CE23EB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</w:p>
    <w:p w14:paraId="6A44E667" w14:textId="77777777" w:rsidR="008901B8" w:rsidRPr="008901B8" w:rsidRDefault="008901B8" w:rsidP="008901B8">
      <w:pPr>
        <w:keepNext/>
        <w:spacing w:after="277"/>
        <w:ind w:left="202"/>
        <w:rPr>
          <w:sz w:val="28"/>
          <w:szCs w:val="28"/>
        </w:rPr>
      </w:pPr>
      <w:r w:rsidRPr="008901B8">
        <w:rPr>
          <w:noProof/>
          <w:sz w:val="28"/>
          <w:szCs w:val="28"/>
        </w:rPr>
        <w:drawing>
          <wp:inline distT="0" distB="0" distL="0" distR="0" wp14:anchorId="07805259" wp14:editId="60E3DAB3">
            <wp:extent cx="5940425" cy="421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D2B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3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4C84F36" w14:textId="77777777" w:rsidR="008901B8" w:rsidRPr="008901B8" w:rsidRDefault="008901B8" w:rsidP="008901B8">
      <w:pPr>
        <w:rPr>
          <w:sz w:val="28"/>
          <w:szCs w:val="28"/>
        </w:rPr>
      </w:pPr>
    </w:p>
    <w:p w14:paraId="6393965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№4. Создание диаграммы прецедентов (вариантов использования). </w:t>
      </w:r>
    </w:p>
    <w:p w14:paraId="2FFC867E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05C04A4C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Технология создания диаграмм UML представлена на примере задачи о сборке и продаже компьютеров. </w:t>
      </w:r>
    </w:p>
    <w:p w14:paraId="3CEEF3C4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360A7BD9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4B3DFEE9" w14:textId="77777777" w:rsidR="008901B8" w:rsidRPr="008901B8" w:rsidRDefault="008901B8" w:rsidP="008901B8">
      <w:pPr>
        <w:numPr>
          <w:ilvl w:val="0"/>
          <w:numId w:val="27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24690AA3" w14:textId="77777777" w:rsidR="008901B8" w:rsidRPr="008901B8" w:rsidRDefault="008901B8" w:rsidP="008901B8">
      <w:pPr>
        <w:numPr>
          <w:ilvl w:val="0"/>
          <w:numId w:val="27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CC9C875" w14:textId="77777777" w:rsidR="008901B8" w:rsidRPr="008901B8" w:rsidRDefault="008901B8" w:rsidP="008901B8">
      <w:pPr>
        <w:numPr>
          <w:ilvl w:val="0"/>
          <w:numId w:val="27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141C2804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1737F08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«Спорт»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5812508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Неавторизованный клиент.</w:t>
      </w:r>
    </w:p>
    <w:p w14:paraId="51A8A981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Авторизованный клиент.</w:t>
      </w:r>
    </w:p>
    <w:p w14:paraId="4E7B9EDE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778A7EC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172F0AE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Менеджер.</w:t>
      </w:r>
    </w:p>
    <w:p w14:paraId="02C26C7B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7C86A5F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Формирование заказа – действие Менеджера и Клиента.</w:t>
      </w:r>
    </w:p>
    <w:p w14:paraId="5EA5A77D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товара – действие Менеджера и Клиента.</w:t>
      </w:r>
    </w:p>
    <w:p w14:paraId="14174340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Выбор пункта выдачи – действие Клиента.</w:t>
      </w:r>
    </w:p>
    <w:p w14:paraId="5B7BA3BF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Редактировать заказы – действие Менеджера.</w:t>
      </w:r>
    </w:p>
    <w:p w14:paraId="3145CAC0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товаров – действие Администратора.</w:t>
      </w:r>
    </w:p>
    <w:p w14:paraId="5D8004F6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Редактирование товаров – действие Администратора.</w:t>
      </w:r>
    </w:p>
    <w:p w14:paraId="134B29B6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Удаление товаров – действие Администратора.</w:t>
      </w:r>
    </w:p>
    <w:p w14:paraId="458BE483" w14:textId="77777777" w:rsidR="008901B8" w:rsidRPr="008901B8" w:rsidRDefault="008901B8" w:rsidP="008901B8">
      <w:pPr>
        <w:keepNext/>
        <w:ind w:left="202"/>
        <w:rPr>
          <w:sz w:val="28"/>
          <w:szCs w:val="28"/>
        </w:rPr>
      </w:pPr>
      <w:r w:rsidRPr="008901B8">
        <w:rPr>
          <w:noProof/>
          <w:sz w:val="28"/>
          <w:szCs w:val="28"/>
        </w:rPr>
        <w:lastRenderedPageBreak/>
        <w:drawing>
          <wp:inline distT="0" distB="0" distL="0" distR="0" wp14:anchorId="2049F1FA" wp14:editId="4FD4BB57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4AD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4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471F3794" w14:textId="77777777" w:rsidR="008901B8" w:rsidRPr="008901B8" w:rsidRDefault="008901B8" w:rsidP="008901B8">
      <w:pPr>
        <w:rPr>
          <w:sz w:val="28"/>
          <w:szCs w:val="28"/>
        </w:rPr>
      </w:pPr>
    </w:p>
    <w:p w14:paraId="13A41497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№5. Создание диаграммы прецедентов (вариантов использования). </w:t>
      </w:r>
    </w:p>
    <w:p w14:paraId="18B6A6F2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22F4D55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BB6914A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5F0B4CE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7E54EC0B" w14:textId="77777777" w:rsidR="008901B8" w:rsidRPr="008901B8" w:rsidRDefault="008901B8" w:rsidP="008901B8">
      <w:pPr>
        <w:numPr>
          <w:ilvl w:val="0"/>
          <w:numId w:val="3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AF05E74" w14:textId="77777777" w:rsidR="008901B8" w:rsidRPr="008901B8" w:rsidRDefault="008901B8" w:rsidP="008901B8">
      <w:pPr>
        <w:numPr>
          <w:ilvl w:val="0"/>
          <w:numId w:val="3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26456BE" w14:textId="77777777" w:rsidR="008901B8" w:rsidRPr="008901B8" w:rsidRDefault="008901B8" w:rsidP="008901B8">
      <w:pPr>
        <w:numPr>
          <w:ilvl w:val="0"/>
          <w:numId w:val="3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607F41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46FEBE59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«Мероприятие»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35D93F17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Участник.</w:t>
      </w:r>
    </w:p>
    <w:p w14:paraId="6A561844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03EDCA6A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Модератор.</w:t>
      </w:r>
    </w:p>
    <w:p w14:paraId="547AF296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Организатор.</w:t>
      </w:r>
    </w:p>
    <w:p w14:paraId="0BB95989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Жюри.</w:t>
      </w:r>
    </w:p>
    <w:p w14:paraId="60AC859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</w:t>
      </w:r>
    </w:p>
    <w:p w14:paraId="558E64EC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им возможность выполнять необходимые функции. Теперь для действующих лиц надо</w:t>
      </w:r>
    </w:p>
    <w:p w14:paraId="52C294DD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 им возможность выполнять</w:t>
      </w:r>
    </w:p>
    <w:p w14:paraId="0DD5C80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необходимые функции.</w:t>
      </w:r>
    </w:p>
    <w:p w14:paraId="5D67F4BC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Просмотр информации о активностях – действие </w:t>
      </w:r>
      <w:proofErr w:type="gramStart"/>
      <w:r w:rsidRPr="008901B8">
        <w:rPr>
          <w:sz w:val="28"/>
          <w:szCs w:val="28"/>
        </w:rPr>
        <w:t>Не</w:t>
      </w:r>
      <w:proofErr w:type="gramEnd"/>
      <w:r w:rsidRPr="008901B8">
        <w:rPr>
          <w:sz w:val="28"/>
          <w:szCs w:val="28"/>
        </w:rPr>
        <w:t xml:space="preserve"> зарегистрированного пользователя.</w:t>
      </w:r>
    </w:p>
    <w:p w14:paraId="7824A69C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профиля – действие Участника.</w:t>
      </w:r>
    </w:p>
    <w:p w14:paraId="3118B877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Изменение своего профиля - действие Участника.</w:t>
      </w:r>
    </w:p>
    <w:p w14:paraId="1C698892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Работа в группе с др. участниками - действие Участника.</w:t>
      </w:r>
    </w:p>
    <w:p w14:paraId="17A90CA1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Регистрирование - действие Участника и Модератора.</w:t>
      </w:r>
    </w:p>
    <w:p w14:paraId="4B5629D2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Выбор активности для </w:t>
      </w:r>
      <w:proofErr w:type="spellStart"/>
      <w:r w:rsidRPr="008901B8">
        <w:rPr>
          <w:sz w:val="28"/>
          <w:szCs w:val="28"/>
        </w:rPr>
        <w:t>модерации</w:t>
      </w:r>
      <w:proofErr w:type="spellEnd"/>
      <w:r w:rsidRPr="008901B8">
        <w:rPr>
          <w:sz w:val="28"/>
          <w:szCs w:val="28"/>
        </w:rPr>
        <w:t xml:space="preserve"> – действие Модератора, которое включает в себя регистрацию на мероприятие.</w:t>
      </w:r>
    </w:p>
    <w:p w14:paraId="438F3302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на мероприятие – действие.</w:t>
      </w:r>
    </w:p>
    <w:p w14:paraId="67A4A5C5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Координация участников – действие Модератора, которое включает в себя регистрацию на мероприятие.</w:t>
      </w:r>
    </w:p>
    <w:p w14:paraId="327872CC" w14:textId="77777777" w:rsidR="008901B8" w:rsidRPr="008901B8" w:rsidRDefault="008901B8" w:rsidP="008901B8">
      <w:pPr>
        <w:pStyle w:val="a6"/>
        <w:keepNext/>
        <w:ind w:left="922"/>
        <w:rPr>
          <w:sz w:val="28"/>
          <w:szCs w:val="28"/>
        </w:rPr>
      </w:pPr>
      <w:r w:rsidRPr="008901B8">
        <w:rPr>
          <w:noProof/>
          <w:sz w:val="28"/>
          <w:szCs w:val="28"/>
        </w:rPr>
        <w:lastRenderedPageBreak/>
        <w:drawing>
          <wp:inline distT="0" distB="0" distL="0" distR="0" wp14:anchorId="2F23E94D" wp14:editId="0FB9E9A5">
            <wp:extent cx="4476307" cy="301546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482" cy="30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C17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5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7DD04DA" w14:textId="30690FE9" w:rsidR="00197594" w:rsidRPr="008901B8" w:rsidRDefault="00197594" w:rsidP="008901B8">
      <w:pPr>
        <w:ind w:firstLine="709"/>
        <w:jc w:val="both"/>
        <w:rPr>
          <w:b/>
          <w:bCs/>
          <w:sz w:val="28"/>
          <w:szCs w:val="28"/>
        </w:rPr>
      </w:pPr>
    </w:p>
    <w:sectPr w:rsidR="00197594" w:rsidRPr="008901B8" w:rsidSect="00306F34">
      <w:headerReference w:type="default" r:id="rId14"/>
      <w:footerReference w:type="default" r:id="rId15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DA94C" w14:textId="77777777" w:rsidR="004E5BC3" w:rsidRDefault="004E5BC3" w:rsidP="000F5545">
      <w:r>
        <w:separator/>
      </w:r>
    </w:p>
  </w:endnote>
  <w:endnote w:type="continuationSeparator" w:id="0">
    <w:p w14:paraId="3EB31728" w14:textId="77777777" w:rsidR="004E5BC3" w:rsidRDefault="004E5BC3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9B6A4" w14:textId="77777777" w:rsidR="004E5BC3" w:rsidRDefault="004E5BC3" w:rsidP="000F5545">
      <w:r>
        <w:separator/>
      </w:r>
    </w:p>
  </w:footnote>
  <w:footnote w:type="continuationSeparator" w:id="0">
    <w:p w14:paraId="584045D4" w14:textId="77777777" w:rsidR="004E5BC3" w:rsidRDefault="004E5BC3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5AAE01EB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8901B8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3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6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4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6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8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5"/>
  </w:num>
  <w:num w:numId="4">
    <w:abstractNumId w:val="9"/>
  </w:num>
  <w:num w:numId="5">
    <w:abstractNumId w:val="2"/>
  </w:num>
  <w:num w:numId="6">
    <w:abstractNumId w:val="17"/>
  </w:num>
  <w:num w:numId="7">
    <w:abstractNumId w:val="19"/>
  </w:num>
  <w:num w:numId="8">
    <w:abstractNumId w:val="13"/>
  </w:num>
  <w:num w:numId="9">
    <w:abstractNumId w:val="16"/>
  </w:num>
  <w:num w:numId="10">
    <w:abstractNumId w:val="23"/>
  </w:num>
  <w:num w:numId="11">
    <w:abstractNumId w:val="12"/>
  </w:num>
  <w:num w:numId="12">
    <w:abstractNumId w:val="24"/>
  </w:num>
  <w:num w:numId="13">
    <w:abstractNumId w:val="8"/>
  </w:num>
  <w:num w:numId="14">
    <w:abstractNumId w:val="11"/>
  </w:num>
  <w:num w:numId="15">
    <w:abstractNumId w:val="22"/>
  </w:num>
  <w:num w:numId="16">
    <w:abstractNumId w:val="29"/>
  </w:num>
  <w:num w:numId="17">
    <w:abstractNumId w:val="28"/>
  </w:num>
  <w:num w:numId="18">
    <w:abstractNumId w:val="4"/>
  </w:num>
  <w:num w:numId="19">
    <w:abstractNumId w:val="7"/>
  </w:num>
  <w:num w:numId="20">
    <w:abstractNumId w:val="31"/>
  </w:num>
  <w:num w:numId="21">
    <w:abstractNumId w:val="18"/>
  </w:num>
  <w:num w:numId="22">
    <w:abstractNumId w:val="25"/>
  </w:num>
  <w:num w:numId="23">
    <w:abstractNumId w:val="26"/>
  </w:num>
  <w:num w:numId="24">
    <w:abstractNumId w:val="6"/>
  </w:num>
  <w:num w:numId="25">
    <w:abstractNumId w:val="21"/>
  </w:num>
  <w:num w:numId="26">
    <w:abstractNumId w:val="20"/>
  </w:num>
  <w:num w:numId="27">
    <w:abstractNumId w:val="14"/>
  </w:num>
  <w:num w:numId="28">
    <w:abstractNumId w:val="5"/>
  </w:num>
  <w:num w:numId="29">
    <w:abstractNumId w:val="1"/>
  </w:num>
  <w:num w:numId="30">
    <w:abstractNumId w:val="3"/>
  </w:num>
  <w:num w:numId="31">
    <w:abstractNumId w:val="2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E5BC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1B8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8901B8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7</cp:revision>
  <cp:lastPrinted>2019-02-13T18:39:00Z</cp:lastPrinted>
  <dcterms:created xsi:type="dcterms:W3CDTF">2022-12-23T00:34:00Z</dcterms:created>
  <dcterms:modified xsi:type="dcterms:W3CDTF">2023-10-12T23:18:00Z</dcterms:modified>
</cp:coreProperties>
</file>