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Doc"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CoverMeta"/>
      </w:pPr>
      <w:r>
        <w:t xml:space="preserve">VIZJA University</w:t>
      </w:r>
    </w:p>
    <w:p>
      <w:pPr>
        <w:pStyle w:val="CoverMeta"/>
      </w:pPr>
      <w:r>
        <w:t xml:space="preserve">Master’s Thesis in Computer Science</w:t>
      </w:r>
    </w:p>
    <w:p>
      <w:pPr>
        <w:pStyle w:val="Title"/>
      </w:pPr>
      <w:r>
        <w:t xml:space="preserve">From Natural-Language Prompts to Functional Software</w:t>
      </w:r>
    </w:p>
    <w:p>
      <w:pPr>
        <w:pStyle w:val="Subtitle"/>
      </w:pPr>
      <w:r>
        <w:t xml:space="preserve">A Longitudinal Multi-Case Study of AI-Assisted Software Development by a Student Developer</w:t>
      </w:r>
    </w:p>
    <w:p>
      <w:pPr>
        <w:pStyle w:val="CoverMeta"/>
      </w:pPr>
      <w:r>
        <w:t xml:space="preserve">Ruslan Aliyev</w:t>
      </w:r>
    </w:p>
    <w:p>
      <w:pPr>
        <w:pStyle w:val="CoverMeta"/>
      </w:pPr>
      <w:r>
        <w:t xml:space="preserve">Supervisor: Marcin Kacprowicz</w:t>
      </w:r>
    </w:p>
    <w:p>
      <w:pPr>
        <w:pStyle w:val="CoverMeta"/>
      </w:pPr>
      <w:r>
        <w:t xml:space="preserve">Working manuscript · 20 September 2026</w:t>
      </w:r>
    </w:p>
    <w:p>
      <w:pPr>
        <w:pStyle w:val="DraftNote"/>
      </w:pPr>
      <w:r>
        <w:t xml:space="preserve">Draft status: This is the single working manuscript. Chapter 1 contains initial prose, Chapters 2–4 contain a preliminary foundation, and Chapters 5–7 contain writing plans. It is not a completed thesis or an approved final research design. The original proposal and research records remain supporting material.</w:t>
      </w:r>
    </w:p>
    <w:p>
      <w:pPr>
        <w:pStyle w:val="DraftNote"/>
      </w:pPr>
      <w:r>
        <w:t xml:space="preserve">The sample size, operational classification rules and review arrangements are still under discussion. No findings or supervisor approval are implied by the chapter structure. The literature below is a starting selection, not a completed review.</w:t>
      </w:r>
    </w:p>
    <w:p>
      <w:pPr>
        <w:pStyle w:val="DraftNote"/>
      </w:pPr>
      <w:r>
        <w:t xml:space="preserve">Formatting is provisional: A4; Times New Roman 12 pt body text; 1.5 line spacing; 2.5 cm margins; author–date references. The supplied peer email and thesis are reference material, not confirmation of this student’s current submission requirements.</w:t>
      </w:r>
    </w:p>
    <w:p>
      <w:pPr>
        <w:pStyle w:val="Heading1"/>
        <w:pageBreakBefore/>
      </w:pPr>
      <w:r>
        <w:t xml:space="preserve">1. Introduction</w:t>
      </w:r>
    </w:p>
    <w:p>
      <w:pPr>
        <w:pStyle w:val="Heading2"/>
      </w:pPr>
      <w:r>
        <w:t xml:space="preserve">1.1 Background and motivation</w:t>
      </w:r>
    </w:p>
    <w:p>
      <w:pPr>
        <w:pStyle w:val="Normal"/>
      </w:pPr>
      <w:r>
        <w:t xml:space="preserve">The development of a software application involves decisions about intended behaviour, implementation, testing and acceptance. When a student developer works through natural-language exchanges with a coding assistant, these decisions may be distributed across many interactions. A request can lead to a proposed solution, an explanation, a code change and a claim that the work is complete. Understanding this process requires attention to both the generated output and the human activities surrounding it.</w:t>
      </w:r>
    </w:p>
    <w:p>
      <w:pPr>
        <w:pStyle w:val="Normal"/>
      </w:pPr>
      <w:r>
        <w:t xml:space="preserve">Research on coding assistants provides a basis for examining that interaction. In a study of 24 participants, Vaithilingam et al. (2022) found that participants could value an assistant as a starting point while still experiencing difficulties understanding, editing and debugging its output. Barke et al. (2023), observing 20 participants, distinguished interaction directed towards accelerating a known next step from interaction used to explore how to proceed. These studies motivate attention to the developer’s interpretation and evaluation of suggestions, rather than treating code generation as an isolated event.</w:t>
      </w:r>
    </w:p>
    <w:p>
      <w:pPr>
        <w:pStyle w:val="Normal"/>
      </w:pPr>
      <w:r>
        <w:t xml:space="preserve">The present study examines that relationship through three applications developed by the same student: SPARK, SynCinema and AutoSRT. The applications provide different technical settings in which to study how requirements were expressed, solutions were revised and outcomes were checked. The intention is to connect these experiences through a common research question, rather than presenting three unrelated project descriptions.</w:t>
      </w:r>
    </w:p>
    <w:p>
      <w:pPr>
        <w:pStyle w:val="Normal"/>
      </w:pPr>
      <w:r>
        <w:t xml:space="preserve">The practical motivation is the researcher’s experience of developing software by describing desired behaviour and discussing implementation with AI assistants. That experience raises a question that a finished interface cannot answer on its own: what combination of AI contributions, human decisions and verification was necessary to reach the observed result? A working demonstration may be part of the answer, but it does not reveal every unsuccessful attempt, unresolved limitation or missing source.</w:t>
      </w:r>
    </w:p>
    <w:p>
      <w:pPr>
        <w:pStyle w:val="Heading2"/>
      </w:pPr>
      <w:r>
        <w:t xml:space="preserve">1.2 Research problem</w:t>
      </w:r>
    </w:p>
    <w:p>
      <w:pPr>
        <w:pStyle w:val="Normal"/>
      </w:pPr>
      <w:r>
        <w:t xml:space="preserve">This thesis focuses on the relationship between an asserted development outcome and the evidence available to support it. An assistant may state that an issue has been fixed, while the preserved record shows only a code change. An automated check may support a specific behaviour without establishing what happens on a physical device. A human may accept a feature for a particular use even though other scenarios remain untested. The study therefore needs to preserve the scope of each claim instead of combining these different outcomes into one undifferentiated success label.</w:t>
      </w:r>
    </w:p>
    <w:p>
      <w:pPr>
        <w:pStyle w:val="Normal"/>
      </w:pPr>
      <w:r>
        <w:t xml:space="preserve">A second problem concerns attribution. A defect observed in an AI-assisted application is not, by itself, evidence that an AI system introduced that defect. The relevant output may have been edited, the requirement may have changed, or the original conversation may be missing. The analysis must distinguish an observable software problem from a supported claim about the origin of that problem. Where the surviving sources do not establish attribution, the uncertainty must remain visible.</w:t>
      </w:r>
    </w:p>
    <w:p>
      <w:pPr>
        <w:pStyle w:val="Normal"/>
      </w:pPr>
      <w:r>
        <w:t xml:space="preserve">A third problem is the uneven development record. The researcher introduced structured logs after some development had already occurred. Earlier work may therefore be represented by code and version history, while later work may also have decision summaries and recorded checks. Treating these periods as equally documented would overstate what can be reconstructed. The study will first examine the available material and then match its claims to the evidence that actually survives.</w:t>
      </w:r>
    </w:p>
    <w:p>
      <w:pPr>
        <w:pStyle w:val="Heading2"/>
      </w:pPr>
      <w:r>
        <w:t xml:space="preserve">1.3 Research aim and questions</w:t>
      </w:r>
    </w:p>
    <w:p>
      <w:pPr>
        <w:pStyle w:val="Normal"/>
      </w:pPr>
      <w:r>
        <w:t xml:space="preserve">The aim of this research is to examine how a student developer with prior programming exposure but no professional software development experience uses generative AI coding assistants to create and iteratively improve functional software applications. Particular attention is given to human oversight, revision of proposed solutions and the verification of development outcomes.</w:t>
      </w:r>
    </w:p>
    <w:p>
      <w:pPr>
        <w:pStyle w:val="Normal"/>
      </w:pPr>
      <w:r>
        <w:t xml:space="preserve">The main research question is: How and under what conditions does a student developer with prior programming exposure but no professional software development experience use generative AI coding assistants to design, implement and iteratively improve functional software applications, and what limitations and human oversight requirements emerge during this process?</w:t>
      </w:r>
    </w:p>
    <w:p>
      <w:pPr>
        <w:pStyle w:val="Normal"/>
      </w:pPr>
      <w:r>
        <w:t xml:space="preserve">Four supporting questions organise the proposed analysis. First, which development activities were supported by AI, and what sources document that support? Second, what errors, incomplete solutions or technical limitations were observed, and how confidently can they be attributed? Third, where did human clarification, correction, rejection or verification affect the course of the work? Fourth, what evidence supports the resulting implementation, its tested behaviour and any acceptance decision?</w:t>
      </w:r>
    </w:p>
    <w:p>
      <w:pPr>
        <w:pStyle w:val="Normal"/>
      </w:pPr>
      <w:r>
        <w:t xml:space="preserve">These questions concern the development process within the selected cases. The study does not begin with a numerical claim about productivity improvement or an assumption that an assistant can replace a professional developer. Such conclusions would require a different evidential basis, including an appropriate comparison and reliable measurements.</w:t>
      </w:r>
    </w:p>
    <w:p>
      <w:pPr>
        <w:pStyle w:val="Heading2"/>
      </w:pPr>
      <w:r>
        <w:t xml:space="preserve">1.4 Researcher position and prior experience</w:t>
      </w:r>
    </w:p>
    <w:p>
      <w:pPr>
        <w:pStyle w:val="Normal"/>
      </w:pPr>
      <w:r>
        <w:t xml:space="preserve">The researcher is a student developer pursuing an MSc in Computer Science at VIZJA University. The researcher holds a bachelor’s degree in Ecology from Baku State University and reports completing approximately seven to eight months of full-stack development training at Code Academy in Baku. Prior programming exposure includes hobby websites using HTML and CSS, some C# experience and more limited experience in backend development. The researcher reports no professional employment as a software developer.</w:t>
      </w:r>
    </w:p>
    <w:p>
      <w:pPr>
        <w:pStyle w:val="Normal"/>
      </w:pPr>
      <w:r>
        <w:t xml:space="preserve">These details are self-reported background information, rather than an independently measured assessment of competence. They explain the use of the term student developer instead of an unqualified novice label. The analysis must also consider what experience was available when each project began and how that experience changed during development. The complexity of a finished application cannot be used as a direct measure of the developer’s unaided ability.</w:t>
      </w:r>
    </w:p>
    <w:p>
      <w:pPr>
        <w:pStyle w:val="Normal"/>
      </w:pPr>
      <w:r>
        <w:t xml:space="preserve">The researcher is also the developer of all three applications. This provides access to development context but introduces a risk of favourable selection and interpretation. A transparent classification procedure, explicit source references and consideration of alternative explanations are therefore central to the proposed design. The precise review arrangements remain to be agreed and will be reported according to what is actually performed.</w:t>
      </w:r>
    </w:p>
    <w:p>
      <w:pPr>
        <w:pStyle w:val="Heading2"/>
      </w:pPr>
      <w:r>
        <w:t xml:space="preserve">1.5 Case selection and comparative focus</w:t>
      </w:r>
    </w:p>
    <w:p>
      <w:pPr>
        <w:pStyle w:val="Normal"/>
      </w:pPr>
      <w:r>
        <w:t xml:space="preserve">SPARK is a mobile personal-finance and receipt-analysis application. It is the primary longitudinal case because its repository contains a substantial development history and a range of technical records. Its role is to provide the main account of development over time, including the relationship between implementation changes, financial-domain decisions and verification. The presence of documentation does not make every historical claim within that documentation equally reliable.</w:t>
      </w:r>
    </w:p>
    <w:p>
      <w:pPr>
        <w:pStyle w:val="Normal"/>
      </w:pPr>
      <w:r>
        <w:t xml:space="preserve">SynCinema is a browser-based multimedia application concerned with synchronized playback and multiple audio outputs. AutoSRT is a desktop application concerned with local transcription and subtitle generation. They are proposed as secondary comparative cases. Their purpose is to test whether selected observations from the primary case appear differently under browser-media or local desktop constraints, where the surviving records permit that comparison.</w:t>
      </w:r>
    </w:p>
    <w:p>
      <w:pPr>
        <w:pStyle w:val="Normal"/>
      </w:pPr>
      <w:r>
        <w:t xml:space="preserve">The comparison will be organised around bounded development episodes. An episode follows one identifiable requirement, defect or design problem through the relevant proposals, revisions and checks. Several messages or commits can belong to the same episode. The final sample will be determined after examining evidence quality and comparative relevance; no fixed episode count is asserted in this draft.</w:t>
      </w:r>
    </w:p>
    <w:p>
      <w:pPr>
        <w:pStyle w:val="Heading2"/>
      </w:pPr>
      <w:r>
        <w:t xml:space="preserve">1.6 Evidence and scope</w:t>
      </w:r>
    </w:p>
    <w:p>
      <w:pPr>
        <w:pStyle w:val="Normal"/>
      </w:pPr>
      <w:r>
        <w:t xml:space="preserve">The working framework distinguishes narrative or retrospective material (E0), implementation material (E1), automated verification (E2), identified runtime or target-device observations (E3), and human acceptance or release evidence (E4). These categories are attached to particular claims. They are not a single scale on which a higher label automatically establishes all lower-level conditions. Acceptance, for example, does not substitute for a missing device test.</w:t>
      </w:r>
    </w:p>
    <w:p>
      <w:pPr>
        <w:pStyle w:val="Normal"/>
      </w:pPr>
      <w:r>
        <w:t xml:space="preserve">The study can use source code, version history, preserved conversations, decision records, test outputs and runtime observations where they exist. Each source must be identified and interpreted within its limits. A test performed during the research will carry its actual execution date; it cannot be backdated into the original development process. Likewise, a later account can guide an investigation without becoming a verbatim record of an earlier exchange.</w:t>
      </w:r>
    </w:p>
    <w:p>
      <w:pPr>
        <w:pStyle w:val="Normal"/>
      </w:pPr>
      <w:r>
        <w:t xml:space="preserve">The scope is analytical rather than a comprehensive audit of every feature or commit. The intention is to examine informative episodes in enough depth to explain how their outcomes were reached. The final selection must not depend only on whether an episode makes AI assistance look successful or unsuccessful. Evidence gaps, changes in tools and the researcher’s learning will be considered when interpreting differences between cases.</w:t>
      </w:r>
    </w:p>
    <w:p>
      <w:pPr>
        <w:pStyle w:val="Heading2"/>
      </w:pPr>
      <w:r>
        <w:t xml:space="preserve">1.7 Intended contribution and limits</w:t>
      </w:r>
    </w:p>
    <w:p>
      <w:pPr>
        <w:pStyle w:val="Normal"/>
      </w:pPr>
      <w:r>
        <w:t xml:space="preserve">The intended contribution is a source-linked account of how a student developer collaborated with AI assistants across sustained application development. The study will aim to show where human judgement influenced the work and how different forms of verification supported or limited claims of completion. Its usefulness will depend on the clarity of the record and the reasoning connecting observations to conclusions.</w:t>
      </w:r>
    </w:p>
    <w:p>
      <w:pPr>
        <w:pStyle w:val="Normal"/>
      </w:pPr>
      <w:r>
        <w:t xml:space="preserve">A further intended contribution is a practical way to separate implementation, verification and acceptance when analysing development episodes. The proposed evidence categories and operational rules must first be tested through a worked example. Their value is to make the classification inspectable; this draft does not claim that the framework has already been validated or that it is universally applicable.</w:t>
      </w:r>
    </w:p>
    <w:p>
      <w:pPr>
        <w:pStyle w:val="Normal"/>
      </w:pPr>
      <w:r>
        <w:t xml:space="preserve">The study involves one developer and a deliberately selected set of projects. It cannot establish a population-wide AI error rate or represent every student developer. Missing conversations and unequal record quality may constrain particular comparisons. These limits will be incorporated into the analysis rather than hidden by reconstructing unsupported details.</w:t>
      </w:r>
    </w:p>
    <w:p>
      <w:pPr>
        <w:pStyle w:val="Heading2"/>
      </w:pPr>
      <w:r>
        <w:t xml:space="preserve">1.8 Structure of the thesis</w:t>
      </w:r>
    </w:p>
    <w:p>
      <w:pPr>
        <w:pStyle w:val="Normal"/>
      </w:pPr>
      <w:r>
        <w:t xml:space="preserve">Chapter 2 will develop the literature foundation on AI-assisted programming, human interaction with coding tools and the evaluation of generated results. Chapter 3 will present the research design, operational rules and evidence limitations. Chapter 4 will establish the relevant context of the three applications. Chapter 5 will report the selected development episodes. Chapter 6 will compare the cases and discuss the findings against the literature. Chapter 7 will answer the research question within the limits of the evidence and identify directions for further work.</w:t>
      </w:r>
    </w:p>
    <w:p>
      <w:pPr>
        <w:pStyle w:val="Heading1"/>
      </w:pPr>
      <w:r>
        <w:t xml:space="preserve">2. Literature Review</w:t>
      </w:r>
    </w:p>
    <w:p>
      <w:pPr>
        <w:pStyle w:val="DraftNote"/>
      </w:pPr>
      <w:r>
        <w:t xml:space="preserve">Preliminary foundation. This chapter requires a broader, explicitly documented literature search before it is complete. The cited studies below are starting sources, not an exhaustive or current-state survey.</w:t>
      </w:r>
    </w:p>
    <w:p>
      <w:pPr>
        <w:pStyle w:val="Heading2"/>
      </w:pPr>
      <w:r>
        <w:t xml:space="preserve">2.1 Human interaction with coding assistants</w:t>
      </w:r>
    </w:p>
    <w:p>
      <w:pPr>
        <w:pStyle w:val="Normal"/>
      </w:pPr>
      <w:r>
        <w:t xml:space="preserve">The selected early studies suggest two useful questions for the literature review: how a developer uses a suggestion to proceed, and what work is needed to evaluate that suggestion. Vaithilingam et al. (2022) provide evidence from task-based use of a coding assistant, while Barke et al. (2023) develop an account of different interaction modes. Their participant populations, tasks and tools should be examined before relating their findings to this single-developer, multi-project study.</w:t>
      </w:r>
    </w:p>
    <w:p>
      <w:pPr>
        <w:pStyle w:val="Heading2"/>
      </w:pPr>
      <w:r>
        <w:t xml:space="preserve">2.2 Evidence, verification and longitudinal development</w:t>
      </w:r>
    </w:p>
    <w:p>
      <w:pPr>
        <w:pStyle w:val="Normal"/>
      </w:pPr>
      <w:r>
        <w:t xml:space="preserve">The review will distinguish studies of generated-code performance from studies of human use and verification over time. Relevant sources will be compared by research question, participant background, setting, outcome measures and acknowledged limitations. Particular attention will be given to whether a reported outcome concerns a suggestion, a completed task or behaviour in an application environment.</w:t>
      </w:r>
    </w:p>
    <w:p>
      <w:pPr>
        <w:pStyle w:val="Heading2"/>
      </w:pPr>
      <w:r>
        <w:t xml:space="preserve">2.3 Positioning the present study</w:t>
      </w:r>
    </w:p>
    <w:p>
      <w:pPr>
        <w:pStyle w:val="Normal"/>
      </w:pPr>
      <w:r>
        <w:t xml:space="preserve">The proposed contribution concerns the relationship between development decisions and their supporting records across three applications. Establishing the precise research gap requires completing the literature review. The existence of prior work on human interaction with coding assistants means that the thesis should not describe AI-assisted development as an entirely unstudied phenomenon.</w:t>
      </w:r>
    </w:p>
    <w:p>
      <w:pPr>
        <w:pStyle w:val="Heading1"/>
      </w:pPr>
      <w:r>
        <w:t xml:space="preserve">3. Research Method</w:t>
      </w:r>
    </w:p>
    <w:p>
      <w:pPr>
        <w:pStyle w:val="DraftNote"/>
      </w:pPr>
      <w:r>
        <w:t xml:space="preserve">Proposed design. Episode count, classification thresholds and independent-review arrangements remain unresolved. This chapter will be revised after the pilot and the student’s methodological decisions.</w:t>
      </w:r>
    </w:p>
    <w:p>
      <w:pPr>
        <w:pStyle w:val="Heading2"/>
      </w:pPr>
      <w:r>
        <w:t xml:space="preserve">3.1 Case-study approach</w:t>
      </w:r>
    </w:p>
    <w:p>
      <w:pPr>
        <w:pStyle w:val="Normal"/>
      </w:pPr>
      <w:r>
        <w:t xml:space="preserve">A longitudinal case-study approach is proposed because the research concerns development activities within their project context. Runeson and Höst (2009) describe case-study research as a way to investigate software-engineering phenomena in context and emphasise a systematic approach to design, evidence and reporting. Their guidance informs the need for a documented protocol; it does not determine the sample size or validate the specific rules proposed for this thesis.</w:t>
      </w:r>
    </w:p>
    <w:p>
      <w:pPr>
        <w:pStyle w:val="Heading2"/>
      </w:pPr>
      <w:r>
        <w:t xml:space="preserve">3.2 Episode records and source limitations</w:t>
      </w:r>
    </w:p>
    <w:p>
      <w:pPr>
        <w:pStyle w:val="Normal"/>
      </w:pPr>
      <w:r>
        <w:t xml:space="preserve">Each selected episode will have a bounded question, source references, an account of the observed human and AI contributions, and a record of implementation and verification. The source record will distinguish original material from later reconstruction. Unknown authorship, missing attempts and unavailable runtime evidence will remain explicit. A defect will not be assigned to AI merely because it appears in an AI-assisted project.</w:t>
      </w:r>
    </w:p>
    <w:p>
      <w:pPr>
        <w:pStyle w:val="Heading2"/>
      </w:pPr>
      <w:r>
        <w:t xml:space="preserve">3.3 Pilot and researcher bias</w:t>
      </w:r>
    </w:p>
    <w:p>
      <w:pPr>
        <w:pStyle w:val="Normal"/>
      </w:pPr>
      <w:r>
        <w:t xml:space="preserve">A worked example is proposed before the main classification. Its purpose is to test whether the rules produce understandable, source-supported decisions and to expose ambiguous cases. The resulting protocol should record reasons for each classification and preserve disagreements or later corrections. Any independent review will be described only after a reviewer and procedure have actually been arranged; AI agreement alone will not be presented as independent human validation.</w:t>
      </w:r>
    </w:p>
    <w:p>
      <w:pPr>
        <w:pStyle w:val="Heading1"/>
      </w:pPr>
      <w:r>
        <w:t xml:space="preserve">4. Case Context</w:t>
      </w:r>
    </w:p>
    <w:p>
      <w:pPr>
        <w:pStyle w:val="DraftNote"/>
      </w:pPr>
      <w:r>
        <w:t xml:space="preserve">Initial context only. Project timelines, tool versions and source availability will be checked against the relevant records before this chapter is finalised.</w:t>
      </w:r>
    </w:p>
    <w:p>
      <w:pPr>
        <w:pStyle w:val="Normal"/>
      </w:pPr>
      <w:r>
        <w:t xml:space="preserve">SPARK supplies the primary mobile-development context. SynCinema supplies the proposed browser-media comparison, and AutoSRT supplies the proposed local desktop-transcription comparison. This chapter will explain the purpose, relevant architecture and development period of each application only to the extent needed to understand the episodes. Detailed product inventories will remain outside the central argument unless they explain a research observation.</w:t>
      </w:r>
    </w:p>
    <w:p>
      <w:pPr>
        <w:pStyle w:val="Normal"/>
      </w:pPr>
      <w:r>
        <w:t xml:space="preserve">The same researcher developed all three applications. Consequently, platform differences, growing experience and changing AI tools may occur together. The comparison must examine these alternative explanations rather than attribute every difference directly to the assistant or technology stack.</w:t>
      </w:r>
    </w:p>
    <w:p>
      <w:pPr>
        <w:pStyle w:val="Heading1"/>
      </w:pPr>
      <w:r>
        <w:t xml:space="preserve">5. Development Episodes and Findings</w:t>
      </w:r>
    </w:p>
    <w:p>
      <w:pPr>
        <w:pStyle w:val="DraftNote"/>
      </w:pPr>
      <w:r>
        <w:t xml:space="preserve">Writing plan — empirical findings have not yet been drafted.</w:t>
      </w:r>
    </w:p>
    <w:p>
      <w:pPr>
        <w:pStyle w:val="Normal"/>
      </w:pPr>
      <w:r>
        <w:t xml:space="preserve">This chapter will present the selected episodes using a consistent structure: the problem, the available request and response, the human intervention, the observed changes, the supporting checks and the unresolved limits. Candidate leads and a provisional worked example exist in the research records, but they are not yet a final dataset. No counts, success rates or completed-device claims are supplied here.</w:t>
      </w:r>
    </w:p>
    <w:p>
      <w:pPr>
        <w:pStyle w:val="Heading1"/>
      </w:pPr>
      <w:r>
        <w:t xml:space="preserve">6. Cross-Case Discussion</w:t>
      </w:r>
    </w:p>
    <w:p>
      <w:pPr>
        <w:pStyle w:val="DraftNote"/>
      </w:pPr>
      <w:r>
        <w:t xml:space="preserve">Writing plan — conclusions depend on the completed episode analysis.</w:t>
      </w:r>
    </w:p>
    <w:p>
      <w:pPr>
        <w:pStyle w:val="Normal"/>
      </w:pPr>
      <w:r>
        <w:t xml:space="preserve">This chapter will compare the observed roles of AI and the developer, the forms of revision, and the evidence used to establish outcomes. It will relate supported patterns to the reviewed literature, examine conflicting examples and discuss the effects of incomplete records. Any quantitative summary will identify its eligible denominator and unknown cases.</w:t>
      </w:r>
    </w:p>
    <w:p>
      <w:pPr>
        <w:pStyle w:val="Heading1"/>
      </w:pPr>
      <w:r>
        <w:t xml:space="preserve">7. Conclusion and Future Work</w:t>
      </w:r>
    </w:p>
    <w:p>
      <w:pPr>
        <w:pStyle w:val="DraftNote"/>
      </w:pPr>
      <w:r>
        <w:t xml:space="preserve">Writing plan — the final answer to the research question remains open.</w:t>
      </w:r>
    </w:p>
    <w:p>
      <w:pPr>
        <w:pStyle w:val="Normal"/>
      </w:pPr>
      <w:r>
        <w:t xml:space="preserve">The conclusion will state what the completed analysis supports, what it does not establish and how the findings might inform future AI-assisted development or research. It will not assume that all selected solutions succeeded, that missing checks passed, or that one developer’s experience generalises to all developers.</w:t>
      </w:r>
    </w:p>
    <w:p>
      <w:pPr>
        <w:pStyle w:val="Heading1"/>
      </w:pPr>
      <w:r>
        <w:t xml:space="preserve">References</w:t>
      </w:r>
    </w:p>
    <w:p>
      <w:pPr>
        <w:pStyle w:val="Reference"/>
      </w:pPr>
      <w:r>
        <w:t xml:space="preserve">Barke, S., James, M. B., &amp; Polikarpova, N. (2023). Grounded Copilot: How programmers interact with code-generating models. </w:t>
      </w:r>
      <w:r>
        <w:rPr>
          <w:i/>
        </w:rPr>
        <w:t>Proceedings of the ACM on Programming Languages, 7</w:t>
      </w:r>
      <w:r>
        <w:t xml:space="preserve">(OOPSLA1), Article 78. https://doi.org/10.1145/3586030</w:t>
      </w:r>
    </w:p>
    <w:p>
      <w:pPr>
        <w:pStyle w:val="Reference"/>
      </w:pPr>
      <w:r>
        <w:t xml:space="preserve">Runeson, P., &amp; Höst, M. (2009). Guidelines for conducting and reporting case study research in software engineering. </w:t>
      </w:r>
      <w:r>
        <w:rPr>
          <w:i/>
        </w:rPr>
        <w:t>Empirical Software Engineering, 14</w:t>
      </w:r>
      <w:r>
        <w:t xml:space="preserve">, 131–164. https://doi.org/10.1007/s10664-008-9102-8</w:t>
      </w:r>
    </w:p>
    <w:p>
      <w:pPr>
        <w:pStyle w:val="Reference"/>
      </w:pPr>
      <w:r>
        <w:t xml:space="preserve">Vaithilingam, P., Zhang, T., &amp; Glassman, E. (2022). Expectation vs. experience: Evaluating the usability of code generation tools powered by large language models. In </w:t>
      </w:r>
      <w:r>
        <w:rPr>
          <w:i/>
        </w:rPr>
        <w:t>CHI Conference on Human Factors in Computing Systems Extended Abstracts</w:t>
      </w:r>
      <w:r>
        <w:t xml:space="preserve"> (pp. 1–7). Association for Computing Machinery. https://doi.org/10.1145/3491101.3519665</w:t>
      </w:r>
    </w:p>
    <w:sectPr>
      <w:footerReference w:type="default" r:id="rIdFooter"/>
      <w:pgSz w:w="11906" w:h="16838"/>
      <w:pgMar w:top="1417" w:right="1417" w:bottom="1417" w:left="1417" w:header="708" w:footer="708" w:gutter="0"/>
      <w:titlePg/>
    </w:sectPr>
  </w:body>
</w:document>
</file>

<file path=word/footer1.xml><?xml version="1.0" encoding="utf-8"?>
<w:ftr xmlns:w="http://schemas.openxmlformats.org/wordprocessingml/2006/main">
  <w:p>
    <w:pPr>
      <w:pStyle w:val="Footer"/>
    </w:pPr>
    <w:fldSimple w:instr="PAGE">
      <w:r>
        <w:t>1</w:t>
      </w:r>
    </w:fldSimple>
  </w:p>
</w:ftr>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w:docDefaults>
    <w:rPrDefault>
      <w:rPr>
        <w:rFonts w:ascii="Times New Roman" w:hAnsi="Times New Roman"/>
        <w:sz w:val="24"/>
        <w:lang w:val="en-GB"/>
      </w:rPr>
    </w:rPrDefault>
    <w:pPrDefault>
      <w:pPr>
        <w:spacing w:line="360" w:lineRule="auto"/>
      </w:pPr>
    </w:pPrDefault>
  </w:docDefaults>
  <w:style w:type="paragraph" w:styleId="Normal" w:default="1">
    <w:name w:val="Normal"/>
    <w:next w:val="Normal"/>
    <w:qFormat/>
    <w:pPr>
      <w:spacing w:before="0" w:after="120" w:line="360" w:lineRule="auto"/>
      <w:jc w:val="both"/>
      <w:widowControl/>
    </w:pPr>
    <w:rPr>
      <w:rFonts w:ascii="Times New Roman" w:hAnsi="Times New Roman" w:eastAsia="Times New Roman" w:cs="Times New Roman"/>
      <w:color w:val="000000"/>
      <w:sz w:val="24"/>
      <w:szCs w:val="24"/>
      <w:lang w:val="en-GB"/>
    </w:rPr>
  </w:style>
  <w:style w:type="paragraph" w:styleId="Heading1">
    <w:name w:val="heading 1"/>
    <w:basedOn w:val="Normal"/>
    <w:next w:val="Normal"/>
    <w:qFormat/>
    <w:pPr>
      <w:spacing w:before="360" w:after="200" w:line="360" w:lineRule="auto"/>
      <w:jc w:val="left"/>
      <w:widowControl/>
      <w:keepNext/>
      <w:keepLines/>
      <w:outlineLvl w:val="0"/>
    </w:pPr>
    <w:rPr>
      <w:rFonts w:ascii="Times New Roman" w:hAnsi="Times New Roman" w:eastAsia="Times New Roman" w:cs="Times New Roman"/>
      <w:color w:val="000000"/>
      <w:sz w:val="24"/>
      <w:szCs w:val="24"/>
      <w:b/>
      <w:lang w:val="en-GB"/>
    </w:rPr>
  </w:style>
  <w:style w:type="paragraph" w:styleId="Heading2">
    <w:name w:val="heading 2"/>
    <w:basedOn w:val="Normal"/>
    <w:next w:val="Normal"/>
    <w:qFormat/>
    <w:pPr>
      <w:spacing w:before="240" w:after="120" w:line="360" w:lineRule="auto"/>
      <w:jc w:val="left"/>
      <w:widowControl/>
      <w:keepNext/>
      <w:keepLines/>
      <w:outlineLvl w:val="1"/>
    </w:pPr>
    <w:rPr>
      <w:rFonts w:ascii="Times New Roman" w:hAnsi="Times New Roman" w:eastAsia="Times New Roman" w:cs="Times New Roman"/>
      <w:color w:val="000000"/>
      <w:sz w:val="24"/>
      <w:szCs w:val="24"/>
      <w:b/>
      <w:lang w:val="en-GB"/>
    </w:rPr>
  </w:style>
  <w:style w:type="paragraph" w:styleId="Title">
    <w:name w:val="Title"/>
    <w:basedOn w:val="Normal"/>
    <w:next w:val="Normal"/>
    <w:qFormat/>
    <w:pPr>
      <w:spacing w:before="480" w:after="160" w:line="360" w:lineRule="auto"/>
      <w:jc w:val="center"/>
      <w:widowControl/>
    </w:pPr>
    <w:rPr>
      <w:rFonts w:ascii="Times New Roman" w:hAnsi="Times New Roman" w:eastAsia="Times New Roman" w:cs="Times New Roman"/>
      <w:color w:val="000000"/>
      <w:sz w:val="32"/>
      <w:szCs w:val="32"/>
      <w:b/>
      <w:lang w:val="en-GB"/>
    </w:rPr>
  </w:style>
  <w:style w:type="paragraph" w:styleId="Subtitle">
    <w:name w:val="Subtitle"/>
    <w:basedOn w:val="Normal"/>
    <w:next w:val="Normal"/>
    <w:qFormat/>
    <w:pPr>
      <w:spacing w:before="0" w:after="320" w:line="360" w:lineRule="auto"/>
      <w:jc w:val="center"/>
      <w:widowControl/>
    </w:pPr>
    <w:rPr>
      <w:rFonts w:ascii="Times New Roman" w:hAnsi="Times New Roman" w:eastAsia="Times New Roman" w:cs="Times New Roman"/>
      <w:color w:val="000000"/>
      <w:sz w:val="24"/>
      <w:szCs w:val="24"/>
      <w:lang w:val="en-GB"/>
    </w:rPr>
  </w:style>
  <w:style w:type="paragraph" w:styleId="CoverMeta">
    <w:name w:val="Cover metadata"/>
    <w:basedOn w:val="Normal"/>
    <w:next w:val="Normal"/>
    <w:qFormat/>
    <w:pPr>
      <w:spacing w:before="0" w:after="160" w:line="360" w:lineRule="auto"/>
      <w:jc w:val="center"/>
      <w:widowControl/>
    </w:pPr>
    <w:rPr>
      <w:rFonts w:ascii="Times New Roman" w:hAnsi="Times New Roman" w:eastAsia="Times New Roman" w:cs="Times New Roman"/>
      <w:color w:val="000000"/>
      <w:sz w:val="24"/>
      <w:szCs w:val="24"/>
      <w:lang w:val="en-GB"/>
    </w:rPr>
  </w:style>
  <w:style w:type="paragraph" w:styleId="DraftNote">
    <w:name w:val="Draft note"/>
    <w:basedOn w:val="Normal"/>
    <w:next w:val="Normal"/>
    <w:qFormat/>
    <w:pPr>
      <w:spacing w:before="120" w:after="120" w:line="360" w:lineRule="auto"/>
      <w:jc w:val="left"/>
      <w:widowControl/>
    </w:pPr>
    <w:rPr>
      <w:rFonts w:ascii="Times New Roman" w:hAnsi="Times New Roman" w:eastAsia="Times New Roman" w:cs="Times New Roman"/>
      <w:color w:val="000000"/>
      <w:sz w:val="24"/>
      <w:szCs w:val="24"/>
      <w:i/>
      <w:lang w:val="en-GB"/>
    </w:rPr>
  </w:style>
  <w:style w:type="paragraph" w:styleId="Reference">
    <w:name w:val="Reference"/>
    <w:basedOn w:val="Normal"/>
    <w:next w:val="Normal"/>
    <w:qFormat/>
    <w:pPr>
      <w:spacing w:before="0" w:after="120" w:line="360" w:lineRule="auto"/>
      <w:jc w:val="left"/>
      <w:widowControl/>
      <w:ind w:left="720" w:hanging="720"/>
    </w:pPr>
    <w:rPr>
      <w:rFonts w:ascii="Times New Roman" w:hAnsi="Times New Roman" w:eastAsia="Times New Roman" w:cs="Times New Roman"/>
      <w:color w:val="000000"/>
      <w:sz w:val="24"/>
      <w:szCs w:val="24"/>
      <w:lang w:val="en-GB"/>
    </w:rPr>
  </w:style>
  <w:style w:type="paragraph" w:styleId="Footer">
    <w:name w:val="Footer"/>
    <w:basedOn w:val="Normal"/>
    <w:next w:val="Normal"/>
    <w:qFormat/>
    <w:pPr>
      <w:spacing w:before="0" w:after="0" w:line="360" w:lineRule="auto"/>
      <w:jc w:val="center"/>
      <w:widowControl/>
    </w:pPr>
    <w:rPr>
      <w:rFonts w:ascii="Times New Roman" w:hAnsi="Times New Roman" w:eastAsia="Times New Roman" w:cs="Times New Roman"/>
      <w:color w:val="000000"/>
      <w:sz w:val="24"/>
      <w:szCs w:val="24"/>
      <w:lang w:val="en-GB"/>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From Natural-Language Prompts to Functional Software</dc:title>
  <dc:creator>Ruslan Aliyev</dc:creator>
  <dc:description>Working thesis manuscript; initial prose and clearly marked writing plans.</dc:description>
</cp:coreProperties>
</file>