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Команда/файл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Вывод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предупреждения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helpdesk.py:2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W001 импорт json возможно не используется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Статус: Зеленый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коде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helpdesk.py</w:t>
              </w:r>
            </w:hyperlink>
            <w:r w:rsidDel="00000000" w:rsidR="00000000" w:rsidRPr="00000000">
              <w:rPr>
                <w:rtl w:val="0"/>
              </w:rPr>
              <w:t xml:space="preserve"> не используется что либо связанное с import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helpdesk.py:12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W002 изменяемое значение аргумента по умолчанию в create_ticket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Статус: Желетый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коде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helpdesk.py</w:t>
              </w:r>
            </w:hyperlink>
            <w:r w:rsidDel="00000000" w:rsidR="00000000" w:rsidRPr="00000000">
              <w:rPr>
                <w:rtl w:val="0"/>
              </w:rPr>
              <w:t xml:space="preserve"> аргумент tags создается системой а не составителем заявки и из за этого аргумент tags распространяется на все созданные заявки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Гипотеза об общем списке tags при проверки отдельным сценарием, оказалась не верна. В заявке где нет тега пишется около tags пустой массив а если заявка имеет тег то пишется его теги которые перечислялись при создании заявки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helpdesk.py" TargetMode="External"/><Relationship Id="rId7" Type="http://schemas.openxmlformats.org/officeDocument/2006/relationships/hyperlink" Target="http://helpdesk.py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