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76DC6759" w:rsidR="00D44D34" w:rsidRPr="003F5414" w:rsidRDefault="00D44D34" w:rsidP="003F541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F5414">
        <w:rPr>
          <w:sz w:val="24"/>
          <w:szCs w:val="24"/>
        </w:rPr>
        <w:t xml:space="preserve">Реализовать </w:t>
      </w:r>
      <w:r w:rsidR="00A54BBC" w:rsidRPr="003F5414">
        <w:rPr>
          <w:sz w:val="24"/>
          <w:szCs w:val="24"/>
        </w:rPr>
        <w:t>методы многомерной оптимизации</w:t>
      </w:r>
      <w:r w:rsidRPr="003F5414">
        <w:rPr>
          <w:sz w:val="24"/>
          <w:szCs w:val="24"/>
        </w:rPr>
        <w:t>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23EFE519" w:rsidR="00D44D34" w:rsidRPr="003F5414" w:rsidRDefault="00A54BBC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sz w:val="24"/>
          <w:szCs w:val="24"/>
        </w:rPr>
        <w:t>метод сопряжё</w:t>
      </w:r>
      <w:r w:rsidR="00D44D34" w:rsidRPr="00D44D34">
        <w:rPr>
          <w:sz w:val="24"/>
          <w:szCs w:val="24"/>
        </w:rPr>
        <w:t>нных градиентов</w:t>
      </w:r>
    </w:p>
    <w:p w14:paraId="4534BD8F" w14:textId="157AAF5B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Проанализировать траектории методов для 3 различных квадратичных функциях</w:t>
      </w:r>
    </w:p>
    <w:p w14:paraId="32CDC880" w14:textId="430F1F2A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Исследовать зависимость числа итераций, необходимых методам для сходимости в зависимости от числа обусловленности и размерности пространства</w:t>
      </w:r>
    </w:p>
    <w:p w14:paraId="362B57D7" w14:textId="1CAE44B7" w:rsidR="00F26DE1" w:rsidRPr="003F5414" w:rsidRDefault="00F26DE1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Реализовать программу отрисовки графиков с линиями уровня и траекториями методов</w:t>
      </w:r>
    </w:p>
    <w:p w14:paraId="41465A9D" w14:textId="0F964E58" w:rsidR="00F26DE1" w:rsidRDefault="00F26DE1" w:rsidP="0047703F">
      <w:pPr>
        <w:jc w:val="center"/>
        <w:rPr>
          <w:iCs/>
          <w:sz w:val="24"/>
          <w:szCs w:val="24"/>
        </w:rPr>
      </w:pPr>
    </w:p>
    <w:p w14:paraId="5899ADA2" w14:textId="21E5883F" w:rsidR="0003615E" w:rsidRDefault="0003615E" w:rsidP="000361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Вычислительные схемы методов</w:t>
      </w:r>
    </w:p>
    <w:p w14:paraId="7DA89846" w14:textId="3E475747" w:rsidR="0003615E" w:rsidRDefault="0003615E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градиентного спуска</w:t>
      </w:r>
      <w:r w:rsidR="00346E3F">
        <w:rPr>
          <w:sz w:val="28"/>
          <w:szCs w:val="28"/>
        </w:rPr>
        <w:t xml:space="preserve"> </w:t>
      </w:r>
      <w:r w:rsidR="00346E3F" w:rsidRPr="00346E3F">
        <w:rPr>
          <w:color w:val="FF0000"/>
          <w:sz w:val="28"/>
          <w:szCs w:val="28"/>
        </w:rPr>
        <w:t>(не знаю правильно ли)</w:t>
      </w:r>
    </w:p>
    <w:p w14:paraId="12A5BFA0" w14:textId="13A58B5E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sz w:val="28"/>
          <w:szCs w:val="28"/>
        </w:rPr>
        <w:t>1.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α&gt;0, ϵ&gt;0 , 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B2F0100" w14:textId="148587A0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iCs/>
          <w:sz w:val="28"/>
          <w:szCs w:val="28"/>
        </w:rPr>
        <w:t>2.</w:t>
      </w:r>
      <m:oMath>
        <m:r>
          <w:rPr>
            <w:rFonts w:ascii="Cambria Math" w:hAnsi="Cambria Math"/>
            <w:sz w:val="28"/>
            <w:szCs w:val="28"/>
          </w:rPr>
          <m:t xml:space="preserve">Пока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ϵ</m:t>
        </m:r>
      </m:oMath>
    </w:p>
    <w:p w14:paraId="2CB0A175" w14:textId="61C7AD14" w:rsidR="0003615E" w:rsidRPr="0003615E" w:rsidRDefault="0003615E" w:rsidP="0003615E">
      <w:pPr>
        <w:pStyle w:val="a3"/>
        <w:jc w:val="center"/>
        <w:rPr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y=x-α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Если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x=y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Иначе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60F4212" w14:textId="77777777" w:rsidR="0003615E" w:rsidRPr="0003615E" w:rsidRDefault="0003615E" w:rsidP="0003615E">
      <w:pPr>
        <w:pStyle w:val="a3"/>
        <w:jc w:val="center"/>
        <w:rPr>
          <w:i/>
          <w:sz w:val="28"/>
          <w:szCs w:val="28"/>
          <w:lang w:val="en-US"/>
        </w:rPr>
      </w:pPr>
    </w:p>
    <w:p w14:paraId="3DCAD89F" w14:textId="51C6040C" w:rsidR="0003615E" w:rsidRDefault="00346E3F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наискорейшего спуска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035D00CF" w14:textId="27A1E94D" w:rsidR="00A05194" w:rsidRPr="00A05194" w:rsidRDefault="00346E3F" w:rsidP="00A05194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Метод сопряженных градиентов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4749241D" w14:textId="3D690D06" w:rsidR="00E7003B" w:rsidRDefault="00E7003B" w:rsidP="00E700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методов на различных квадратичных функциях</w:t>
      </w:r>
    </w:p>
    <w:p w14:paraId="02257BF2" w14:textId="6EE08E18" w:rsidR="00C4050B" w:rsidRPr="00034143" w:rsidRDefault="00C4050B" w:rsidP="00C4050B">
      <w:pPr>
        <w:rPr>
          <w:sz w:val="28"/>
          <w:szCs w:val="28"/>
        </w:rPr>
      </w:pPr>
      <w:r>
        <w:rPr>
          <w:sz w:val="28"/>
          <w:szCs w:val="28"/>
        </w:rPr>
        <w:t xml:space="preserve">Для данного раздела отчета все функции запускались с </w:t>
      </w:r>
      <w:r>
        <w:rPr>
          <w:rFonts w:ascii="Cambria Math" w:hAnsi="Cambria Math"/>
          <w:sz w:val="28"/>
          <w:szCs w:val="28"/>
        </w:rPr>
        <w:t>ℰ</w:t>
      </w:r>
      <w:r w:rsidRPr="00C4050B">
        <w:rPr>
          <w:sz w:val="28"/>
          <w:szCs w:val="28"/>
        </w:rPr>
        <w:t xml:space="preserve"> = 0.0001</w:t>
      </w:r>
    </w:p>
    <w:p w14:paraId="5BFB3F08" w14:textId="5B99B95B" w:rsidR="00E7003B" w:rsidRDefault="00D41047" w:rsidP="00E7003B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+130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76538A" w:rsidRPr="0076538A">
        <w:rPr>
          <w:sz w:val="24"/>
          <w:szCs w:val="24"/>
        </w:rPr>
        <w:t>=(1.0,1.0)</w:t>
      </w:r>
    </w:p>
    <w:p w14:paraId="3CC6E24F" w14:textId="77777777" w:rsidR="00512CCC" w:rsidRPr="00512CCC" w:rsidRDefault="00C4050B" w:rsidP="00512CCC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50ADEF38" w14:textId="707EEE80" w:rsidR="00E7003B" w:rsidRPr="0076538A" w:rsidRDefault="00D41047" w:rsidP="0076538A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+126xy+64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-10x+30y+13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9E4F4F">
        <w:rPr>
          <w:sz w:val="24"/>
          <w:szCs w:val="24"/>
          <w:vertAlign w:val="superscript"/>
        </w:rPr>
        <w:t xml:space="preserve"> </w:t>
      </w:r>
      <w:r w:rsidR="0076538A" w:rsidRPr="0076538A">
        <w:rPr>
          <w:sz w:val="24"/>
          <w:szCs w:val="24"/>
        </w:rPr>
        <w:t>=</w:t>
      </w:r>
      <w:r w:rsidR="009E4F4F">
        <w:rPr>
          <w:sz w:val="24"/>
          <w:szCs w:val="24"/>
        </w:rPr>
        <w:t xml:space="preserve"> </w:t>
      </w:r>
      <w:r w:rsidR="0076538A" w:rsidRPr="0076538A">
        <w:rPr>
          <w:sz w:val="24"/>
          <w:szCs w:val="24"/>
        </w:rPr>
        <w:t>(1.0,1.0)</w:t>
      </w:r>
    </w:p>
    <w:p w14:paraId="144840B7" w14:textId="4F68C171" w:rsidR="0003615E" w:rsidRDefault="00C4050B" w:rsidP="00034143">
      <w:pPr>
        <w:ind w:left="360"/>
        <w:rPr>
          <w:color w:val="FF0000"/>
          <w:sz w:val="24"/>
          <w:szCs w:val="24"/>
        </w:rPr>
      </w:pPr>
      <w:r w:rsidRPr="00C4050B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11169A5D" w14:textId="5384F32E" w:rsidR="0076538A" w:rsidRPr="0076538A" w:rsidRDefault="00D41047" w:rsidP="0076538A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+126xy+64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-10x+30y+13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9E4F4F">
        <w:rPr>
          <w:sz w:val="24"/>
          <w:szCs w:val="24"/>
          <w:vertAlign w:val="superscript"/>
        </w:rPr>
        <w:t xml:space="preserve"> </w:t>
      </w:r>
      <w:r w:rsidR="0076538A" w:rsidRPr="0076538A">
        <w:rPr>
          <w:sz w:val="24"/>
          <w:szCs w:val="24"/>
        </w:rPr>
        <w:t>=</w:t>
      </w:r>
      <w:r w:rsidR="009E4F4F">
        <w:rPr>
          <w:sz w:val="24"/>
          <w:szCs w:val="24"/>
        </w:rPr>
        <w:t xml:space="preserve"> </w:t>
      </w:r>
      <w:r w:rsidR="0076538A" w:rsidRPr="0076538A">
        <w:rPr>
          <w:sz w:val="24"/>
          <w:szCs w:val="24"/>
        </w:rPr>
        <w:t>(</w:t>
      </w:r>
      <w:r w:rsidR="0076538A" w:rsidRPr="00106956">
        <w:rPr>
          <w:sz w:val="24"/>
          <w:szCs w:val="24"/>
        </w:rPr>
        <w:t>-4.0, 3.75</w:t>
      </w:r>
      <w:r w:rsidR="0076538A" w:rsidRPr="0076538A">
        <w:rPr>
          <w:sz w:val="24"/>
          <w:szCs w:val="24"/>
        </w:rPr>
        <w:t>)</w:t>
      </w:r>
    </w:p>
    <w:p w14:paraId="2B2C98B6" w14:textId="77777777" w:rsidR="0076538A" w:rsidRDefault="0076538A" w:rsidP="0076538A">
      <w:pPr>
        <w:ind w:left="360"/>
        <w:rPr>
          <w:color w:val="FF0000"/>
          <w:sz w:val="24"/>
          <w:szCs w:val="24"/>
        </w:rPr>
      </w:pPr>
      <w:r w:rsidRPr="00C4050B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00D1F0FC" w14:textId="77777777" w:rsidR="0076538A" w:rsidRDefault="0076538A" w:rsidP="00034143">
      <w:pPr>
        <w:ind w:left="360"/>
        <w:rPr>
          <w:color w:val="FF0000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53"/>
        <w:gridCol w:w="2344"/>
        <w:gridCol w:w="2368"/>
        <w:gridCol w:w="2345"/>
      </w:tblGrid>
      <w:tr w:rsidR="00034143" w14:paraId="756E87FF" w14:textId="77777777" w:rsidTr="00034143">
        <w:tc>
          <w:tcPr>
            <w:tcW w:w="2442" w:type="dxa"/>
          </w:tcPr>
          <w:p w14:paraId="3AE5F6FD" w14:textId="4D6E222D" w:rsidR="00034143" w:rsidRPr="00034143" w:rsidRDefault="0078535F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</w:t>
            </w:r>
          </w:p>
        </w:tc>
        <w:tc>
          <w:tcPr>
            <w:tcW w:w="2442" w:type="dxa"/>
          </w:tcPr>
          <w:p w14:paraId="2341231A" w14:textId="6DE5B158" w:rsidR="00034143" w:rsidRPr="00034143" w:rsidRDefault="00034143" w:rsidP="00034143">
            <w:pPr>
              <w:rPr>
                <w:sz w:val="24"/>
                <w:szCs w:val="24"/>
              </w:rPr>
            </w:pPr>
            <w:r w:rsidRPr="00034143">
              <w:rPr>
                <w:sz w:val="24"/>
                <w:szCs w:val="24"/>
              </w:rPr>
              <w:t>Число ите</w:t>
            </w:r>
            <w:r>
              <w:rPr>
                <w:sz w:val="24"/>
                <w:szCs w:val="24"/>
              </w:rPr>
              <w:t>раций метода градиентного спуска</w:t>
            </w:r>
          </w:p>
        </w:tc>
        <w:tc>
          <w:tcPr>
            <w:tcW w:w="2443" w:type="dxa"/>
          </w:tcPr>
          <w:p w14:paraId="14EC5219" w14:textId="6377867E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наискорейшего спуска</w:t>
            </w:r>
          </w:p>
        </w:tc>
        <w:tc>
          <w:tcPr>
            <w:tcW w:w="2443" w:type="dxa"/>
          </w:tcPr>
          <w:p w14:paraId="49163EA8" w14:textId="0729C648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сопряженных градиентов</w:t>
            </w:r>
          </w:p>
        </w:tc>
      </w:tr>
      <w:tr w:rsidR="00034143" w14:paraId="440F76BD" w14:textId="77777777" w:rsidTr="00034143">
        <w:tc>
          <w:tcPr>
            <w:tcW w:w="2442" w:type="dxa"/>
          </w:tcPr>
          <w:p w14:paraId="2C644117" w14:textId="13810F33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</w:tcPr>
          <w:p w14:paraId="1D21E826" w14:textId="7826133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43" w:type="dxa"/>
          </w:tcPr>
          <w:p w14:paraId="38D3B6A6" w14:textId="67BBA6A0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2D12C4AA" w14:textId="24F4485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34143" w14:paraId="2870EB93" w14:textId="77777777" w:rsidTr="00034143">
        <w:tc>
          <w:tcPr>
            <w:tcW w:w="2442" w:type="dxa"/>
          </w:tcPr>
          <w:p w14:paraId="204B075B" w14:textId="3E75E7B8" w:rsidR="00034143" w:rsidRPr="00034143" w:rsidRDefault="00106956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</w:tcPr>
          <w:p w14:paraId="7965E79A" w14:textId="7288BF82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836</w:t>
            </w:r>
          </w:p>
        </w:tc>
        <w:tc>
          <w:tcPr>
            <w:tcW w:w="2443" w:type="dxa"/>
          </w:tcPr>
          <w:p w14:paraId="5572EBF7" w14:textId="34307412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34D347A9" w14:textId="362130D8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34143" w14:paraId="6D83A95C" w14:textId="77777777" w:rsidTr="00034143">
        <w:tc>
          <w:tcPr>
            <w:tcW w:w="2442" w:type="dxa"/>
          </w:tcPr>
          <w:p w14:paraId="0F0A1D54" w14:textId="67189076" w:rsidR="00034143" w:rsidRPr="00034143" w:rsidRDefault="00106956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</w:tcPr>
          <w:p w14:paraId="1213D877" w14:textId="7214FFF1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702</w:t>
            </w:r>
          </w:p>
        </w:tc>
        <w:tc>
          <w:tcPr>
            <w:tcW w:w="2443" w:type="dxa"/>
          </w:tcPr>
          <w:p w14:paraId="1E640282" w14:textId="7FF39DD4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787</w:t>
            </w:r>
          </w:p>
        </w:tc>
        <w:tc>
          <w:tcPr>
            <w:tcW w:w="2443" w:type="dxa"/>
          </w:tcPr>
          <w:p w14:paraId="7DC0EE52" w14:textId="3C00E1AE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DD5DD8A" w14:textId="7A0F228E" w:rsidR="00034143" w:rsidRDefault="00034143" w:rsidP="00034143">
      <w:pPr>
        <w:ind w:left="360"/>
        <w:rPr>
          <w:color w:val="FF0000"/>
          <w:sz w:val="24"/>
          <w:szCs w:val="24"/>
        </w:rPr>
      </w:pPr>
    </w:p>
    <w:p w14:paraId="31ADABFB" w14:textId="1EB468F1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Для первой функции методы отработали быстро из-за того, что число обусловленности квадратичной матрицы функции равно 1</w:t>
      </w:r>
      <w:r w:rsidR="008F2BDD">
        <w:rPr>
          <w:sz w:val="24"/>
          <w:szCs w:val="24"/>
        </w:rPr>
        <w:t xml:space="preserve"> и линиями уровня являются окружности</w:t>
      </w:r>
      <w:r>
        <w:rPr>
          <w:sz w:val="24"/>
          <w:szCs w:val="24"/>
        </w:rPr>
        <w:t>.</w:t>
      </w:r>
    </w:p>
    <w:p w14:paraId="70D712C3" w14:textId="59B26ED4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Сильно возросшее время работы для второй функции связано с тем, что </w:t>
      </w:r>
      <w:r w:rsidR="008F2BDD">
        <w:rPr>
          <w:sz w:val="24"/>
          <w:szCs w:val="24"/>
        </w:rPr>
        <w:t>линии уровня этой функции - эллипсы</w:t>
      </w:r>
      <w:r>
        <w:rPr>
          <w:sz w:val="24"/>
          <w:szCs w:val="24"/>
        </w:rPr>
        <w:t>. При этом методу градиентного спуска понадобилось в разы больше итераций. Связано это с тем, что данный метод не подбирает длину шага для конкретной итерации, из-за чего он долго ходит зигзагами на данной функции.</w:t>
      </w:r>
    </w:p>
    <w:p w14:paraId="77BA7659" w14:textId="02B269EB" w:rsidR="00535028" w:rsidRDefault="0078535F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В 3-ем исследование бралась таже функция, что и в предыдущем, но поменялось начально приближение. Это изменение привело к тому, что метод наискорейшего спуска стал работать дольше чем метод градиентного спуска.</w:t>
      </w:r>
    </w:p>
    <w:p w14:paraId="4633203F" w14:textId="097FF4BC" w:rsidR="00903C42" w:rsidRDefault="00535028" w:rsidP="007B2C47">
      <w:pPr>
        <w:ind w:left="360"/>
        <w:rPr>
          <w:sz w:val="24"/>
          <w:szCs w:val="24"/>
        </w:rPr>
      </w:pPr>
      <w:r>
        <w:rPr>
          <w:sz w:val="24"/>
          <w:szCs w:val="24"/>
        </w:rPr>
        <w:t>Также стоит отметить что метод сопряженных градиентов для всех данных функций отработал за 1 или 2 итерации. Поскольку размерность пространства равна 2, то это является ожидаемым результатом.</w:t>
      </w:r>
    </w:p>
    <w:p w14:paraId="03562D7E" w14:textId="77777777" w:rsidR="00A05194" w:rsidRPr="00A54BBC" w:rsidRDefault="00A05194" w:rsidP="00A05194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A54BBC">
        <w:rPr>
          <w:b/>
          <w:sz w:val="28"/>
          <w:szCs w:val="28"/>
        </w:rPr>
        <w:t>Количество итераций метода наискорейшего спуска в зависимости от используемого метода одномерной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A05194" w14:paraId="47C5CED1" w14:textId="77777777" w:rsidTr="00E773AE">
        <w:tc>
          <w:tcPr>
            <w:tcW w:w="2442" w:type="dxa"/>
          </w:tcPr>
          <w:p w14:paraId="1C1BF153" w14:textId="77777777" w:rsidR="00A05194" w:rsidRPr="00A54BBC" w:rsidRDefault="00A05194" w:rsidP="00E773AE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2442" w:type="dxa"/>
          </w:tcPr>
          <w:p w14:paraId="7705B99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lang w:val="en-US"/>
              </w:rPr>
              <w:softHyphen/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43" w:type="dxa"/>
          </w:tcPr>
          <w:p w14:paraId="31AED2A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3" w:type="dxa"/>
          </w:tcPr>
          <w:p w14:paraId="1AD3BB51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05194" w14:paraId="5E54E9BA" w14:textId="77777777" w:rsidTr="00E773AE">
        <w:tc>
          <w:tcPr>
            <w:tcW w:w="2442" w:type="dxa"/>
          </w:tcPr>
          <w:p w14:paraId="0A9C113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дихотомии</w:t>
            </w:r>
          </w:p>
        </w:tc>
        <w:tc>
          <w:tcPr>
            <w:tcW w:w="2442" w:type="dxa"/>
          </w:tcPr>
          <w:p w14:paraId="204CB33C" w14:textId="66B69A11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43" w:type="dxa"/>
          </w:tcPr>
          <w:p w14:paraId="3984D93E" w14:textId="42B2718C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49</w:t>
            </w:r>
          </w:p>
        </w:tc>
        <w:tc>
          <w:tcPr>
            <w:tcW w:w="2443" w:type="dxa"/>
          </w:tcPr>
          <w:p w14:paraId="388EEE33" w14:textId="7C341541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638</w:t>
            </w:r>
          </w:p>
        </w:tc>
      </w:tr>
      <w:tr w:rsidR="00A05194" w14:paraId="50E88534" w14:textId="77777777" w:rsidTr="00E773AE">
        <w:tc>
          <w:tcPr>
            <w:tcW w:w="2442" w:type="dxa"/>
          </w:tcPr>
          <w:p w14:paraId="7A975E2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золотого сечения</w:t>
            </w:r>
          </w:p>
        </w:tc>
        <w:tc>
          <w:tcPr>
            <w:tcW w:w="2442" w:type="dxa"/>
          </w:tcPr>
          <w:p w14:paraId="1C051435" w14:textId="23B208AB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9E4F4B9" w14:textId="16EDA1E6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19</w:t>
            </w:r>
          </w:p>
        </w:tc>
        <w:tc>
          <w:tcPr>
            <w:tcW w:w="2443" w:type="dxa"/>
          </w:tcPr>
          <w:p w14:paraId="2F8D0AEA" w14:textId="574007E3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732</w:t>
            </w:r>
          </w:p>
        </w:tc>
      </w:tr>
      <w:tr w:rsidR="00A05194" w14:paraId="0B4A659D" w14:textId="77777777" w:rsidTr="00E773AE">
        <w:tc>
          <w:tcPr>
            <w:tcW w:w="2442" w:type="dxa"/>
          </w:tcPr>
          <w:p w14:paraId="034AFFB3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Фибоначчи</w:t>
            </w:r>
          </w:p>
        </w:tc>
        <w:tc>
          <w:tcPr>
            <w:tcW w:w="2442" w:type="dxa"/>
          </w:tcPr>
          <w:p w14:paraId="6F402767" w14:textId="1D6187FC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B348F2A" w14:textId="22F624ED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2443" w:type="dxa"/>
          </w:tcPr>
          <w:p w14:paraId="7A64E24C" w14:textId="0F80F063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772</w:t>
            </w:r>
          </w:p>
        </w:tc>
      </w:tr>
      <w:tr w:rsidR="00A05194" w14:paraId="0013A3A9" w14:textId="77777777" w:rsidTr="00E773AE">
        <w:tc>
          <w:tcPr>
            <w:tcW w:w="2442" w:type="dxa"/>
          </w:tcPr>
          <w:p w14:paraId="4028F002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парабол</w:t>
            </w:r>
          </w:p>
        </w:tc>
        <w:tc>
          <w:tcPr>
            <w:tcW w:w="2442" w:type="dxa"/>
          </w:tcPr>
          <w:p w14:paraId="7D8C4A80" w14:textId="0DDA16B5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A12FF2C" w14:textId="5CA8605A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15D3F967" w14:textId="56185FAB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789</w:t>
            </w:r>
          </w:p>
        </w:tc>
      </w:tr>
      <w:tr w:rsidR="00A05194" w14:paraId="1E08F2EE" w14:textId="77777777" w:rsidTr="00E773AE">
        <w:tc>
          <w:tcPr>
            <w:tcW w:w="2442" w:type="dxa"/>
          </w:tcPr>
          <w:p w14:paraId="0C7A4990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Брента</w:t>
            </w:r>
          </w:p>
        </w:tc>
        <w:tc>
          <w:tcPr>
            <w:tcW w:w="2442" w:type="dxa"/>
          </w:tcPr>
          <w:p w14:paraId="4A64D183" w14:textId="2275D908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18C65891" w14:textId="28372076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0C406901" w14:textId="1CB4C296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787</w:t>
            </w:r>
          </w:p>
        </w:tc>
      </w:tr>
    </w:tbl>
    <w:p w14:paraId="63CB1DF8" w14:textId="0C869772" w:rsidR="00387351" w:rsidRDefault="00387351" w:rsidP="00387351">
      <w:pPr>
        <w:rPr>
          <w:color w:val="000000" w:themeColor="text1"/>
        </w:rPr>
      </w:pPr>
    </w:p>
    <w:p w14:paraId="0CDC87E6" w14:textId="4AF19C51" w:rsidR="00A05194" w:rsidRPr="00387351" w:rsidRDefault="00387351" w:rsidP="00D72C76">
      <w:pPr>
        <w:rPr>
          <w:color w:val="FF0000"/>
        </w:rPr>
      </w:pPr>
      <w:r>
        <w:rPr>
          <w:color w:val="000000" w:themeColor="text1"/>
        </w:rPr>
        <w:t xml:space="preserve">По результатам данного исследования можно сделать вывод, что </w:t>
      </w:r>
      <w:r w:rsidR="00D41047">
        <w:rPr>
          <w:color w:val="000000" w:themeColor="text1"/>
        </w:rPr>
        <w:t>выбор метода одномерного поиска не сильно влияет на скорость сходимости метода. Это также следует из того, что одномерный метод влияет только на поиск величины шага, а так как все методы находят приблизительно одинаковое значение, то и метод наискорейшего спуска будет сходиться за близкое количество итераций.</w:t>
      </w:r>
    </w:p>
    <w:p w14:paraId="31F5B93A" w14:textId="7B81AF77" w:rsidR="00E0075E" w:rsidRDefault="00AE58F4" w:rsidP="00AE58F4">
      <w:pPr>
        <w:jc w:val="center"/>
      </w:pPr>
      <w:r>
        <w:rPr>
          <w:b/>
          <w:bCs/>
          <w:sz w:val="28"/>
          <w:szCs w:val="28"/>
        </w:rPr>
        <w:lastRenderedPageBreak/>
        <w:t>Результаты исследования зависимости числа итераций от размерности пространства и числа обусловленности</w:t>
      </w:r>
    </w:p>
    <w:p w14:paraId="5261BD4E" w14:textId="1350417C" w:rsidR="00E0075E" w:rsidRDefault="00E0075E" w:rsidP="009E27B8">
      <w:pPr>
        <w:jc w:val="center"/>
      </w:pPr>
      <w:r>
        <w:rPr>
          <w:noProof/>
        </w:rPr>
        <w:drawing>
          <wp:inline distT="0" distB="0" distL="0" distR="0" wp14:anchorId="511E1BB0" wp14:editId="3C2274C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ECF15D" w14:textId="58C23361" w:rsidR="00AE58F4" w:rsidRDefault="00AE58F4" w:rsidP="009E27B8">
      <w:pPr>
        <w:jc w:val="center"/>
      </w:pPr>
      <w:r>
        <w:rPr>
          <w:noProof/>
        </w:rPr>
        <w:drawing>
          <wp:inline distT="0" distB="0" distL="0" distR="0" wp14:anchorId="55198766" wp14:editId="4F6C254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39FC83" w14:textId="4E4F632D" w:rsidR="00AE58F4" w:rsidRDefault="00AE58F4" w:rsidP="009E27B8">
      <w:pPr>
        <w:jc w:val="center"/>
      </w:pPr>
      <w:r>
        <w:rPr>
          <w:noProof/>
        </w:rPr>
        <w:lastRenderedPageBreak/>
        <w:drawing>
          <wp:inline distT="0" distB="0" distL="0" distR="0" wp14:anchorId="03BCA483" wp14:editId="76FFD5A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9C8B4A" w14:textId="3A9F6ECA" w:rsidR="007D6A28" w:rsidRDefault="007D6A28" w:rsidP="007D6A28">
      <w:r>
        <w:t>По данным графикам можно сделать вывод, что методы градиентного спуска и наискорейшего спуска не зависят от размерности пространства. При этом метод градиентного спуска является более чувствительным к росту числа обусловленности.</w:t>
      </w:r>
    </w:p>
    <w:p w14:paraId="54226FEF" w14:textId="29A02854" w:rsidR="00262CB4" w:rsidRPr="00262CB4" w:rsidRDefault="007D6A28" w:rsidP="00A05194">
      <w:r>
        <w:t>В свою очередь в методе сопряженных градиентов количество итераций растет не так быстро с ростом числа обусловленности, однако данный метод чувствителен к росту размерности пространства.</w:t>
      </w:r>
      <w:r w:rsidR="00A05194" w:rsidRPr="00262CB4">
        <w:t xml:space="preserve"> </w:t>
      </w:r>
    </w:p>
    <w:p w14:paraId="7B24A734" w14:textId="6B770095" w:rsidR="00A54BBC" w:rsidRPr="004232C3" w:rsidRDefault="004232C3" w:rsidP="000C6E2F">
      <w:pPr>
        <w:spacing w:after="0" w:line="240" w:lineRule="auto"/>
        <w:jc w:val="center"/>
        <w:rPr>
          <w:b/>
          <w:iCs/>
          <w:color w:val="FF0000"/>
          <w:sz w:val="28"/>
          <w:szCs w:val="28"/>
        </w:rPr>
      </w:pPr>
      <w:r>
        <w:rPr>
          <w:color w:val="FF0000"/>
        </w:rPr>
        <w:t>Иллюстрации как работать с граф интерфейсом.</w:t>
      </w:r>
    </w:p>
    <w:sectPr w:rsidR="00A54BBC" w:rsidRPr="004232C3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60"/>
    <w:multiLevelType w:val="hybridMultilevel"/>
    <w:tmpl w:val="300EFE4A"/>
    <w:lvl w:ilvl="0" w:tplc="5C2A53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F02F8C"/>
    <w:multiLevelType w:val="hybridMultilevel"/>
    <w:tmpl w:val="C7D8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EBB"/>
    <w:multiLevelType w:val="hybridMultilevel"/>
    <w:tmpl w:val="9168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3D3A"/>
    <w:multiLevelType w:val="hybridMultilevel"/>
    <w:tmpl w:val="5814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34143"/>
    <w:rsid w:val="0003615E"/>
    <w:rsid w:val="0007549E"/>
    <w:rsid w:val="000A2AEF"/>
    <w:rsid w:val="000C6E2F"/>
    <w:rsid w:val="00106956"/>
    <w:rsid w:val="0016195A"/>
    <w:rsid w:val="00174A56"/>
    <w:rsid w:val="00176492"/>
    <w:rsid w:val="00192526"/>
    <w:rsid w:val="001B078D"/>
    <w:rsid w:val="00201295"/>
    <w:rsid w:val="00240154"/>
    <w:rsid w:val="00262CB4"/>
    <w:rsid w:val="0030651E"/>
    <w:rsid w:val="00330316"/>
    <w:rsid w:val="00346E3F"/>
    <w:rsid w:val="00352A41"/>
    <w:rsid w:val="00387351"/>
    <w:rsid w:val="0039108D"/>
    <w:rsid w:val="003C62AD"/>
    <w:rsid w:val="003D22D4"/>
    <w:rsid w:val="003E6C07"/>
    <w:rsid w:val="003F01AA"/>
    <w:rsid w:val="003F5414"/>
    <w:rsid w:val="004232C3"/>
    <w:rsid w:val="0044022E"/>
    <w:rsid w:val="0047703F"/>
    <w:rsid w:val="00512CCC"/>
    <w:rsid w:val="0052608A"/>
    <w:rsid w:val="00535028"/>
    <w:rsid w:val="00554FCB"/>
    <w:rsid w:val="005B73A5"/>
    <w:rsid w:val="005D3F20"/>
    <w:rsid w:val="0060607D"/>
    <w:rsid w:val="0064512A"/>
    <w:rsid w:val="006536D1"/>
    <w:rsid w:val="0066321C"/>
    <w:rsid w:val="00676084"/>
    <w:rsid w:val="006769A4"/>
    <w:rsid w:val="006807A8"/>
    <w:rsid w:val="006915E6"/>
    <w:rsid w:val="0076538A"/>
    <w:rsid w:val="00774224"/>
    <w:rsid w:val="00777169"/>
    <w:rsid w:val="0078535F"/>
    <w:rsid w:val="007A215B"/>
    <w:rsid w:val="007B2C47"/>
    <w:rsid w:val="007D54E4"/>
    <w:rsid w:val="007D6A28"/>
    <w:rsid w:val="0089753A"/>
    <w:rsid w:val="008A0D15"/>
    <w:rsid w:val="008F2BDD"/>
    <w:rsid w:val="00903C42"/>
    <w:rsid w:val="009103E5"/>
    <w:rsid w:val="00990A69"/>
    <w:rsid w:val="009A3681"/>
    <w:rsid w:val="009C3C3F"/>
    <w:rsid w:val="009E27B8"/>
    <w:rsid w:val="009E489D"/>
    <w:rsid w:val="009E4F4F"/>
    <w:rsid w:val="00A025DD"/>
    <w:rsid w:val="00A05194"/>
    <w:rsid w:val="00A47364"/>
    <w:rsid w:val="00A54BBC"/>
    <w:rsid w:val="00A802FA"/>
    <w:rsid w:val="00A86B11"/>
    <w:rsid w:val="00A92CA3"/>
    <w:rsid w:val="00AB5FCD"/>
    <w:rsid w:val="00AE58F4"/>
    <w:rsid w:val="00B04E16"/>
    <w:rsid w:val="00B8653B"/>
    <w:rsid w:val="00B92E41"/>
    <w:rsid w:val="00BE140E"/>
    <w:rsid w:val="00C072A5"/>
    <w:rsid w:val="00C2172B"/>
    <w:rsid w:val="00C4050B"/>
    <w:rsid w:val="00C574DC"/>
    <w:rsid w:val="00C76689"/>
    <w:rsid w:val="00D308E9"/>
    <w:rsid w:val="00D41047"/>
    <w:rsid w:val="00D44D34"/>
    <w:rsid w:val="00D6325C"/>
    <w:rsid w:val="00D72C76"/>
    <w:rsid w:val="00DB3A61"/>
    <w:rsid w:val="00DB70E3"/>
    <w:rsid w:val="00E00584"/>
    <w:rsid w:val="00E0075E"/>
    <w:rsid w:val="00E7003B"/>
    <w:rsid w:val="00EE49B2"/>
    <w:rsid w:val="00F26DE1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5E6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F26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26D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26D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26DE1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D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градиентного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11</c:v>
                </c:pt>
                <c:pt idx="1">
                  <c:v>586</c:v>
                </c:pt>
                <c:pt idx="2">
                  <c:v>1527</c:v>
                </c:pt>
                <c:pt idx="3">
                  <c:v>2110</c:v>
                </c:pt>
                <c:pt idx="4">
                  <c:v>3160</c:v>
                </c:pt>
                <c:pt idx="5">
                  <c:v>4546</c:v>
                </c:pt>
                <c:pt idx="6">
                  <c:v>4448</c:v>
                </c:pt>
                <c:pt idx="7">
                  <c:v>5933</c:v>
                </c:pt>
                <c:pt idx="8">
                  <c:v>6504</c:v>
                </c:pt>
                <c:pt idx="9">
                  <c:v>6998</c:v>
                </c:pt>
                <c:pt idx="10">
                  <c:v>7782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4-4746-988A-71215FDC56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10</c:v>
                </c:pt>
                <c:pt idx="1">
                  <c:v>602</c:v>
                </c:pt>
                <c:pt idx="2">
                  <c:v>1464</c:v>
                </c:pt>
                <c:pt idx="3">
                  <c:v>2580</c:v>
                </c:pt>
                <c:pt idx="4">
                  <c:v>3010</c:v>
                </c:pt>
                <c:pt idx="5">
                  <c:v>4644</c:v>
                </c:pt>
                <c:pt idx="6">
                  <c:v>4629</c:v>
                </c:pt>
                <c:pt idx="7">
                  <c:v>5457</c:v>
                </c:pt>
                <c:pt idx="8">
                  <c:v>6827</c:v>
                </c:pt>
                <c:pt idx="9">
                  <c:v>8008</c:v>
                </c:pt>
                <c:pt idx="10">
                  <c:v>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4-4746-988A-71215FDC56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38</c:v>
                </c:pt>
                <c:pt idx="1">
                  <c:v>666</c:v>
                </c:pt>
                <c:pt idx="2">
                  <c:v>1331</c:v>
                </c:pt>
                <c:pt idx="3">
                  <c:v>2049</c:v>
                </c:pt>
                <c:pt idx="4">
                  <c:v>2606</c:v>
                </c:pt>
                <c:pt idx="5">
                  <c:v>3664</c:v>
                </c:pt>
                <c:pt idx="6">
                  <c:v>4359</c:v>
                </c:pt>
                <c:pt idx="7">
                  <c:v>5789</c:v>
                </c:pt>
                <c:pt idx="8">
                  <c:v>6381</c:v>
                </c:pt>
                <c:pt idx="9">
                  <c:v>6934</c:v>
                </c:pt>
                <c:pt idx="10">
                  <c:v>9377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64-4746-988A-71215FDC56F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100</c:v>
                </c:pt>
                <c:pt idx="1">
                  <c:v>687</c:v>
                </c:pt>
                <c:pt idx="2">
                  <c:v>1385</c:v>
                </c:pt>
                <c:pt idx="3">
                  <c:v>2011</c:v>
                </c:pt>
                <c:pt idx="4">
                  <c:v>2783</c:v>
                </c:pt>
                <c:pt idx="5">
                  <c:v>3580</c:v>
                </c:pt>
                <c:pt idx="6">
                  <c:v>4242</c:v>
                </c:pt>
                <c:pt idx="7">
                  <c:v>4881</c:v>
                </c:pt>
                <c:pt idx="8">
                  <c:v>5953</c:v>
                </c:pt>
                <c:pt idx="9">
                  <c:v>6608</c:v>
                </c:pt>
                <c:pt idx="10">
                  <c:v>7295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64-4746-988A-71215FDC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наискорейшего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508</c:v>
                </c:pt>
                <c:pt idx="2">
                  <c:v>1011</c:v>
                </c:pt>
                <c:pt idx="3">
                  <c:v>1509</c:v>
                </c:pt>
                <c:pt idx="4">
                  <c:v>2004</c:v>
                </c:pt>
                <c:pt idx="5">
                  <c:v>2547</c:v>
                </c:pt>
                <c:pt idx="6">
                  <c:v>3044</c:v>
                </c:pt>
                <c:pt idx="7">
                  <c:v>3530</c:v>
                </c:pt>
                <c:pt idx="8">
                  <c:v>4027</c:v>
                </c:pt>
                <c:pt idx="9">
                  <c:v>4452</c:v>
                </c:pt>
                <c:pt idx="10">
                  <c:v>4819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1-4FAE-B248-EE10820369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515</c:v>
                </c:pt>
                <c:pt idx="2">
                  <c:v>1021</c:v>
                </c:pt>
                <c:pt idx="3">
                  <c:v>1529</c:v>
                </c:pt>
                <c:pt idx="4">
                  <c:v>2036</c:v>
                </c:pt>
                <c:pt idx="5">
                  <c:v>2549</c:v>
                </c:pt>
                <c:pt idx="6">
                  <c:v>3049</c:v>
                </c:pt>
                <c:pt idx="7">
                  <c:v>3552</c:v>
                </c:pt>
                <c:pt idx="8">
                  <c:v>4066</c:v>
                </c:pt>
                <c:pt idx="9">
                  <c:v>4574</c:v>
                </c:pt>
                <c:pt idx="10">
                  <c:v>5061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1-4FAE-B248-EE10820369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524</c:v>
                </c:pt>
                <c:pt idx="2">
                  <c:v>1035</c:v>
                </c:pt>
                <c:pt idx="3">
                  <c:v>1538</c:v>
                </c:pt>
                <c:pt idx="4">
                  <c:v>2053</c:v>
                </c:pt>
                <c:pt idx="5">
                  <c:v>2561</c:v>
                </c:pt>
                <c:pt idx="6">
                  <c:v>3061</c:v>
                </c:pt>
                <c:pt idx="7">
                  <c:v>3575</c:v>
                </c:pt>
                <c:pt idx="8">
                  <c:v>4081</c:v>
                </c:pt>
                <c:pt idx="9">
                  <c:v>4598</c:v>
                </c:pt>
                <c:pt idx="10">
                  <c:v>5091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F1-4FAE-B248-EE108203695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554</c:v>
                </c:pt>
                <c:pt idx="2">
                  <c:v>1086</c:v>
                </c:pt>
                <c:pt idx="3">
                  <c:v>1599</c:v>
                </c:pt>
                <c:pt idx="4">
                  <c:v>2101</c:v>
                </c:pt>
                <c:pt idx="5">
                  <c:v>2640</c:v>
                </c:pt>
                <c:pt idx="6">
                  <c:v>3142</c:v>
                </c:pt>
                <c:pt idx="7">
                  <c:v>3640</c:v>
                </c:pt>
                <c:pt idx="8">
                  <c:v>4161</c:v>
                </c:pt>
                <c:pt idx="9">
                  <c:v>4635</c:v>
                </c:pt>
                <c:pt idx="10">
                  <c:v>5135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F1-4FAE-B248-EE1082036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сопряжённых градиентов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53-426A-85EC-07010D9647D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50</c:v>
                </c:pt>
                <c:pt idx="2">
                  <c:v>57</c:v>
                </c:pt>
                <c:pt idx="3">
                  <c:v>61</c:v>
                </c:pt>
                <c:pt idx="4">
                  <c:v>52</c:v>
                </c:pt>
                <c:pt idx="5">
                  <c:v>58</c:v>
                </c:pt>
                <c:pt idx="6">
                  <c:v>60</c:v>
                </c:pt>
                <c:pt idx="7">
                  <c:v>57</c:v>
                </c:pt>
                <c:pt idx="8">
                  <c:v>58</c:v>
                </c:pt>
                <c:pt idx="9">
                  <c:v>64</c:v>
                </c:pt>
                <c:pt idx="10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53-426A-85EC-07010D9647D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71</c:v>
                </c:pt>
                <c:pt idx="2">
                  <c:v>97</c:v>
                </c:pt>
                <c:pt idx="3">
                  <c:v>116</c:v>
                </c:pt>
                <c:pt idx="4">
                  <c:v>128</c:v>
                </c:pt>
                <c:pt idx="5">
                  <c:v>137</c:v>
                </c:pt>
                <c:pt idx="6">
                  <c:v>141</c:v>
                </c:pt>
                <c:pt idx="7">
                  <c:v>149</c:v>
                </c:pt>
                <c:pt idx="8">
                  <c:v>159</c:v>
                </c:pt>
                <c:pt idx="9">
                  <c:v>163</c:v>
                </c:pt>
                <c:pt idx="10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53-426A-85EC-07010D9647D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77</c:v>
                </c:pt>
                <c:pt idx="2">
                  <c:v>108</c:v>
                </c:pt>
                <c:pt idx="3">
                  <c:v>132</c:v>
                </c:pt>
                <c:pt idx="4">
                  <c:v>152</c:v>
                </c:pt>
                <c:pt idx="5">
                  <c:v>169</c:v>
                </c:pt>
                <c:pt idx="6">
                  <c:v>185</c:v>
                </c:pt>
                <c:pt idx="7">
                  <c:v>199</c:v>
                </c:pt>
                <c:pt idx="8">
                  <c:v>210</c:v>
                </c:pt>
                <c:pt idx="9">
                  <c:v>224</c:v>
                </c:pt>
                <c:pt idx="10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53-426A-85EC-07010D964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76</cp:revision>
  <dcterms:created xsi:type="dcterms:W3CDTF">2021-02-28T13:48:00Z</dcterms:created>
  <dcterms:modified xsi:type="dcterms:W3CDTF">2021-05-21T17:24:00Z</dcterms:modified>
</cp:coreProperties>
</file>