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5E3820" w14:textId="77777777">
      <w:pPr>
        <w:pBdr/>
        <w:spacing w:after="0" w:line="240" w:lineRule="auto"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709BE5C9" w14:textId="723C9211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Министерство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профессионального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образования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27CB38C5" w14:textId="77777777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и занятости населения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Приморского края 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3A4DB502" w14:textId="77777777">
      <w:pPr>
        <w:keepNext w:val="true"/>
        <w:pBdr/>
        <w:tabs>
          <w:tab w:val="left" w:leader="none" w:pos="851"/>
        </w:tabs>
        <w:spacing w:after="0" w:line="24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краевое государственное автономное профессиональное образовательное учреждение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</w:r>
    </w:p>
    <w:p w14:paraId="5225E697" w14:textId="77777777">
      <w:pPr>
        <w:keepNext w:val="true"/>
        <w:pBdr/>
        <w:tabs>
          <w:tab w:val="left" w:leader="none" w:pos="851"/>
        </w:tabs>
        <w:spacing w:after="0" w:line="480" w:lineRule="auto"/>
        <w:ind w:firstLine="567"/>
        <w:jc w:val="center"/>
        <w:outlineLvl w:val="1"/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pP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32"/>
          <w:szCs w:val="32"/>
        </w:rPr>
        <w:t xml:space="preserve">Владивостокский судостроительный колледж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  <w:t xml:space="preserve">»</w:t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r>
      <w:r>
        <w:rPr>
          <w:rFonts w:ascii="Times New Roman" w:hAnsi="Times New Roman" w:eastAsia="Times New Roman" w:cs="Times New Roman"/>
          <w:bCs/>
          <w:iCs/>
          <w:caps/>
          <w:sz w:val="32"/>
          <w:szCs w:val="32"/>
        </w:rPr>
      </w:r>
    </w:p>
    <w:p w14:paraId="76E16D81" w14:textId="77777777">
      <w:pPr>
        <w:pBdr/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663C6C92" w14:textId="3F09D29C">
      <w:pPr>
        <w:pBdr/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>
          <w:footerReference w:type="default" r:id="rId9"/>
          <w:footnotePr/>
          <w:endnotePr/>
          <w:type w:val="nextPage"/>
          <w:pgSz w:h="16838" w:orient="portrait" w:w="11906"/>
          <w:pgMar w:top="340" w:right="340" w:bottom="340" w:left="1134" w:header="709" w:footer="709" w:gutter="0"/>
          <w:pgBorders w:display="allPages" w:offsetFrom="text" w:zOrder="front">
            <w:bottom w:color="auto" w:space="1" w:sz="18" w:val="single"/>
            <w:left w:color="auto" w:space="4" w:sz="18" w:val="single"/>
            <w:right w:color="auto" w:space="4" w:sz="18" w:val="single"/>
            <w:top w:color="auto" w:space="1" w:sz="18" w:val="single"/>
          </w:pgBorders>
          <w:cols w:num="1" w:sep="0" w:space="708" w:equalWidth="1"/>
          <w:titlePg/>
        </w:sect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71E1A78" w14:textId="77777777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 w14:paraId="0663CE44" w14:textId="3D6FD77C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Анализ предметной области «Отель»</w:t>
      </w:r>
      <w:r>
        <w:rPr>
          <w:rFonts w:ascii="Times New Roman" w:hAnsi="Times New Roman" w:cs="Times New Roman"/>
          <w:sz w:val="44"/>
          <w:szCs w:val="44"/>
        </w:rPr>
      </w:r>
      <w:r>
        <w:rPr>
          <w:rFonts w:ascii="Times New Roman" w:hAnsi="Times New Roman" w:cs="Times New Roman"/>
          <w:sz w:val="44"/>
          <w:szCs w:val="44"/>
        </w:rPr>
      </w:r>
    </w:p>
    <w:p w14:paraId="35A8BFA0" w14:textId="744F81D6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Практическая работа по предмет</w:t>
      </w:r>
      <w:r>
        <w:rPr>
          <w:rFonts w:ascii="Times New Roman" w:hAnsi="Times New Roman" w:cs="Times New Roman"/>
          <w:sz w:val="32"/>
          <w:szCs w:val="32"/>
        </w:rPr>
        <w:t xml:space="preserve">у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2590219" w14:textId="00BAC926">
      <w:pPr>
        <w:pBdr/>
        <w:spacing w:after="0" w:line="360" w:lineRule="auto"/>
        <w:ind w:right="367" w:left="284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«</w:t>
      </w:r>
      <w:r>
        <w:rPr>
          <w:rFonts w:ascii="Times New Roman" w:hAnsi="Times New Roman" w:cs="Times New Roman"/>
          <w:sz w:val="32"/>
          <w:szCs w:val="32"/>
        </w:rPr>
        <w:t xml:space="preserve">МДК 0</w:t>
      </w:r>
      <w:r>
        <w:rPr>
          <w:rFonts w:ascii="Times New Roman" w:hAnsi="Times New Roman" w:cs="Times New Roman"/>
          <w:sz w:val="32"/>
          <w:szCs w:val="32"/>
        </w:rPr>
        <w:t xml:space="preserve">6.01 </w:t>
      </w:r>
      <w:r>
        <w:rPr>
          <w:rFonts w:ascii="Times New Roman" w:hAnsi="Times New Roman" w:cs="Times New Roman"/>
          <w:sz w:val="32"/>
          <w:szCs w:val="32"/>
        </w:rPr>
        <w:t xml:space="preserve">Внедрение информационных систем» 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FBD716E" w14:textId="77777777">
      <w:pPr>
        <w:pBdr/>
        <w:spacing w:after="0" w:line="360" w:lineRule="auto"/>
        <w:ind w:firstLine="1132" w:left="46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A7DED18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2EAD33A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C62E9D6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5BC81884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125E242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6CEBDE9" w14:textId="77777777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B56978" w14:textId="2565A098">
      <w:pPr>
        <w:pBdr/>
        <w:spacing w:after="0"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Преподаватель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79BF8A3" w14:textId="150D4C41">
      <w:pPr>
        <w:pBdr/>
        <w:spacing w:line="360" w:lineRule="auto"/>
        <w:ind w:firstLine="990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</w:t>
      </w:r>
      <w:r>
        <w:rPr>
          <w:rFonts w:ascii="Times New Roman" w:hAnsi="Times New Roman" w:cs="Times New Roman"/>
          <w:sz w:val="32"/>
          <w:szCs w:val="32"/>
        </w:rPr>
        <w:t xml:space="preserve">И.Н. Рубан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559E4919" w14:textId="717ED53E">
      <w:pPr>
        <w:pBdr/>
        <w:spacing w:after="0" w:before="240" w:line="360" w:lineRule="auto"/>
        <w:ind w:firstLine="992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 гр. </w:t>
      </w:r>
      <w:r>
        <w:rPr>
          <w:rFonts w:ascii="Times New Roman" w:hAnsi="Times New Roman" w:cs="Times New Roman"/>
          <w:sz w:val="32"/>
          <w:szCs w:val="32"/>
        </w:rPr>
        <w:t xml:space="preserve">14</w:t>
      </w:r>
      <w:r>
        <w:rPr>
          <w:rFonts w:ascii="Times New Roman" w:hAnsi="Times New Roman" w:cs="Times New Roman"/>
          <w:sz w:val="32"/>
          <w:szCs w:val="32"/>
        </w:rPr>
        <w:t xml:space="preserve">-</w:t>
      </w:r>
      <w:r>
        <w:rPr>
          <w:rFonts w:ascii="Times New Roman" w:hAnsi="Times New Roman" w:cs="Times New Roman"/>
          <w:sz w:val="32"/>
          <w:szCs w:val="32"/>
        </w:rPr>
        <w:t xml:space="preserve">1</w:t>
      </w:r>
      <w:r>
        <w:rPr>
          <w:rFonts w:ascii="Times New Roman" w:hAnsi="Times New Roman" w:cs="Times New Roman"/>
          <w:sz w:val="32"/>
          <w:szCs w:val="32"/>
        </w:rPr>
        <w:t xml:space="preserve">3</w:t>
      </w:r>
      <w:r>
        <w:rPr>
          <w:rFonts w:ascii="Times New Roman" w:hAnsi="Times New Roman" w:cs="Times New Roman"/>
          <w:sz w:val="32"/>
          <w:szCs w:val="32"/>
        </w:rPr>
        <w:t xml:space="preserve">4-П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DCF23DD" w14:textId="28697B22">
      <w:pPr>
        <w:pBdr/>
        <w:spacing w:after="0" w:line="360" w:lineRule="auto"/>
        <w:ind w:firstLine="1132"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_____________ </w:t>
      </w:r>
      <w:r>
        <w:rPr>
          <w:rFonts w:ascii="Times New Roman" w:hAnsi="Times New Roman" w:cs="Times New Roman"/>
          <w:sz w:val="32"/>
          <w:szCs w:val="32"/>
        </w:rPr>
        <w:t xml:space="preserve">Р.М. Заляутдинов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63552E6" w14:textId="77777777">
      <w:pPr>
        <w:pBdr/>
        <w:spacing w:line="240" w:lineRule="auto"/>
        <w:ind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</w:r>
      <w:r>
        <w:rPr>
          <w:rFonts w:ascii="Times New Roman" w:hAnsi="Times New Roman" w:cs="Times New Roman"/>
          <w:sz w:val="36"/>
        </w:rPr>
      </w:r>
      <w:r>
        <w:rPr>
          <w:rFonts w:ascii="Times New Roman" w:hAnsi="Times New Roman" w:cs="Times New Roman"/>
          <w:sz w:val="36"/>
        </w:rPr>
      </w:r>
    </w:p>
    <w:p w14:paraId="76BA3B76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61880C16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B44895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FF3023D" w14:textId="71A58670">
      <w:pPr>
        <w:pBdr/>
        <w:spacing w:after="0" w:line="240" w:lineRule="auto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62374A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0CE51B2F" w14:textId="18A9A6F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20</w:t>
      </w:r>
      <w:r>
        <w:rPr>
          <w:rFonts w:ascii="Times New Roman" w:hAnsi="Times New Roman" w:cs="Times New Roman"/>
          <w:sz w:val="32"/>
          <w:szCs w:val="32"/>
        </w:rPr>
        <w:t xml:space="preserve">2</w:t>
      </w:r>
      <w:r>
        <w:rPr>
          <w:rFonts w:ascii="Times New Roman" w:hAnsi="Times New Roman" w:cs="Times New Roman"/>
          <w:sz w:val="32"/>
          <w:szCs w:val="32"/>
        </w:rPr>
        <w:t xml:space="preserve">6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2244892D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4BD2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Отель «Меридиан-Плаза» расположен в деловом центре города и ориентирован на бизнес-туристов и индивидуальных путешественников. В отеле 120 номеров, ресторан, SPA-комплекс, фитнес-центр и 3 конференц-зала. Руководство приняло решение о разработке автоматизи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рованной информационной системы (АИС) «Управление отелем» для оптимизации процессов бронирования, заселения, учета услуг и формирования отчетности.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9FB4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Все номера разделены на категории. Каждая категория имеет базовую стоимость за сутки, максимальную вместимость и набор стандартных удобств.</w:t>
      </w:r>
      <w:r/>
    </w:p>
    <w:p w14:paraId="4F9E04C5">
      <w:pPr>
        <w:pStyle w:val="97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Standard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(Стандарт):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60 номеров. 1 или 2 кровати, базовые удобства.</w:t>
      </w:r>
      <w:r/>
    </w:p>
    <w:p w14:paraId="0D597EC8">
      <w:pPr>
        <w:pStyle w:val="97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lang w:val="en-US"/>
        </w:rPr>
        <w:t xml:space="preserve">Superior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(Супериор):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30 номеров. Увеличенная площадь, вид на парк.</w:t>
      </w:r>
      <w:r/>
    </w:p>
    <w:p w14:paraId="511FECF5">
      <w:pPr>
        <w:pStyle w:val="97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Junior Suite (Джуниор Сьют):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20 номеров. Гостиная зона, совмещенная со спальней.</w:t>
      </w:r>
      <w:r/>
    </w:p>
    <w:p w14:paraId="79E2024B">
      <w:pPr>
        <w:pStyle w:val="97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Luxury Suite (Люкс):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10 номеров. Две изолированные комнаты, премиальная отделка, джакузи.</w:t>
      </w:r>
      <w:r/>
    </w:p>
    <w:p w14:paraId="567683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Статусы номера:</w:t>
      </w:r>
      <w:r/>
    </w:p>
    <w:p w14:paraId="34AD9B36">
      <w:pPr>
        <w:pStyle w:val="97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Свободен (Чистый)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55734C6F">
      <w:pPr>
        <w:pStyle w:val="97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Занят (Проживает гость)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5AAD0676">
      <w:pPr>
        <w:pStyle w:val="97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Грязный (Требуется уборка после выезда)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135AD139">
      <w:pPr>
        <w:pStyle w:val="970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Cs w:val="0"/>
          <w:i w:val="0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4"/>
        </w:rPr>
        <w:t xml:space="preserve">Ремонт/Недоступен</w:t>
      </w:r>
      <w:r>
        <w:rPr>
          <w:bCs w:val="0"/>
          <w:i w:val="0"/>
        </w:rPr>
      </w:r>
      <w:r>
        <w:rPr>
          <w:bCs w:val="0"/>
          <w:i w:val="0"/>
        </w:rPr>
      </w:r>
    </w:p>
    <w:p w14:paraId="0C59B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Гости могут заказывать платные услуги, которые относятся к их «Счету номера».</w:t>
      </w:r>
      <w:r/>
    </w:p>
    <w:p w14:paraId="60828AFF">
      <w:pPr>
        <w:pStyle w:val="97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Ресторан: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Завтраки (включены в стоимость или по меню), обед/ужин по меню.</w:t>
      </w:r>
      <w:r/>
    </w:p>
    <w:p w14:paraId="065F72D5">
      <w:pPr>
        <w:pStyle w:val="97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 и Фитнес: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Массаж, косметические процедуры, почасовая аренда теннисного корта.</w:t>
      </w:r>
      <w:r/>
    </w:p>
    <w:p w14:paraId="4B9BEE5A">
      <w:pPr>
        <w:pStyle w:val="97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Мини-бар: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каждом номере есть холодильник с напитками и снеками. Горничная ежедневно инвентаризирует minibar и вносит данные о потребленном в счет гостя.</w:t>
      </w:r>
      <w:r/>
    </w:p>
    <w:p w14:paraId="159F8BB0">
      <w:pPr>
        <w:pStyle w:val="97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Трансфер: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Поездка в аэропорт на автомобиле отеля.</w:t>
      </w:r>
      <w:r/>
    </w:p>
    <w:p w14:paraId="40889C3D">
      <w:pPr>
        <w:pStyle w:val="97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Прачечная/Химчистка: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Сдача вещей в стирку.</w:t>
      </w:r>
      <w:r>
        <w:rPr>
          <w:rFonts w:ascii="Times New Roman" w:hAnsi="Times New Roman" w:eastAsia="Times New Roman" w:cs="Times New Roman"/>
          <w:sz w:val="24"/>
        </w:rPr>
      </w:r>
      <w:r/>
    </w:p>
    <w:p w14:paraId="6792AEF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</w:p>
    <w:p w14:paraId="092B6980">
      <w:pPr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Основные участники работы отеля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7AE0F9">
      <w:pPr>
        <w:pStyle w:val="970"/>
        <w:numPr>
          <w:ilvl w:val="0"/>
          <w:numId w:val="28"/>
        </w:numPr>
        <w:pBdr/>
        <w:spacing w:after="12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Администраторы и сотрудники службы размещения принимают и оформляют бронирования, регистрируют гостей, выполняют заселение и выселение, а также контролируют состояние номеров.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594A22">
      <w:pPr>
        <w:pStyle w:val="970"/>
        <w:numPr>
          <w:ilvl w:val="0"/>
          <w:numId w:val="28"/>
        </w:numPr>
        <w:pBdr/>
        <w:spacing w:after="12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Горничные занимаются уборкой номеров, переводом номера в состояние готовности после уборки и ежедневной инвентаризацией мини-бара.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52FD56">
      <w:pPr>
        <w:pStyle w:val="970"/>
        <w:numPr>
          <w:ilvl w:val="0"/>
          <w:numId w:val="28"/>
        </w:numPr>
        <w:pBdr/>
        <w:spacing w:after="12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Сотрудники ресторана, SPA и фитнес-центра оказывают дополнительные услуги гостям и передают информацию о предоставленных услугах для включения их стоимости в счет номера.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8AFE65">
      <w:pPr>
        <w:pStyle w:val="970"/>
        <w:numPr>
          <w:ilvl w:val="0"/>
          <w:numId w:val="28"/>
        </w:numPr>
        <w:pBdr/>
        <w:spacing w:after="12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Сотрудники прачечной и химчистки принимают вещи гостей и оформляют соответствующие услуги.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66FEA3">
      <w:pPr>
        <w:pStyle w:val="970"/>
        <w:numPr>
          <w:ilvl w:val="0"/>
          <w:numId w:val="28"/>
        </w:numPr>
        <w:pBdr/>
        <w:spacing w:after="12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Водители отеля выполняют заказы на трансфер.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4577E7">
      <w:pPr>
        <w:pStyle w:val="970"/>
        <w:numPr>
          <w:ilvl w:val="0"/>
          <w:numId w:val="28"/>
        </w:numPr>
        <w:pBdr/>
        <w:spacing w:after="120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Руководство и бухгалтерия получают сводную информацию о загрузке отеля, доходах, оказанных услугах и других показателях деятельности.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2023545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757399">
      <w:pPr>
        <w:pBdr/>
        <w:shd w:val="nil"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</w:p>
    <w:p w14:paraId="23394058">
      <w:pPr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Основные бизнес-процессы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872E434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Бронирование номера. Гость или сотрудник оформляет заявку на проживание. Проверяется наличие подходящего номера, после чего бронирование регистрируется.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75C980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Заселение гостя. После прибытия проверяются данные бронирования, оформляется регистрация и гость получает номер.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C0CE87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Проживание. В период проживания гость может пользоваться различными услугами отеля. Все расходы учитываются в его счете номера.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B7E4B2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Оказание дополнительных услуг. К счету гостя могут добавляться услуги ресторана, SPA, фитнес-центра, мини-бара, трансфера, прачечной и химчистки.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335BFC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 Учет мини-бара. Горничная регулярно проверяет содержимое мини-бара, фиксирует использованные товары, после чего их стоимость добавляется в счет гостя.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3A582B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6. Выселение гостя. После окончания проживания формируется итоговый счет, гость оплачивает проживание и дополнительные услуги, после чего номер переводится в статус «Грязный».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25AB3EA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7. Уборка номера. После выезда номер убирается. После завершения уборки его статус изменяется на «Свободен (чистый)».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7E4BE0">
      <w:pPr>
        <w:pBdr/>
        <w:spacing w:after="120"/>
        <w:ind w:firstLine="40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8. Формирование отчетности. Руководство получает отчеты о загрузке номерного фонда, количестве проживающих гостей, доходах, оказанных услугах и состоянии номеров.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0024334">
      <w:pPr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28ABDB5">
      <w:pPr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Основные информационные потоки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30B5D528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процессе работы отеля постоянно поступает и передается информация.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59ACCE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вход системы поступают данные о гостях, бронированиях, номерах, оказанных услугах, оплатах и состоянии номерного фонда.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14EC8A9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выходе формируются счета гостей, подтверждения бронирований, информация о занятости номеров и различные управленческие отчеты.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D5C05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E9CA8D">
      <w:pPr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Роль АИС «Управление отелем»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215ADA05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Автоматизированная информационная система должна об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ъединить основные процессы работы отеля в одной системе. Это позволит сотрудникам быстрее получать необходимую информацию, уменьшить количество ошибок при оформлении бронирований и расчетов, контролировать состояние номерного фонда и дополнительные услуги.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EA4174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Таким образом, АИС «Управление отелем» предназначена для автоматизации основных операций отеля: от бронирования и заселения гостя до его выселения, оплаты и формирования отчетности.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857982B">
      <w:pPr>
        <w:pBdr/>
        <w:spacing w:after="120"/>
        <w:ind w:firstLine="4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continuous"/>
      <w:pgSz w:h="16838" w:orient="portrait" w:w="11906"/>
      <w:pgMar w:top="340" w:right="340" w:bottom="340" w:left="1134" w:header="709" w:footer="709" w:gutter="0"/>
      <w:pgBorders w:display="allPages" w:offsetFrom="text" w:zOrder="front">
        <w:bottom w:color="auto" w:space="1" w:sz="18" w:val="single"/>
        <w:left w:color="auto" w:space="4" w:sz="18" w:val="single"/>
        <w:right w:color="auto" w:space="4" w:sz="18" w:val="single"/>
        <w:top w:color="auto" w:space="1" w:sz="18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3E718D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B553AF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Batang">
    <w:panose1 w:val="02000603000000000000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824713650"/>
      <w:docPartObj>
        <w:docPartGallery w:val="Page Numbers (Bottom of Page)"/>
        <w:docPartUnique w:val="true"/>
      </w:docPartObj>
      <w:rPr/>
    </w:sdtPr>
    <w:sdtContent>
      <w:p w14:paraId="754220AF" w14:textId="0AF3157F">
        <w:pPr>
          <w:pStyle w:val="977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0445B3EA" w14:textId="77777777">
    <w:pPr>
      <w:pStyle w:val="9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FCBACB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3FAE93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02967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">
    <w:nsid w:val="0E811805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2">
    <w:nsid w:val="2C7D630F"/>
    <w:lvl w:ilvl="0">
      <w:isLgl w:val="false"/>
      <w:lvlJc w:val="left"/>
      <w:lvlText w:val="%1)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3">
    <w:nsid w:val="3593184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5D151F9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473B6CAA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54BC7981"/>
    <w:lvl w:ilvl="0">
      <w:isLgl w:val="false"/>
      <w:lvlJc w:val="left"/>
      <w:lvlText w:val="%1)"/>
      <w:numFmt w:val="decimal"/>
      <w:pPr>
        <w:pBdr/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7">
    <w:nsid w:val="5CBD16F5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8">
    <w:nsid w:val="5E88514C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9">
    <w:nsid w:val="678076B8"/>
    <w:lvl w:ilvl="0">
      <w:isLgl w:val="false"/>
      <w:lvlJc w:val="left"/>
      <w:lvlText w:val="-"/>
      <w:numFmt w:val="bullet"/>
      <w:pPr>
        <w:pBdr/>
        <w:spacing/>
        <w:ind w:hanging="360" w:left="1571"/>
      </w:pPr>
      <w:rPr>
        <w:rFonts w:hint="default" w:ascii="Times New Roman" w:hAnsi="Times New Roman" w:eastAsia="Times New Roman" w:cs="Times New Roman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10">
    <w:nsid w:val="6BE57359"/>
    <w:lvl w:ilvl="0">
      <w:isLgl w:val="false"/>
      <w:lvlJc w:val="left"/>
      <w:lvlText w:val="%1."/>
      <w:numFmt w:val="russianLower"/>
      <w:pPr>
        <w:pBdr/>
        <w:spacing/>
        <w:ind w:hanging="360" w:left="1571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7DFC099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68DF7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431DD3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4C1437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9BE050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10160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B4D68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517E368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4F100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C2B92C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431DD3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31DD3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31DD3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31DD3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17E368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583855D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DF300E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  <w:num w:numId="12">
    <w:abstractNumId w:val="3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1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Heading 4"/>
    <w:basedOn w:val="959"/>
    <w:next w:val="959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7">
    <w:name w:val="Heading 5"/>
    <w:basedOn w:val="959"/>
    <w:next w:val="959"/>
    <w:link w:val="91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8">
    <w:name w:val="Heading 6"/>
    <w:basedOn w:val="959"/>
    <w:next w:val="959"/>
    <w:link w:val="91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9">
    <w:name w:val="Heading 7"/>
    <w:basedOn w:val="959"/>
    <w:next w:val="959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0">
    <w:name w:val="Heading 8"/>
    <w:basedOn w:val="959"/>
    <w:next w:val="959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1">
    <w:name w:val="Heading 9"/>
    <w:basedOn w:val="959"/>
    <w:next w:val="959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1 Char"/>
    <w:basedOn w:val="963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1">
    <w:name w:val="Title"/>
    <w:basedOn w:val="959"/>
    <w:next w:val="959"/>
    <w:link w:val="92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Title Char"/>
    <w:basedOn w:val="963"/>
    <w:link w:val="9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3">
    <w:name w:val="Subtitle"/>
    <w:basedOn w:val="959"/>
    <w:next w:val="959"/>
    <w:link w:val="92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4">
    <w:name w:val="Subtitle Char"/>
    <w:basedOn w:val="963"/>
    <w:link w:val="9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5">
    <w:name w:val="Quote"/>
    <w:basedOn w:val="959"/>
    <w:next w:val="959"/>
    <w:link w:val="92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6">
    <w:name w:val="Quote Char"/>
    <w:basedOn w:val="963"/>
    <w:link w:val="92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7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8">
    <w:name w:val="Intense Quote"/>
    <w:basedOn w:val="959"/>
    <w:next w:val="959"/>
    <w:link w:val="92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9">
    <w:name w:val="Intense Quote Char"/>
    <w:basedOn w:val="963"/>
    <w:link w:val="92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0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1">
    <w:name w:val="No Spacing"/>
    <w:basedOn w:val="959"/>
    <w:uiPriority w:val="1"/>
    <w:qFormat/>
    <w:pPr>
      <w:pBdr/>
      <w:spacing w:after="0" w:line="240" w:lineRule="auto"/>
      <w:ind/>
    </w:pPr>
  </w:style>
  <w:style w:type="character" w:styleId="932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3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4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5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6">
    <w:name w:val="Header Char"/>
    <w:basedOn w:val="963"/>
    <w:link w:val="975"/>
    <w:uiPriority w:val="99"/>
    <w:pPr>
      <w:pBdr/>
      <w:spacing/>
      <w:ind/>
    </w:pPr>
  </w:style>
  <w:style w:type="character" w:styleId="937">
    <w:name w:val="Footer Char"/>
    <w:basedOn w:val="963"/>
    <w:link w:val="977"/>
    <w:uiPriority w:val="99"/>
    <w:pPr>
      <w:pBdr/>
      <w:spacing/>
      <w:ind/>
    </w:pPr>
  </w:style>
  <w:style w:type="paragraph" w:styleId="938">
    <w:name w:val="Caption"/>
    <w:basedOn w:val="959"/>
    <w:next w:val="9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9">
    <w:name w:val="footnote text"/>
    <w:basedOn w:val="959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Foot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959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Endnote Text Char"/>
    <w:basedOn w:val="963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6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7">
    <w:name w:val="toc 1"/>
    <w:basedOn w:val="959"/>
    <w:next w:val="959"/>
    <w:uiPriority w:val="39"/>
    <w:unhideWhenUsed/>
    <w:pPr>
      <w:pBdr/>
      <w:spacing w:after="100"/>
      <w:ind/>
    </w:pPr>
  </w:style>
  <w:style w:type="paragraph" w:styleId="948">
    <w:name w:val="toc 2"/>
    <w:basedOn w:val="959"/>
    <w:next w:val="959"/>
    <w:uiPriority w:val="39"/>
    <w:unhideWhenUsed/>
    <w:pPr>
      <w:pBdr/>
      <w:spacing w:after="100"/>
      <w:ind w:left="220"/>
    </w:pPr>
  </w:style>
  <w:style w:type="paragraph" w:styleId="949">
    <w:name w:val="toc 3"/>
    <w:basedOn w:val="959"/>
    <w:next w:val="959"/>
    <w:uiPriority w:val="39"/>
    <w:unhideWhenUsed/>
    <w:pPr>
      <w:pBdr/>
      <w:spacing w:after="100"/>
      <w:ind w:left="440"/>
    </w:pPr>
  </w:style>
  <w:style w:type="paragraph" w:styleId="950">
    <w:name w:val="toc 4"/>
    <w:basedOn w:val="959"/>
    <w:next w:val="959"/>
    <w:uiPriority w:val="39"/>
    <w:unhideWhenUsed/>
    <w:pPr>
      <w:pBdr/>
      <w:spacing w:after="100"/>
      <w:ind w:left="660"/>
    </w:pPr>
  </w:style>
  <w:style w:type="paragraph" w:styleId="951">
    <w:name w:val="toc 5"/>
    <w:basedOn w:val="959"/>
    <w:next w:val="959"/>
    <w:uiPriority w:val="39"/>
    <w:unhideWhenUsed/>
    <w:pPr>
      <w:pBdr/>
      <w:spacing w:after="100"/>
      <w:ind w:left="880"/>
    </w:pPr>
  </w:style>
  <w:style w:type="paragraph" w:styleId="952">
    <w:name w:val="toc 6"/>
    <w:basedOn w:val="959"/>
    <w:next w:val="959"/>
    <w:uiPriority w:val="39"/>
    <w:unhideWhenUsed/>
    <w:pPr>
      <w:pBdr/>
      <w:spacing w:after="100"/>
      <w:ind w:left="1100"/>
    </w:pPr>
  </w:style>
  <w:style w:type="paragraph" w:styleId="953">
    <w:name w:val="toc 7"/>
    <w:basedOn w:val="959"/>
    <w:next w:val="959"/>
    <w:uiPriority w:val="39"/>
    <w:unhideWhenUsed/>
    <w:pPr>
      <w:pBdr/>
      <w:spacing w:after="100"/>
      <w:ind w:left="1320"/>
    </w:pPr>
  </w:style>
  <w:style w:type="paragraph" w:styleId="954">
    <w:name w:val="toc 8"/>
    <w:basedOn w:val="959"/>
    <w:next w:val="959"/>
    <w:uiPriority w:val="39"/>
    <w:unhideWhenUsed/>
    <w:pPr>
      <w:pBdr/>
      <w:spacing w:after="100"/>
      <w:ind w:left="1540"/>
    </w:pPr>
  </w:style>
  <w:style w:type="paragraph" w:styleId="955">
    <w:name w:val="toc 9"/>
    <w:basedOn w:val="959"/>
    <w:next w:val="959"/>
    <w:uiPriority w:val="39"/>
    <w:unhideWhenUsed/>
    <w:pPr>
      <w:pBdr/>
      <w:spacing w:after="100"/>
      <w:ind w:left="1760"/>
    </w:pPr>
  </w:style>
  <w:style w:type="character" w:styleId="956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7">
    <w:name w:val="TOC Heading"/>
    <w:uiPriority w:val="39"/>
    <w:unhideWhenUsed/>
    <w:pPr>
      <w:pBdr/>
      <w:spacing/>
      <w:ind/>
    </w:pPr>
  </w:style>
  <w:style w:type="paragraph" w:styleId="958">
    <w:name w:val="table of figures"/>
    <w:basedOn w:val="959"/>
    <w:next w:val="959"/>
    <w:uiPriority w:val="99"/>
    <w:unhideWhenUsed/>
    <w:pPr>
      <w:pBdr/>
      <w:spacing w:after="0" w:afterAutospacing="0"/>
      <w:ind/>
    </w:pPr>
  </w:style>
  <w:style w:type="paragraph" w:styleId="959" w:default="1">
    <w:name w:val="Normal"/>
    <w:qFormat/>
    <w:pPr>
      <w:pBdr/>
      <w:spacing/>
      <w:ind/>
    </w:pPr>
  </w:style>
  <w:style w:type="paragraph" w:styleId="960">
    <w:name w:val="Heading 1"/>
    <w:basedOn w:val="959"/>
    <w:next w:val="959"/>
    <w:link w:val="966"/>
    <w:qFormat/>
    <w:pPr>
      <w:keepNext w:val="true"/>
      <w:pBdr/>
      <w:spacing w:after="0" w:line="240" w:lineRule="auto"/>
      <w:ind/>
      <w:jc w:val="center"/>
      <w:outlineLvl w:val="0"/>
    </w:pPr>
    <w:rPr>
      <w:rFonts w:ascii="Times New Roman" w:hAnsi="Times New Roman" w:eastAsia="Times New Roman" w:cs="Times New Roman"/>
      <w:sz w:val="28"/>
      <w:szCs w:val="20"/>
    </w:rPr>
  </w:style>
  <w:style w:type="paragraph" w:styleId="961">
    <w:name w:val="Heading 2"/>
    <w:basedOn w:val="959"/>
    <w:next w:val="959"/>
    <w:link w:val="972"/>
    <w:uiPriority w:val="9"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62">
    <w:name w:val="Heading 3"/>
    <w:basedOn w:val="959"/>
    <w:next w:val="959"/>
    <w:link w:val="967"/>
    <w:qFormat/>
    <w:pPr>
      <w:keepNext w:val="true"/>
      <w:pBdr/>
      <w:spacing w:after="0" w:line="240" w:lineRule="auto"/>
      <w:ind/>
      <w:jc w:val="center"/>
      <w:outlineLvl w:val="2"/>
    </w:pPr>
    <w:rPr>
      <w:rFonts w:ascii="Times New Roman" w:hAnsi="Times New Roman" w:eastAsia="Times New Roman" w:cs="Times New Roman"/>
      <w:sz w:val="32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5" w:default="1">
    <w:name w:val="No List"/>
    <w:uiPriority w:val="99"/>
    <w:semiHidden/>
    <w:unhideWhenUsed/>
    <w:pPr>
      <w:pBdr/>
      <w:spacing/>
      <w:ind/>
    </w:pPr>
  </w:style>
  <w:style w:type="character" w:styleId="966" w:customStyle="1">
    <w:name w:val="Заголовок 1 Знак"/>
    <w:basedOn w:val="963"/>
    <w:link w:val="960"/>
    <w:pPr>
      <w:pBdr/>
      <w:spacing/>
      <w:ind/>
    </w:pPr>
    <w:rPr>
      <w:rFonts w:ascii="Times New Roman" w:hAnsi="Times New Roman" w:eastAsia="Times New Roman" w:cs="Times New Roman"/>
      <w:sz w:val="28"/>
      <w:szCs w:val="20"/>
    </w:rPr>
  </w:style>
  <w:style w:type="character" w:styleId="967" w:customStyle="1">
    <w:name w:val="Заголовок 3 Знак"/>
    <w:basedOn w:val="963"/>
    <w:link w:val="962"/>
    <w:pPr>
      <w:pBdr/>
      <w:spacing/>
      <w:ind/>
    </w:pPr>
    <w:rPr>
      <w:rFonts w:ascii="Times New Roman" w:hAnsi="Times New Roman" w:eastAsia="Times New Roman" w:cs="Times New Roman"/>
      <w:sz w:val="32"/>
      <w:szCs w:val="20"/>
    </w:rPr>
  </w:style>
  <w:style w:type="paragraph" w:styleId="968">
    <w:name w:val="Balloon Text"/>
    <w:basedOn w:val="959"/>
    <w:link w:val="96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69" w:customStyle="1">
    <w:name w:val="Текст выноски Знак"/>
    <w:basedOn w:val="963"/>
    <w:link w:val="96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70">
    <w:name w:val="List Paragraph"/>
    <w:basedOn w:val="959"/>
    <w:uiPriority w:val="34"/>
    <w:qFormat/>
    <w:pPr>
      <w:pBdr/>
      <w:spacing w:after="160" w:line="256" w:lineRule="auto"/>
      <w:ind w:left="720"/>
      <w:contextualSpacing w:val="true"/>
    </w:pPr>
    <w:rPr>
      <w:rFonts w:eastAsia="Batang"/>
      <w:lang w:eastAsia="en-US"/>
    </w:rPr>
  </w:style>
  <w:style w:type="paragraph" w:styleId="971">
    <w:name w:val="Normal (Web)"/>
    <w:basedOn w:val="959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/>
      <w:sz w:val="24"/>
      <w:szCs w:val="24"/>
    </w:rPr>
  </w:style>
  <w:style w:type="character" w:styleId="972" w:customStyle="1">
    <w:name w:val="Заголовок 2 Знак"/>
    <w:basedOn w:val="963"/>
    <w:link w:val="961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973">
    <w:name w:val="Strong"/>
    <w:basedOn w:val="963"/>
    <w:uiPriority w:val="22"/>
    <w:qFormat/>
    <w:pPr>
      <w:pBdr/>
      <w:spacing/>
      <w:ind/>
    </w:pPr>
    <w:rPr>
      <w:b/>
      <w:bCs/>
    </w:rPr>
  </w:style>
  <w:style w:type="table" w:styleId="974">
    <w:name w:val="Grid Table Light"/>
    <w:basedOn w:val="964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5">
    <w:name w:val="Header"/>
    <w:basedOn w:val="959"/>
    <w:link w:val="97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76" w:customStyle="1">
    <w:name w:val="Верхний колонтитул Знак"/>
    <w:basedOn w:val="963"/>
    <w:link w:val="975"/>
    <w:uiPriority w:val="99"/>
    <w:pPr>
      <w:pBdr/>
      <w:spacing/>
      <w:ind/>
    </w:pPr>
  </w:style>
  <w:style w:type="paragraph" w:styleId="977">
    <w:name w:val="Footer"/>
    <w:basedOn w:val="959"/>
    <w:link w:val="978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78" w:customStyle="1">
    <w:name w:val="Нижний колонтитул Знак"/>
    <w:basedOn w:val="963"/>
    <w:link w:val="977"/>
    <w:uiPriority w:val="99"/>
    <w:pPr>
      <w:pBdr/>
      <w:spacing/>
      <w:ind/>
    </w:pPr>
  </w:style>
  <w:style w:type="table" w:styleId="979">
    <w:name w:val="Table Grid"/>
    <w:basedOn w:val="964"/>
    <w:uiPriority w:val="59"/>
    <w:pPr>
      <w:pBdr/>
      <w:spacing w:after="0" w:line="240" w:lineRule="auto"/>
      <w:ind/>
    </w:pPr>
    <w:rPr>
      <w:lang w:val="en-US"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0" w:customStyle="1">
    <w:name w:val="Table Text"/>
    <w:pPr>
      <w:pBdr/>
      <w:spacing w:after="0" w:line="240" w:lineRule="auto"/>
      <w:ind/>
    </w:pPr>
    <w:rPr>
      <w:rFonts w:ascii="Times New Roman" w:hAnsi="Times New Roman" w:eastAsia="Times New Roman"/>
      <w:sz w:val="21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6D449997-92A7-45E9-9D9F-78AA1A57C7CD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VST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revision>15</cp:revision>
  <dcterms:created xsi:type="dcterms:W3CDTF">2026-09-14T23:59:00Z</dcterms:created>
  <dcterms:modified xsi:type="dcterms:W3CDTF">2026-10-01T06:58:17Z</dcterms:modified>
</cp:coreProperties>
</file>