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5D8" w:rsidRDefault="000C5D9D" w:rsidP="008B7EEF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257A35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Дослідницький</w:t>
      </w:r>
      <w:r w:rsidR="008B7EEF" w:rsidRPr="008B7EEF">
        <w:rPr>
          <w:b/>
          <w:sz w:val="28"/>
          <w:szCs w:val="28"/>
        </w:rPr>
        <w:t xml:space="preserve"> розділ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4.1 Тестування програми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Як приклад закодуємо повідомлення «</w:t>
      </w:r>
      <w:r>
        <w:rPr>
          <w:rFonts w:ascii="Times New Roman CYR" w:eastAsia="Times New Roman CYR" w:hAnsi="Times New Roman CYR" w:cs="Times New Roman CYR"/>
          <w:sz w:val="28"/>
          <w:szCs w:val="28"/>
          <w:lang w:val="en-US"/>
        </w:rPr>
        <w:t>test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» (див. Рисунок 4.15)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1788ECF" wp14:editId="190B8F44">
            <wp:extent cx="3529965" cy="23602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 4.15 - Тестування програми (кодування)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В двійковому коді воно буде мати вигляд:</w:t>
      </w:r>
    </w:p>
    <w:p w:rsidR="000C5D9D" w:rsidRPr="00F035D3" w:rsidRDefault="000C5D9D" w:rsidP="000C5D9D">
      <w:pPr>
        <w:spacing w:line="360" w:lineRule="auto"/>
        <w:ind w:firstLine="709"/>
        <w:jc w:val="both"/>
      </w:pPr>
      <w:r w:rsidRPr="00F035D3">
        <w:rPr>
          <w:bdr w:val="none" w:sz="0" w:space="0" w:color="auto"/>
        </w:rPr>
        <w:t>01110100011001010111001101110100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А після кодування згортковим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кодером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стане таким:</w:t>
      </w:r>
    </w:p>
    <w:p w:rsidR="000C5D9D" w:rsidRPr="00F035D3" w:rsidRDefault="000C5D9D" w:rsidP="000C5D9D">
      <w:pPr>
        <w:spacing w:line="360" w:lineRule="auto"/>
        <w:ind w:firstLine="709"/>
        <w:jc w:val="both"/>
      </w:pPr>
      <w:r w:rsidRPr="00F035D3">
        <w:rPr>
          <w:bdr w:val="none" w:sz="0" w:space="0" w:color="auto"/>
        </w:rPr>
        <w:t>0011011001001011001101011111100010000110011111010100011001001011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Так як ймовірність помилки була рівна нулю (</w:t>
      </w:r>
      <w:r w:rsidR="008A2D2B">
        <w:rPr>
          <w:rFonts w:ascii="Times New Roman CYR" w:eastAsia="Times New Roman CYR" w:hAnsi="Times New Roman CYR" w:cs="Times New Roman CYR"/>
          <w:sz w:val="28"/>
          <w:szCs w:val="28"/>
        </w:rPr>
        <w:t>Рисунок 4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.7) то повідомлення оминуло канал без змін і було декодовано вірно.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Тепер спробуємо внести в отримане повідомлення поодинокі помилки каналу (див. </w:t>
      </w:r>
      <w:r w:rsidR="008A2D2B">
        <w:rPr>
          <w:rFonts w:ascii="Times New Roman CYR" w:eastAsia="Times New Roman CYR" w:hAnsi="Times New Roman CYR" w:cs="Times New Roman CYR"/>
          <w:sz w:val="28"/>
          <w:szCs w:val="28"/>
        </w:rPr>
        <w:t>Рисунок 4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.16)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19CD258" wp14:editId="583E6FAE">
            <wp:extent cx="3338830" cy="222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 4.16 - Тестування програми (імітація каналу зв'язку)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Як видно з рисунка </w:t>
      </w:r>
      <w:r w:rsidR="001D6DF2">
        <w:rPr>
          <w:rFonts w:ascii="Times New Roman CYR" w:eastAsia="Times New Roman CYR" w:hAnsi="Times New Roman CYR" w:cs="Times New Roman CYR"/>
          <w:sz w:val="28"/>
          <w:szCs w:val="28"/>
        </w:rPr>
        <w:t>4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.16 помилки змінили ваги вершин, але підсумковий шлях, побудований декодером (відзначений жирною лінією) не змінився.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Тепер спробуємо внести в повідомлення подвійні помилки (</w:t>
      </w:r>
      <w:r w:rsidR="008A2D2B">
        <w:rPr>
          <w:rFonts w:ascii="Times New Roman CYR" w:eastAsia="Times New Roman CYR" w:hAnsi="Times New Roman CYR" w:cs="Times New Roman CYR"/>
          <w:sz w:val="28"/>
          <w:szCs w:val="28"/>
        </w:rPr>
        <w:t>Рисунок 4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.17)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49FBAA1" wp14:editId="6EC78BBA">
            <wp:extent cx="3274695" cy="2179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 4.17 - Тестування програми (декодування)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Як видно з рисунка </w:t>
      </w:r>
      <w:r w:rsidR="001D6DF2">
        <w:rPr>
          <w:rFonts w:ascii="Times New Roman CYR" w:eastAsia="Times New Roman CYR" w:hAnsi="Times New Roman CYR" w:cs="Times New Roman CYR"/>
          <w:sz w:val="28"/>
          <w:szCs w:val="28"/>
        </w:rPr>
        <w:t>4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.17 декодер не зміг виправити подвійні помилки, внаслідок чого результуюче повідомлення було спотворене.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BD2372" w:rsidRDefault="00BD2372" w:rsidP="000C5D9D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bCs/>
          <w:sz w:val="28"/>
          <w:szCs w:val="28"/>
        </w:rPr>
      </w:pP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lastRenderedPageBreak/>
        <w:t>3.5 Швидкодія програми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 На </w:t>
      </w:r>
      <w:r w:rsidR="001D6DF2">
        <w:rPr>
          <w:rFonts w:ascii="Times New Roman CYR" w:eastAsia="Times New Roman CYR" w:hAnsi="Times New Roman CYR" w:cs="Times New Roman CYR"/>
          <w:sz w:val="28"/>
          <w:szCs w:val="28"/>
        </w:rPr>
        <w:t>рисунку 4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.18 зображено графік залежності швидкості роботи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кодера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в залежності від довжини вхідної послідовності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4D8DA45" wp14:editId="4E3A580A">
            <wp:extent cx="4072255" cy="1073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Рисунок 4.18 - Тестування швидкодії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кодера</w:t>
      </w:r>
      <w:proofErr w:type="spellEnd"/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На </w:t>
      </w:r>
      <w:r w:rsidR="001D6DF2">
        <w:rPr>
          <w:rFonts w:ascii="Times New Roman CYR" w:eastAsia="Times New Roman CYR" w:hAnsi="Times New Roman CYR" w:cs="Times New Roman CYR"/>
          <w:sz w:val="28"/>
          <w:szCs w:val="28"/>
        </w:rPr>
        <w:t>рисунку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</w:t>
      </w:r>
      <w:r w:rsidR="001D6DF2">
        <w:rPr>
          <w:rFonts w:ascii="Times New Roman CYR" w:eastAsia="Times New Roman CYR" w:hAnsi="Times New Roman CYR" w:cs="Times New Roman CYR"/>
          <w:sz w:val="28"/>
          <w:szCs w:val="28"/>
        </w:rPr>
        <w:t>4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.19 зображено графік залежності швидкості роботи декодера залежно від довжини декодованої послідовності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A81C58D" wp14:editId="4F847881">
            <wp:extent cx="3870325" cy="1095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9D" w:rsidRDefault="000C5D9D" w:rsidP="000C5D9D">
      <w:pPr>
        <w:spacing w:line="360" w:lineRule="auto"/>
        <w:ind w:firstLine="709"/>
        <w:jc w:val="center"/>
      </w:pPr>
      <w:r>
        <w:rPr>
          <w:rFonts w:ascii="Times New Roman CYR" w:eastAsia="Times New Roman CYR" w:hAnsi="Times New Roman CYR" w:cs="Times New Roman CYR"/>
          <w:sz w:val="28"/>
          <w:szCs w:val="28"/>
        </w:rPr>
        <w:t>Рисунок 4.19 - Тестування швидкодії декодера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> </w:t>
      </w:r>
    </w:p>
    <w:p w:rsidR="000C5D9D" w:rsidRDefault="000C5D9D" w:rsidP="000C5D9D">
      <w:pPr>
        <w:spacing w:line="360" w:lineRule="auto"/>
        <w:ind w:firstLine="709"/>
        <w:jc w:val="both"/>
      </w:pP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Як видно з графіків </w:t>
      </w:r>
      <w:r w:rsidR="001D6DF2">
        <w:rPr>
          <w:rFonts w:ascii="Times New Roman CYR" w:eastAsia="Times New Roman CYR" w:hAnsi="Times New Roman CYR" w:cs="Times New Roman CYR"/>
          <w:sz w:val="28"/>
          <w:szCs w:val="28"/>
        </w:rPr>
        <w:t>4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.18 і </w:t>
      </w:r>
      <w:r w:rsidR="001D6DF2">
        <w:rPr>
          <w:rFonts w:ascii="Times New Roman CYR" w:eastAsia="Times New Roman CYR" w:hAnsi="Times New Roman CYR" w:cs="Times New Roman CYR"/>
          <w:sz w:val="28"/>
          <w:szCs w:val="28"/>
        </w:rPr>
        <w:t>4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.19 графіки залежності швидкодії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кодера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і декодера мають лінійний характер. Виходячи з графіків виходить, що середня швидкість кодування 0,016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мс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/ біт, а швидкість декодування становить 0,0053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мс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/ біт.</w:t>
      </w:r>
      <w:r w:rsidRPr="00C92A52">
        <w:rPr>
          <w:rFonts w:ascii="Times New Roman CYR" w:eastAsia="Times New Roman CYR" w:hAnsi="Times New Roman CYR" w:cs="Times New Roman CYR"/>
          <w:sz w:val="28"/>
          <w:szCs w:val="28"/>
          <w:lang w:val="ru-RU"/>
        </w:rPr>
        <w:t xml:space="preserve">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Що є досить не поганим показником для поточного </w:t>
      </w:r>
      <w:proofErr w:type="spellStart"/>
      <w:r>
        <w:rPr>
          <w:rFonts w:ascii="Times New Roman CYR" w:eastAsia="Times New Roman CYR" w:hAnsi="Times New Roman CYR" w:cs="Times New Roman CYR"/>
          <w:sz w:val="28"/>
          <w:szCs w:val="28"/>
        </w:rPr>
        <w:t>кодера</w:t>
      </w:r>
      <w:proofErr w:type="spellEnd"/>
      <w:r>
        <w:rPr>
          <w:rFonts w:ascii="Times New Roman CYR" w:eastAsia="Times New Roman CYR" w:hAnsi="Times New Roman CYR" w:cs="Times New Roman CYR"/>
          <w:sz w:val="28"/>
          <w:szCs w:val="28"/>
        </w:rPr>
        <w:t xml:space="preserve"> / декодера.</w:t>
      </w:r>
    </w:p>
    <w:p w:rsidR="000C5D9D" w:rsidRPr="000C5D9D" w:rsidRDefault="000C5D9D" w:rsidP="000C5D9D">
      <w:pPr>
        <w:ind w:firstLine="567"/>
        <w:rPr>
          <w:sz w:val="32"/>
          <w:szCs w:val="28"/>
        </w:rPr>
      </w:pPr>
    </w:p>
    <w:sectPr w:rsidR="000C5D9D" w:rsidRPr="000C5D9D" w:rsidSect="002D19B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850" w:right="850" w:bottom="850" w:left="1417" w:header="720" w:footer="720" w:gutter="0"/>
      <w:pgNumType w:start="5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AAA" w:rsidRDefault="00194AAA" w:rsidP="00E7795E">
      <w:r>
        <w:separator/>
      </w:r>
    </w:p>
  </w:endnote>
  <w:endnote w:type="continuationSeparator" w:id="0">
    <w:p w:rsidR="00194AAA" w:rsidRDefault="00194AAA" w:rsidP="00E7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9BD" w:rsidRDefault="002D19B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7339342"/>
      <w:docPartObj>
        <w:docPartGallery w:val="Page Numbers (Bottom of Page)"/>
        <w:docPartUnique/>
      </w:docPartObj>
    </w:sdtPr>
    <w:sdtEndPr>
      <w:rPr>
        <w:sz w:val="28"/>
      </w:rPr>
    </w:sdtEndPr>
    <w:sdtContent>
      <w:bookmarkStart w:id="0" w:name="_GoBack" w:displacedByCustomXml="prev"/>
      <w:p w:rsidR="002D19BD" w:rsidRPr="004358A3" w:rsidRDefault="002D19BD">
        <w:pPr>
          <w:pStyle w:val="a8"/>
          <w:jc w:val="right"/>
          <w:rPr>
            <w:sz w:val="28"/>
          </w:rPr>
        </w:pPr>
        <w:r w:rsidRPr="004358A3">
          <w:rPr>
            <w:sz w:val="28"/>
          </w:rPr>
          <w:fldChar w:fldCharType="begin"/>
        </w:r>
        <w:r w:rsidRPr="004358A3">
          <w:rPr>
            <w:sz w:val="28"/>
          </w:rPr>
          <w:instrText>PAGE   \* MERGEFORMAT</w:instrText>
        </w:r>
        <w:r w:rsidRPr="004358A3">
          <w:rPr>
            <w:sz w:val="28"/>
          </w:rPr>
          <w:fldChar w:fldCharType="separate"/>
        </w:r>
        <w:r w:rsidR="004358A3">
          <w:rPr>
            <w:noProof/>
            <w:sz w:val="28"/>
          </w:rPr>
          <w:t>60</w:t>
        </w:r>
        <w:r w:rsidRPr="004358A3">
          <w:rPr>
            <w:sz w:val="28"/>
          </w:rPr>
          <w:fldChar w:fldCharType="end"/>
        </w:r>
      </w:p>
    </w:sdtContent>
  </w:sdt>
  <w:bookmarkEnd w:id="0"/>
  <w:p w:rsidR="00E7795E" w:rsidRDefault="00E7795E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9BD" w:rsidRDefault="002D19B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AAA" w:rsidRDefault="00194AAA" w:rsidP="00E7795E">
      <w:r>
        <w:separator/>
      </w:r>
    </w:p>
  </w:footnote>
  <w:footnote w:type="continuationSeparator" w:id="0">
    <w:p w:rsidR="00194AAA" w:rsidRDefault="00194AAA" w:rsidP="00E779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9BD" w:rsidRDefault="002D19B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9BD" w:rsidRDefault="002D19BD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9BD" w:rsidRDefault="002D19B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5956"/>
    <w:multiLevelType w:val="hybridMultilevel"/>
    <w:tmpl w:val="3FDC5B34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36618E0"/>
    <w:multiLevelType w:val="hybridMultilevel"/>
    <w:tmpl w:val="DF9E757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6F4342E"/>
    <w:multiLevelType w:val="hybridMultilevel"/>
    <w:tmpl w:val="F7287B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DFC028D"/>
    <w:multiLevelType w:val="hybridMultilevel"/>
    <w:tmpl w:val="138E99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0A33C2C"/>
    <w:multiLevelType w:val="hybridMultilevel"/>
    <w:tmpl w:val="F1560FE4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66404A9"/>
    <w:multiLevelType w:val="hybridMultilevel"/>
    <w:tmpl w:val="17E63C76"/>
    <w:lvl w:ilvl="0" w:tplc="FA6824F8">
      <w:start w:val="1"/>
      <w:numFmt w:val="decimal"/>
      <w:lvlText w:val="%1."/>
      <w:lvlJc w:val="left"/>
      <w:pPr>
        <w:ind w:left="1429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6E52A41"/>
    <w:multiLevelType w:val="hybridMultilevel"/>
    <w:tmpl w:val="96F6CB48"/>
    <w:lvl w:ilvl="0" w:tplc="FA6824F8">
      <w:start w:val="1"/>
      <w:numFmt w:val="decimal"/>
      <w:lvlText w:val="%1."/>
      <w:lvlJc w:val="left"/>
      <w:pPr>
        <w:ind w:left="2138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8A30B18"/>
    <w:multiLevelType w:val="hybridMultilevel"/>
    <w:tmpl w:val="79785920"/>
    <w:lvl w:ilvl="0" w:tplc="4C140D38">
      <w:start w:val="1"/>
      <w:numFmt w:val="decimal"/>
      <w:lvlText w:val="%1"/>
      <w:lvlJc w:val="left"/>
      <w:pPr>
        <w:ind w:left="1909" w:hanging="1200"/>
      </w:pPr>
      <w:rPr>
        <w:rFonts w:eastAsia="Times New Roman CYR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B484B9C"/>
    <w:multiLevelType w:val="hybridMultilevel"/>
    <w:tmpl w:val="D052552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65D8"/>
    <w:rsid w:val="00020A77"/>
    <w:rsid w:val="000361AC"/>
    <w:rsid w:val="00054CB1"/>
    <w:rsid w:val="00070CE8"/>
    <w:rsid w:val="00076961"/>
    <w:rsid w:val="000803F2"/>
    <w:rsid w:val="000843C5"/>
    <w:rsid w:val="0008573C"/>
    <w:rsid w:val="000A13E3"/>
    <w:rsid w:val="000C5D9D"/>
    <w:rsid w:val="000F40FD"/>
    <w:rsid w:val="0015256B"/>
    <w:rsid w:val="001561B6"/>
    <w:rsid w:val="00194AAA"/>
    <w:rsid w:val="001D6DF2"/>
    <w:rsid w:val="001E129B"/>
    <w:rsid w:val="00254210"/>
    <w:rsid w:val="00257A35"/>
    <w:rsid w:val="00270A7C"/>
    <w:rsid w:val="00277FF7"/>
    <w:rsid w:val="002A079C"/>
    <w:rsid w:val="002D19BD"/>
    <w:rsid w:val="00315274"/>
    <w:rsid w:val="00320660"/>
    <w:rsid w:val="00344FB1"/>
    <w:rsid w:val="003610B7"/>
    <w:rsid w:val="00397076"/>
    <w:rsid w:val="003B6D6B"/>
    <w:rsid w:val="003D6608"/>
    <w:rsid w:val="003E4E15"/>
    <w:rsid w:val="003E7380"/>
    <w:rsid w:val="004155C8"/>
    <w:rsid w:val="004358A3"/>
    <w:rsid w:val="00483A5B"/>
    <w:rsid w:val="00490018"/>
    <w:rsid w:val="004A1535"/>
    <w:rsid w:val="004C69F0"/>
    <w:rsid w:val="004E2AAB"/>
    <w:rsid w:val="00554F2C"/>
    <w:rsid w:val="00580ABE"/>
    <w:rsid w:val="00581023"/>
    <w:rsid w:val="005A041A"/>
    <w:rsid w:val="005C5939"/>
    <w:rsid w:val="006E0BBC"/>
    <w:rsid w:val="00717C6F"/>
    <w:rsid w:val="00750C9C"/>
    <w:rsid w:val="007C151D"/>
    <w:rsid w:val="007D584A"/>
    <w:rsid w:val="007D65EA"/>
    <w:rsid w:val="007D7241"/>
    <w:rsid w:val="007F3ECB"/>
    <w:rsid w:val="00800857"/>
    <w:rsid w:val="008A2D2B"/>
    <w:rsid w:val="008B1F63"/>
    <w:rsid w:val="008B7EEF"/>
    <w:rsid w:val="008F0048"/>
    <w:rsid w:val="00926EB2"/>
    <w:rsid w:val="00947D4E"/>
    <w:rsid w:val="009528E6"/>
    <w:rsid w:val="00972300"/>
    <w:rsid w:val="00995CA1"/>
    <w:rsid w:val="009A19DE"/>
    <w:rsid w:val="009C50FA"/>
    <w:rsid w:val="009D6CC6"/>
    <w:rsid w:val="00A234AF"/>
    <w:rsid w:val="00A76600"/>
    <w:rsid w:val="00AB7457"/>
    <w:rsid w:val="00B041A9"/>
    <w:rsid w:val="00B2695E"/>
    <w:rsid w:val="00B7198C"/>
    <w:rsid w:val="00B874C8"/>
    <w:rsid w:val="00BB13F0"/>
    <w:rsid w:val="00BD2372"/>
    <w:rsid w:val="00C0509B"/>
    <w:rsid w:val="00C816E1"/>
    <w:rsid w:val="00C92A52"/>
    <w:rsid w:val="00C95C22"/>
    <w:rsid w:val="00CB4FDC"/>
    <w:rsid w:val="00CD5C5F"/>
    <w:rsid w:val="00CF4BA9"/>
    <w:rsid w:val="00D10439"/>
    <w:rsid w:val="00D73FA5"/>
    <w:rsid w:val="00DA7A43"/>
    <w:rsid w:val="00DE6D69"/>
    <w:rsid w:val="00DE74FB"/>
    <w:rsid w:val="00E10FE4"/>
    <w:rsid w:val="00E26445"/>
    <w:rsid w:val="00E7795E"/>
    <w:rsid w:val="00EA4898"/>
    <w:rsid w:val="00EE1787"/>
    <w:rsid w:val="00F035D3"/>
    <w:rsid w:val="00F22496"/>
    <w:rsid w:val="00F7668D"/>
    <w:rsid w:val="00FB65D8"/>
    <w:rsid w:val="00FD717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A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03F2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803F2"/>
    <w:rPr>
      <w:rFonts w:ascii="Tahoma" w:hAnsi="Tahoma" w:cs="Tahoma"/>
      <w:sz w:val="16"/>
      <w:szCs w:val="16"/>
      <w:bdr w:val="nil"/>
    </w:rPr>
  </w:style>
  <w:style w:type="paragraph" w:styleId="a6">
    <w:name w:val="header"/>
    <w:basedOn w:val="a"/>
    <w:link w:val="a7"/>
    <w:uiPriority w:val="99"/>
    <w:unhideWhenUsed/>
    <w:rsid w:val="00E7795E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E7795E"/>
    <w:rPr>
      <w:sz w:val="24"/>
      <w:szCs w:val="24"/>
      <w:bdr w:val="nil"/>
    </w:rPr>
  </w:style>
  <w:style w:type="paragraph" w:styleId="a8">
    <w:name w:val="footer"/>
    <w:basedOn w:val="a"/>
    <w:link w:val="a9"/>
    <w:uiPriority w:val="99"/>
    <w:unhideWhenUsed/>
    <w:rsid w:val="00E7795E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E7795E"/>
    <w:rPr>
      <w:sz w:val="24"/>
      <w:szCs w:val="24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EFE5F-1BF8-4817-998D-190AAB30B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1070</Words>
  <Characters>610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Ruslan</cp:lastModifiedBy>
  <cp:revision>69</cp:revision>
  <dcterms:created xsi:type="dcterms:W3CDTF">2014-09-28T11:53:00Z</dcterms:created>
  <dcterms:modified xsi:type="dcterms:W3CDTF">2014-10-12T17:59:00Z</dcterms:modified>
</cp:coreProperties>
</file>