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7"/>
        <w:gridCol w:w="1358"/>
        <w:gridCol w:w="1193"/>
        <w:gridCol w:w="1193"/>
        <w:gridCol w:w="1185"/>
        <w:gridCol w:w="1022"/>
        <w:gridCol w:w="966"/>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3"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5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2"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6"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7" w:type="dxa"/>
            <w:tcBorders>
              <w:left w:val="double" w:sz="2" w:space="0" w:color="000000"/>
              <w:bottom w:val="double" w:sz="2" w:space="0" w:color="000000"/>
            </w:tcBorders>
          </w:tcPr>
          <w:p>
            <w:pPr>
              <w:pStyle w:val="TableContents"/>
              <w:widowControl w:val="false"/>
              <w:jc w:val="center"/>
              <w:rPr/>
            </w:pPr>
            <w:r>
              <w:rPr/>
              <w:t>Y</w:t>
            </w:r>
          </w:p>
        </w:tc>
        <w:tc>
          <w:tcPr>
            <w:tcW w:w="1358"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2" w:type="dxa"/>
            <w:tcBorders>
              <w:left w:val="double" w:sz="2" w:space="0" w:color="000000"/>
              <w:bottom w:val="double" w:sz="2" w:space="0" w:color="000000"/>
            </w:tcBorders>
          </w:tcPr>
          <w:p>
            <w:pPr>
              <w:pStyle w:val="TableContents"/>
              <w:widowControl w:val="false"/>
              <w:jc w:val="center"/>
              <w:rPr/>
            </w:pPr>
            <w:r>
              <w:rPr/>
              <w:t>Red Area</w:t>
            </w:r>
          </w:p>
        </w:tc>
        <w:tc>
          <w:tcPr>
            <w:tcW w:w="966"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7" w:type="dxa"/>
            <w:tcBorders>
              <w:left w:val="double" w:sz="2" w:space="0" w:color="000000"/>
              <w:bottom w:val="double" w:sz="2" w:space="0" w:color="000000"/>
            </w:tcBorders>
          </w:tcPr>
          <w:p>
            <w:pPr>
              <w:pStyle w:val="TableContents"/>
              <w:widowControl w:val="false"/>
              <w:jc w:val="center"/>
              <w:rPr/>
            </w:pPr>
            <w:r>
              <w:rPr/>
            </w:r>
          </w:p>
        </w:tc>
        <w:tc>
          <w:tcPr>
            <w:tcW w:w="1358"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2" w:type="dxa"/>
            <w:tcBorders>
              <w:left w:val="double" w:sz="2" w:space="0" w:color="000000"/>
              <w:bottom w:val="double" w:sz="2" w:space="0" w:color="000000"/>
            </w:tcBorders>
          </w:tcPr>
          <w:p>
            <w:pPr>
              <w:pStyle w:val="TableContents"/>
              <w:widowControl w:val="false"/>
              <w:jc w:val="center"/>
              <w:rPr/>
            </w:pPr>
            <w:r>
              <w:rPr/>
              <w:t>…</w:t>
            </w:r>
            <w:r>
              <w:rPr/>
              <w:t>.</w:t>
            </w:r>
          </w:p>
        </w:tc>
        <w:tc>
          <w:tcPr>
            <w:tcW w:w="966"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7" w:type="dxa"/>
            <w:tcBorders>
              <w:left w:val="double" w:sz="2" w:space="0" w:color="000000"/>
              <w:bottom w:val="double" w:sz="2" w:space="0" w:color="000000"/>
            </w:tcBorders>
          </w:tcPr>
          <w:p>
            <w:pPr>
              <w:pStyle w:val="TableContents"/>
              <w:widowControl w:val="false"/>
              <w:jc w:val="center"/>
              <w:rPr/>
            </w:pPr>
            <w:r>
              <w:rPr/>
            </w:r>
          </w:p>
        </w:tc>
        <w:tc>
          <w:tcPr>
            <w:tcW w:w="1358"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2" w:type="dxa"/>
            <w:tcBorders>
              <w:left w:val="double" w:sz="2" w:space="0" w:color="000000"/>
              <w:bottom w:val="double" w:sz="2" w:space="0" w:color="000000"/>
            </w:tcBorders>
          </w:tcPr>
          <w:p>
            <w:pPr>
              <w:pStyle w:val="TableContents"/>
              <w:widowControl w:val="false"/>
              <w:jc w:val="center"/>
              <w:rPr/>
            </w:pPr>
            <w:r>
              <w:rPr/>
              <w:t>…</w:t>
            </w:r>
            <w:r>
              <w:rPr/>
              <w:t>.</w:t>
            </w:r>
          </w:p>
        </w:tc>
        <w:tc>
          <w:tcPr>
            <w:tcW w:w="966"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Moreover, the methods and Ai are accessible and easily modified for improvements and further testing. Such that each method is separated from the neuron and accessed via call by each neuron. One caveat immediately springing to mind, is overloading methods in addition to stack overflows, data loss and corruption and even as the saying goes, getting our wires crossed. At present, we haven’t factored in how to perform a live monitoring of the data flow between each neuron. </w:t>
      </w:r>
      <w:r>
        <w:rPr>
          <w:b w:val="false"/>
          <w:bCs w:val="false"/>
          <w:sz w:val="20"/>
          <w:szCs w:val="20"/>
          <w:u w:val="none"/>
        </w:rPr>
        <w:t>These are of course second iterations from the first project herein.</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2078</TotalTime>
  <Application>LibreOffice/7.3.5.2$Windows_X86_64 LibreOffice_project/184fe81b8c8c30d8b5082578aee2fed2ea847c01</Application>
  <AppVersion>15.0000</AppVersion>
  <Pages>16</Pages>
  <Words>7008</Words>
  <Characters>38472</Characters>
  <CharactersWithSpaces>45440</CharactersWithSpaces>
  <Paragraphs>369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2022-10-31T13:39:38Z</dcterms:modified>
  <cp:revision>244</cp:revision>
  <dc:subject/>
  <dc:title/>
</cp:coreProperties>
</file>

<file path=docProps/custom.xml><?xml version="1.0" encoding="utf-8"?>
<Properties xmlns="http://schemas.openxmlformats.org/officeDocument/2006/custom-properties" xmlns:vt="http://schemas.openxmlformats.org/officeDocument/2006/docPropsVTypes"/>
</file>