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Though is it?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sz w:val="20"/>
          <w:szCs w:val="20"/>
          <w:u w:val="none"/>
        </w:rPr>
        <w:t xml:space="preserve">Given we are using Java, which is a higher level abstraction of an embedded language, we are relinquishing control of embedding language and the code is more readable, we can see easily, what data types and where while the lower level which Java is built from is handling processing and not forcing embedding. There are no forceful modifications to the standard operation of the hardware components during testing and proof of concept stages.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alpha values on the letters for fade in and out transitions are definitely an option. Since HSV may not be appropriate for Alpha channels in animations, potentially the value model in the StackOverflow solutions [2020] may need to change to accommodate alpha channels else simply a new object or method built into the fade transitions object would be appropriate. They can then be applied to the letters fading per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mesh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dimensional ArrayLists (MDAL) to store the data and the connectivity relationships semi-permanently in the first instance. The method has been chosen for several factors, the connections need to stay permanent which is not dissimilar to the example data text file (provided for MST in Sedgewick and Wayne’ work)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 the rest of the calculations fall down since they are the foundation of the programmatic starting point.</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interesting.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is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algorithms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24"/>
        <w:gridCol w:w="569"/>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24"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69"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programming code; Leaving each method separated from the neuron and accessed via call by each neuron. We have the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 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 types, as such the current project programming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It would also be possible for each neuron’ AI to hold three variants of MST for the purposes of multi processing when sending a request to the other areas of the cortex if one or the other two MST are busy. In addition, it would be possible for the source neuron to offload some of the processing to other neurons in it’s library for assistance if they have the resources available and are not busy processing another request or learning / training.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in the form of ‘AI_TYPE_1(), AI_TYPE_N()’ of one variant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 As such, we can build log functionality into each neuron.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With regards to data collection in a tree path of information requested from multiple neurons, it might be best to tag the traffic in a specific format with each neuron on the path from end neurons to source neuron in such a way the reports also fall into the logs for manual assessment. The proposal is neuron N, output number Z and the probability from all N is W as a mean average and as a standard deviance D, which is calculated via the source Neuron which also reports their own calculation.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We do that because each neuron should calculate those things in order to function in unity with their respective connections and the reports from all neurons which interacted to arrive at that solution. Because they too may have been asked by a different source neuron, to perform that task and so must also function the same way even though the method by which each neuron is learning (the AI) may differ. </w:t>
      </w:r>
    </w:p>
    <w:p>
      <w:pPr>
        <w:pStyle w:val="Normal"/>
        <w:bidi w:val="0"/>
        <w:jc w:val="left"/>
        <w:rPr>
          <w:rFonts w:ascii="Consolas" w:hAnsi="Consolas"/>
          <w:sz w:val="16"/>
          <w:szCs w:val="16"/>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 Yes, we are building a brain.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We’re going to have to look at how intensive the randomisation and layer generation is on the processor at initial boot since there is a lot of compression and data calls to the memory locations, </w:t>
      </w:r>
      <w:r>
        <w:rPr>
          <w:b w:val="false"/>
          <w:bCs w:val="false"/>
          <w:sz w:val="20"/>
          <w:szCs w:val="20"/>
          <w:u w:val="none"/>
        </w:rPr>
        <w:t>and</w:t>
      </w:r>
      <w:r>
        <w:rPr>
          <w:b w:val="false"/>
          <w:bCs w:val="false"/>
          <w:sz w:val="20"/>
          <w:szCs w:val="20"/>
          <w:u w:val="none"/>
        </w:rPr>
        <w:t xml:space="preserve">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Regarding efficiency, when virtualising there is the impacted performance of having to virtualise and emulate an enclosed operating system. However, we can gain a flat rate according the resources allocated to the virtual machine and still have the added advantage of sandboxing if configured correctly and since we are not embedding, that practice is in theory, relatively safe to perform tests with. The issues would occur when network sockets are involved. Also, there is the limitation of the resources allocated as added safety measure to mitigate too much power to the processes and they can be allocated according to necessity during tests.</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a technique to try and force the system to break to compromise safety and security levels. Those techniques are usually contracted, with strict rules and boundaries.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What is interesting is the mapping functionality in Android development, we could hash map one data set to perform certain tests about derivative decompression during the training and even the data access testing phases and compare to line by line search and sort and as such can then compare the learning capabilities as to what is best suited to which type of neurological configuration. There is of course, with other AI, the potential to measure their capabilities in these variable configurations and even test if the AI can detect whether it is receiving a word or an image per configuration after training and test that performance per configuration without telling the neurological configuration, what data it is receiving.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t>https://www.javatpoint.com/java-logger#:~:text=There%20are%20the%20five%20logging%20handlers%20in%20Java%3A,the%20buffer%20log%20records%20resides%20in%20the%20memory.</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2382</TotalTime>
  <Application>LibreOffice/7.3.5.2$Windows_X86_64 LibreOffice_project/184fe81b8c8c30d8b5082578aee2fed2ea847c01</Application>
  <AppVersion>15.0000</AppVersion>
  <Pages>22</Pages>
  <Words>9658</Words>
  <Characters>53050</Characters>
  <CharactersWithSpaces>62927</CharactersWithSpaces>
  <Paragraphs>549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2022-11-10T10:16:57Z</dcterms:modified>
  <cp:revision>356</cp:revision>
  <dc:subject/>
  <dc:title/>
</cp:coreProperties>
</file>

<file path=docProps/custom.xml><?xml version="1.0" encoding="utf-8"?>
<Properties xmlns="http://schemas.openxmlformats.org/officeDocument/2006/custom-properties" xmlns:vt="http://schemas.openxmlformats.org/officeDocument/2006/docPropsVTypes"/>
</file>