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0"/>
        <w:ind w:left="36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>Dynamic and results-driven professional with 7+ years of experience in logistics and supply chain management, specializing in data analytics and business intelligence. Proven ability to lead digital initiatives and support the deployment of data-driven solutions that optimize operations and improve decision-making. Skilled in SQL, Python, and BI tools (Power BI, Tableau) to drive efficiency, forecasting, and KPI tracking. Experienced in global freight forwarding with a strong record of delivering scalable and cost-effective logistics solutions. Adept at collaborating with cross-functional teams to implement real-time analytics tools and support end-to-end digital transformation in complex environments.</w:t>
      </w:r>
    </w:p>
    <w:p>
      <w:pPr>
        <w:pStyle w:val="Heading1"/>
        <w:spacing w:lineRule="exact" w:line="252" w:before="240" w:after="60"/>
        <w:ind w:hanging="0" w:left="9"/>
        <w:rPr>
          <w:spacing w:val="-10"/>
        </w:rPr>
      </w:pPr>
      <w:r>
        <w:rPr>
          <w:spacing w:val="-10"/>
        </w:rPr>
        <w:t>Core Competencies</w:t>
      </w:r>
    </w:p>
    <w:p>
      <w:pPr>
        <w:sectPr>
          <w:headerReference w:type="default" r:id="rId2"/>
          <w:type w:val="nextPage"/>
          <w:pgSz w:w="12240" w:h="15840"/>
          <w:pgMar w:left="360" w:right="360" w:gutter="0" w:header="655" w:top="19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Data Analytics and Business Intelligence:</w:t>
      </w:r>
      <w:r>
        <w:rPr>
          <w:spacing w:val="-2"/>
          <w:sz w:val="21"/>
          <w:szCs w:val="21"/>
        </w:rPr>
        <w:t xml:space="preserve"> Power BI, Tableau, Superset, Alteryx - Building BI solutions for data-driven decision-making.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Collaboration and Project Management:</w:t>
      </w:r>
      <w:r>
        <w:rPr>
          <w:spacing w:val="-2"/>
          <w:sz w:val="21"/>
          <w:szCs w:val="21"/>
        </w:rPr>
        <w:t xml:space="preserve"> Confluence, Jira - Cross-functional team collaboration, project tracking, and agile workflows.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Forecasting and Optimization:</w:t>
      </w:r>
      <w:r>
        <w:rPr>
          <w:spacing w:val="-2"/>
          <w:sz w:val="21"/>
          <w:szCs w:val="21"/>
        </w:rPr>
        <w:t xml:space="preserve"> Forecasting, Inventory Optimization, Capacity Planning for cost-effective 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Programming and Data Engineering:</w:t>
      </w:r>
      <w:r>
        <w:rPr>
          <w:spacing w:val="-2"/>
          <w:sz w:val="21"/>
          <w:szCs w:val="21"/>
        </w:rPr>
        <w:t xml:space="preserve"> Python (Pandas, NumPy), SQL, SSIS, VBA, Excel – ETL development and workflow automation.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API and EDI Integration:</w:t>
      </w:r>
      <w:r>
        <w:rPr>
          <w:spacing w:val="-2"/>
          <w:sz w:val="21"/>
          <w:szCs w:val="21"/>
        </w:rPr>
        <w:t xml:space="preserve"> REST APIs, XML, JSON, ANSI X12 – Enabling real-time data exchange with external 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Database Management:</w:t>
      </w:r>
      <w:r>
        <w:rPr>
          <w:spacing w:val="-2"/>
          <w:sz w:val="21"/>
          <w:szCs w:val="21"/>
        </w:rPr>
        <w:t xml:space="preserve"> SQL Server, PostgreSQL, MySQL, MongoDB - Data modeling, performance tuning, and scalable infrastructure.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E-Commerce Analytics and Supply Chain:</w:t>
      </w:r>
      <w:r>
        <w:rPr>
          <w:spacing w:val="-2"/>
          <w:sz w:val="21"/>
          <w:szCs w:val="21"/>
        </w:rPr>
        <w:t>TMS, WMS, E-Commerce Operations, Google Analytics – Analyzing transportation, warehousing, fulfillment, and customer behavior data.</w:t>
      </w:r>
    </w:p>
    <w:p>
      <w:pPr>
        <w:sectPr>
          <w:type w:val="continuous"/>
          <w:pgSz w:w="12240" w:h="15840"/>
          <w:pgMar w:left="360" w:right="360" w:gutter="0" w:header="655" w:top="19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clear" w:pos="720"/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360" w:right="360" w:gutter="0" w:header="655" w:top="19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40" w:after="0"/>
        <w:rPr/>
      </w:pPr>
      <w:r>
        <w:rPr/>
      </w:r>
    </w:p>
    <w:p>
      <w:pPr>
        <w:pStyle w:val="Heading1"/>
        <w:ind w:hanging="0" w:left="4729"/>
        <w:jc w:val="left"/>
        <w:rPr>
          <w:spacing w:val="-2"/>
        </w:rPr>
      </w:pPr>
      <w:r>
        <w:rPr>
          <w:spacing w:val="-2"/>
        </w:rPr>
        <w:t>Professional</w:t>
      </w:r>
      <w:r>
        <w:rPr>
          <w:spacing w:val="7"/>
        </w:rPr>
        <w:t xml:space="preserve"> </w:t>
      </w:r>
      <w:r>
        <w:rPr>
          <w:spacing w:val="-2"/>
        </w:rPr>
        <w:t>Experience</w:t>
      </w:r>
    </w:p>
    <w:p>
      <w:pPr>
        <w:pStyle w:val="Heading2"/>
        <w:spacing w:lineRule="exact" w:line="268" w:before="100" w:after="0"/>
        <w:ind w:hanging="0" w:left="360"/>
        <w:rPr/>
      </w:pPr>
      <w:r>
        <w:rPr/>
        <w:t>Business Intelligence Analyst (J</w:t>
      </w:r>
      <w:r>
        <w:rPr/>
        <w:t>uly</w:t>
      </w:r>
      <w:r>
        <w:rPr/>
        <w:t xml:space="preserve"> 2020 </w:t>
      </w:r>
      <w:r>
        <w:rPr>
          <w:rFonts w:cs="Cambria Math" w:ascii="Cambria Math" w:hAnsi="Cambria Math"/>
        </w:rPr>
        <w:t>‐</w:t>
      </w:r>
      <w:r>
        <w:rPr/>
        <w:t xml:space="preserve"> Apr 2025) | 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Contributed to the deployment of Drayup, Barsan’s e-commerce platform for yard rentals and storage, by building scalable data infrastructure and collaborating with cross-functional 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Developed real-time Power BI dashboards to monitor pricing, space use, and revenue forecasts, supporting data-driven decisions.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Designed reporting tools that reduced turnaround time by 30% and clarified logistics cost and revenue trends for business users.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pacing w:val="-2"/>
          <w:sz w:val="21"/>
          <w:szCs w:val="21"/>
        </w:rPr>
        <w:t xml:space="preserve">Built SQL-based ETL pipelines to unify shipment, customs, and finance data, </w:t>
      </w:r>
      <w:r>
        <w:rPr>
          <w:rStyle w:val="Strong"/>
          <w:b w:val="false"/>
          <w:bCs w:val="false"/>
          <w:spacing w:val="-2"/>
          <w:sz w:val="21"/>
          <w:szCs w:val="21"/>
        </w:rPr>
        <w:t>enabling smooth data integration for digital product adoption.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rStyle w:val="Strong"/>
          <w:b w:val="false"/>
          <w:bCs w:val="false"/>
          <w:spacing w:val="-2"/>
          <w:sz w:val="21"/>
          <w:szCs w:val="21"/>
        </w:rPr>
        <w:t>Established KPI frameworks</w:t>
      </w:r>
      <w:r>
        <w:rPr>
          <w:b w:val="false"/>
          <w:bCs w:val="false"/>
          <w:spacing w:val="-2"/>
          <w:sz w:val="21"/>
          <w:szCs w:val="21"/>
        </w:rPr>
        <w:t xml:space="preserve"> to monitor margins, profitability, and logistics expenses, enabling effective post-deployment performance reviews.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z w:val="21"/>
          <w:szCs w:val="21"/>
        </w:rPr>
        <w:t xml:space="preserve">Led EDI and API integrations with global shipping lines, enhancing container visibility and enabling </w:t>
      </w:r>
      <w:r>
        <w:rPr>
          <w:rStyle w:val="Strong"/>
          <w:b w:val="false"/>
          <w:bCs w:val="false"/>
          <w:sz w:val="21"/>
          <w:szCs w:val="21"/>
        </w:rPr>
        <w:t>real-time data availability for digital tools.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Collaborated with product, tech, and ops teams to build tools that streamlined workflows and boosted user adoption.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z w:val="21"/>
          <w:szCs w:val="21"/>
        </w:rPr>
        <w:t xml:space="preserve">Integrated Google Analytics into Drayup to track user behavior, optimize engagement strategies, and drive </w:t>
      </w:r>
      <w:r>
        <w:rPr>
          <w:rStyle w:val="Strong"/>
          <w:b w:val="false"/>
          <w:bCs w:val="false"/>
          <w:sz w:val="21"/>
          <w:szCs w:val="21"/>
        </w:rPr>
        <w:t>continuous product improvement.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rStyle w:val="Strong"/>
          <w:b w:val="false"/>
          <w:bCs w:val="false"/>
          <w:spacing w:val="-2"/>
          <w:sz w:val="21"/>
          <w:szCs w:val="21"/>
        </w:rPr>
        <w:t>Maintained and supported in-house TMS/WMS, ERP systems, Descartes ensuring data integrity and smooth transition to business teams.</w:t>
      </w:r>
    </w:p>
    <w:p>
      <w:pPr>
        <w:pStyle w:val="ListParagraph"/>
        <w:tabs>
          <w:tab w:val="clear" w:pos="720"/>
          <w:tab w:val="left" w:pos="517" w:leader="none"/>
        </w:tabs>
        <w:spacing w:lineRule="auto" w:line="228" w:before="28" w:after="0"/>
        <w:ind w:hanging="0" w:left="360" w:right="500"/>
        <w:rPr>
          <w:spacing w:val="-2"/>
        </w:rPr>
      </w:pPr>
      <w:r>
        <w:rPr>
          <w:spacing w:val="-2"/>
        </w:rPr>
      </w:r>
    </w:p>
    <w:p>
      <w:pPr>
        <w:pStyle w:val="Heading2"/>
        <w:spacing w:lineRule="exact" w:line="268" w:before="0" w:after="0"/>
        <w:ind w:hanging="0" w:left="360"/>
        <w:rPr/>
      </w:pPr>
      <w:r>
        <w:rPr/>
        <w:t>Trade Compliance Specialist (Nov</w:t>
      </w:r>
      <w:r>
        <w:rPr>
          <w:spacing w:val="-12"/>
        </w:rPr>
        <w:t xml:space="preserve"> </w:t>
      </w:r>
      <w:r>
        <w:rPr/>
        <w:t>2017</w:t>
      </w:r>
      <w:r>
        <w:rPr>
          <w:spacing w:val="-13"/>
        </w:rPr>
        <w:t xml:space="preserve"> </w:t>
      </w:r>
      <w:r>
        <w:rPr>
          <w:rFonts w:ascii="Cambria Math" w:hAnsi="Cambria Math"/>
          <w:b w:val="false"/>
          <w:i w:val="false"/>
          <w:sz w:val="23"/>
        </w:rPr>
        <w:t xml:space="preserve">‐ </w:t>
      </w:r>
      <w:r>
        <w:rPr/>
        <w:t xml:space="preserve">June </w:t>
      </w:r>
      <w:r>
        <w:rPr/>
        <w:t>20</w:t>
      </w:r>
      <w:r>
        <w:rPr/>
        <w:t>20</w:t>
      </w:r>
      <w:r>
        <w:rPr>
          <w:spacing w:val="-13"/>
        </w:rPr>
        <w:t>)</w:t>
      </w:r>
      <w:r>
        <w:rPr>
          <w:spacing w:val="-2"/>
        </w:rPr>
        <w:t xml:space="preserve"> </w:t>
      </w:r>
      <w:r>
        <w:rPr/>
        <w:t>| 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Supervised daily customs clearance operations for 200+ monthly entries, overseeing HTS classification, ISF, and AES filings.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Reduced customs clearance delays by 18% by introducing SOPs and error-check systems using Netchb and Descartes platforms.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Reviewed and approved complex customs entries to ensure compliance with CBP and PGAs including FDA and USDA.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Conducted internal audits and implemented corrective actions, contributing to a 30% drop in post-entry amendments.</w:t>
      </w:r>
    </w:p>
    <w:p>
      <w:pPr>
        <w:pStyle w:val="Normal"/>
        <w:tabs>
          <w:tab w:val="clear" w:pos="720"/>
          <w:tab w:val="left" w:pos="517" w:leader="none"/>
        </w:tabs>
        <w:spacing w:lineRule="auto" w:line="228"/>
        <w:ind w:left="360" w:right="500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120"/>
        <w:ind w:firstLine="4995" w:left="340" w:right="4486"/>
        <w:rPr>
          <w:b/>
          <w:spacing w:val="-4"/>
        </w:rPr>
      </w:pPr>
      <w:r>
        <w:rPr>
          <w:b/>
          <w:spacing w:val="-4"/>
        </w:rPr>
        <w:t xml:space="preserve">Education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/>
          <w:bCs/>
        </w:rPr>
        <w:t>Certificate in Data Science</w:t>
      </w:r>
      <w:r>
        <w:rPr/>
        <w:t xml:space="preserve"> - 2020: Rutgers University, Jersey City, NJ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/>
          <w:bCs/>
        </w:rPr>
        <w:t>Bachelor of Business Administration</w:t>
      </w:r>
      <w:r>
        <w:rPr/>
        <w:t xml:space="preserve"> | 2010-2014: Anadolu University, Turkey</w:t>
      </w:r>
    </w:p>
    <w:sectPr>
      <w:type w:val="continuous"/>
      <w:pgSz w:w="12240" w:h="15840"/>
      <w:pgMar w:left="360" w:right="360" w:gutter="0" w:header="655" w:top="19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5715" distB="4445" distL="5080" distR="5080" simplePos="0" locked="0" layoutInCell="0" allowOverlap="1" relativeHeight="2">
              <wp:simplePos x="0" y="0"/>
              <wp:positionH relativeFrom="page">
                <wp:posOffset>457200</wp:posOffset>
              </wp:positionH>
              <wp:positionV relativeFrom="page">
                <wp:posOffset>1200785</wp:posOffset>
              </wp:positionV>
              <wp:extent cx="7118350" cy="13335"/>
              <wp:effectExtent l="5080" t="5715" r="5080" b="4445"/>
              <wp:wrapNone/>
              <wp:docPr id="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280" cy="13320"/>
                      </a:xfrm>
                      <a:custGeom>
                        <a:avLst/>
                        <a:gdLst>
                          <a:gd name="textAreaLeft" fmla="*/ 0 w 4035600"/>
                          <a:gd name="textAreaRight" fmla="*/ 4041360 w 4035600"/>
                          <a:gd name="textAreaTop" fmla="*/ 0 h 7560"/>
                          <a:gd name="textAreaBottom" fmla="*/ 13320 h 7560"/>
                        </a:gdLst>
                        <a:ahLst/>
                        <a:rect l="textAreaLeft" t="textAreaTop" r="textAreaRight" b="textAreaBottom"/>
                        <a:pathLst>
                          <a:path w="7118350" h="13335">
                            <a:moveTo>
                              <a:pt x="0" y="0"/>
                            </a:moveTo>
                            <a:lnTo>
                              <a:pt x="7117969" y="12954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3">
              <wp:simplePos x="0" y="0"/>
              <wp:positionH relativeFrom="page">
                <wp:posOffset>2823845</wp:posOffset>
              </wp:positionH>
              <wp:positionV relativeFrom="page">
                <wp:posOffset>815340</wp:posOffset>
              </wp:positionV>
              <wp:extent cx="2204720" cy="398780"/>
              <wp:effectExtent l="635" t="0" r="0" b="0"/>
              <wp:wrapNone/>
              <wp:docPr id="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4640" cy="39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9" w:after="0"/>
                            <w:ind w:left="4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Hyperlink"/>
                                <w:color w:val="0462C1"/>
                                <w:u w:val="single" w:color="0462C1"/>
                              </w:rPr>
                              <w:t>LinkedIn</w:t>
                            </w:r>
                          </w:hyperlink>
                          <w:r>
                            <w:rPr>
                              <w:color w:val="0462C1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Hyperlink"/>
                                <w:color w:val="0462C1"/>
                                <w:spacing w:val="-2"/>
                                <w:u w:val="single"/>
                              </w:rPr>
                              <w:t>GitHub</w:t>
                            </w:r>
                          </w:hyperlink>
                          <w:r>
                            <w:rPr>
                              <w:rStyle w:val="Hyperlink"/>
                              <w:color w:val="000000"/>
                              <w:spacing w:val="6"/>
                              <w:u w:val="none"/>
                            </w:rPr>
                            <w:t xml:space="preserve"> | </w:t>
                          </w:r>
                          <w:hyperlink r:id="rId3">
                            <w:r>
                              <w:rPr>
                                <w:rStyle w:val="Hyperlink"/>
                                <w:color w:val="0462C1"/>
                                <w:spacing w:val="6"/>
                                <w:u w:val="single"/>
                              </w:rPr>
                              <w:t>Resume Site</w:t>
                            </w:r>
                          </w:hyperlink>
                        </w:p>
                        <w:p>
                          <w:pPr>
                            <w:pStyle w:val="BodyText"/>
                            <w:spacing w:before="79" w:after="0"/>
                            <w:ind w:left="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22.35pt;margin-top:64.2pt;width:173.55pt;height:31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9" w:after="0"/>
                      <w:ind w:left="4"/>
                      <w:jc w:val="center"/>
                      <w:rPr/>
                    </w:pPr>
                    <w:hyperlink r:id="rId4">
                      <w:r>
                        <w:rPr>
                          <w:rStyle w:val="Hyperlink"/>
                          <w:color w:val="0462C1"/>
                          <w:u w:val="single" w:color="0462C1"/>
                        </w:rPr>
                        <w:t>LinkedIn</w:t>
                      </w:r>
                    </w:hyperlink>
                    <w:r>
                      <w:rPr>
                        <w:color w:val="0462C1"/>
                        <w:spacing w:val="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|</w:t>
                    </w:r>
                    <w:r>
                      <w:rPr>
                        <w:color w:val="000000"/>
                        <w:spacing w:val="6"/>
                      </w:rPr>
                      <w:t xml:space="preserve"> </w:t>
                    </w:r>
                    <w:hyperlink r:id="rId5">
                      <w:r>
                        <w:rPr>
                          <w:rStyle w:val="Hyperlink"/>
                          <w:color w:val="0462C1"/>
                          <w:spacing w:val="-2"/>
                          <w:u w:val="single"/>
                        </w:rPr>
                        <w:t>GitHub</w:t>
                      </w:r>
                    </w:hyperlink>
                    <w:r>
                      <w:rPr>
                        <w:rStyle w:val="Hyperlink"/>
                        <w:color w:val="000000"/>
                        <w:spacing w:val="6"/>
                        <w:u w:val="none"/>
                      </w:rPr>
                      <w:t xml:space="preserve"> | </w:t>
                    </w:r>
                    <w:hyperlink r:id="rId6">
                      <w:r>
                        <w:rPr>
                          <w:rStyle w:val="Hyperlink"/>
                          <w:color w:val="0462C1"/>
                          <w:spacing w:val="6"/>
                          <w:u w:val="single"/>
                        </w:rPr>
                        <w:t>Resume Site</w:t>
                      </w:r>
                    </w:hyperlink>
                  </w:p>
                  <w:p>
                    <w:pPr>
                      <w:pStyle w:val="BodyText"/>
                      <w:spacing w:before="79" w:after="0"/>
                      <w:ind w:left="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5">
              <wp:simplePos x="0" y="0"/>
              <wp:positionH relativeFrom="page">
                <wp:posOffset>3157220</wp:posOffset>
              </wp:positionH>
              <wp:positionV relativeFrom="page">
                <wp:posOffset>431800</wp:posOffset>
              </wp:positionV>
              <wp:extent cx="1457325" cy="186690"/>
              <wp:effectExtent l="635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7280" cy="18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RUSSELL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R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</w:rPr>
                            <w:t>COBANOGLU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48.6pt;margin-top:34pt;width:114.7pt;height:14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RUSSELL</w:t>
                    </w:r>
                    <w:r>
                      <w:rPr>
                        <w:b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R</w:t>
                    </w:r>
                    <w:r>
                      <w:rPr>
                        <w:b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</w:rPr>
                      <w:t>COBANOGLU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0" w:hanging="159"/>
      </w:pPr>
      <w:rPr>
        <w:rFonts w:ascii="Calibri" w:hAnsi="Calibri" w:cs="Calibri" w:hint="default"/>
        <w:sz w:val="22"/>
        <w:spacing w:val="0"/>
        <w:i w:val="false"/>
        <w:b w:val="false"/>
        <w:szCs w:val="22"/>
        <w:iCs w:val="false"/>
        <w:bCs w:val="false"/>
        <w:w w:val="98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76" w:hanging="15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92" w:hanging="15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08" w:hanging="15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24" w:hanging="15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940" w:hanging="15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56" w:hanging="15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172" w:hanging="15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288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 Narrow" w:hAnsi="Arial Narrow" w:eastAsia="Arial Narrow" w:cs="Arial Narro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9"/>
      <w:jc w:val="center"/>
      <w:outlineLvl w:val="0"/>
    </w:pPr>
    <w:rPr>
      <w:b/>
      <w:bCs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lineRule="exact" w:line="252" w:before="244" w:after="0"/>
      <w:ind w:left="360"/>
      <w:outlineLvl w:val="1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Arial Narrow" w:hAnsi="Arial Narrow" w:eastAsia="Arial Narrow" w:cs="Arial Narrow"/>
    </w:rPr>
  </w:style>
  <w:style w:type="character" w:styleId="FooterChar">
    <w:name w:val="Footer Char"/>
    <w:basedOn w:val="DefaultParagraphFont"/>
    <w:link w:val="Footer"/>
    <w:qFormat/>
    <w:rPr>
      <w:rFonts w:ascii="Arial Narrow" w:hAnsi="Arial Narrow" w:eastAsia="Arial Narrow" w:cs="Arial Narrow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32" w:after="0"/>
      <w:ind w:hanging="157" w:left="360"/>
    </w:pPr>
    <w:rPr/>
  </w:style>
  <w:style w:type="paragraph" w:styleId="TableParagraph">
    <w:name w:val="Table Paragraph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linkedin.com/in/russell-r-c-69a876274/" TargetMode="External"/><Relationship Id="rId2" Type="http://schemas.openxmlformats.org/officeDocument/2006/relationships/hyperlink" Target="https://github.com/RussCob" TargetMode="External"/><Relationship Id="rId3" Type="http://schemas.openxmlformats.org/officeDocument/2006/relationships/hyperlink" Target="https://russcob.github.io/" TargetMode="External"/><Relationship Id="rId4" Type="http://schemas.openxmlformats.org/officeDocument/2006/relationships/hyperlink" Target="https://www.linkedin.com/in/russell-r-c-69a876274/" TargetMode="External"/><Relationship Id="rId5" Type="http://schemas.openxmlformats.org/officeDocument/2006/relationships/hyperlink" Target="https://github.com/RussCob" TargetMode="External"/><Relationship Id="rId6" Type="http://schemas.openxmlformats.org/officeDocument/2006/relationships/hyperlink" Target="https://russcob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Application>1Doc/1.5.0.$MacOSX_X86_64 LibreOffice_project/2f9b6e7260225c6c2c1401d17cb7be8dc4e3347b</Application>
  <AppVersion>15.0000</AppVersion>
  <Pages>1</Pages>
  <Words>519</Words>
  <Characters>3328</Characters>
  <CharactersWithSpaces>3799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2025-03-18T17:15:00Z</dcterms:created>
  <dc:creator/>
  <dc:description/>
  <dc:language>en-US</dc:language>
  <cp:lastModifiedBy/>
  <dcterms:modified xsi:type="dcterms:W3CDTF">2025-05-02T16:53:54Z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