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80"/>
        <w:jc w:val="center"/>
      </w:pPr>
      <w:r>
        <w:rPr>
          <w:rFonts w:ascii="Arial" w:hAnsi="Arial"/>
          <w:b/>
          <w:color w:val="0D2137"/>
          <w:sz w:val="64"/>
        </w:rPr>
        <w:t>FAIRWAY GOLF CLUB</w:t>
      </w:r>
    </w:p>
    <w:p>
      <w:pPr>
        <w:spacing w:before="0" w:after="160"/>
        <w:jc w:val="center"/>
      </w:pPr>
      <w:r>
        <w:rPr>
          <w:rFonts w:ascii="Arial" w:hAnsi="Arial"/>
          <w:b/>
          <w:color w:val="2A6041"/>
          <w:sz w:val="44"/>
        </w:rPr>
        <w:t>LOCAL MARKET ANALYSIS</w:t>
      </w:r>
    </w:p>
    <w:p>
      <w:pPr>
        <w:spacing w:before="80" w:after="400"/>
        <w:jc w:val="center"/>
        <w:pBdr>
          <w:bottom w:val="single" w:sz="12" w:space="4" w:color="C9963B"/>
        </w:pBdr>
      </w:pPr>
    </w:p>
    <w:p>
      <w:pPr>
        <w:spacing w:before="0" w:after="1000"/>
        <w:jc w:val="center"/>
      </w:pPr>
      <w:r>
        <w:rPr>
          <w:rFonts w:ascii="Arial" w:hAnsi="Arial"/>
          <w:i/>
          <w:color w:val="666666"/>
          <w:sz w:val="28"/>
        </w:rPr>
        <w:t>Investment Opportunity Assessment</w:t>
      </w:r>
    </w:p>
    <w:p>
      <w:pPr>
        <w:spacing w:before="40" w:after="40"/>
        <w:jc w:val="center"/>
      </w:pPr>
      <w:r>
        <w:rPr>
          <w:rFonts w:ascii="Arial" w:hAnsi="Arial"/>
          <w:b/>
          <w:color w:val="0D2137"/>
          <w:sz w:val="22"/>
        </w:rPr>
        <w:t xml:space="preserve">Proposed Location:  </w:t>
      </w:r>
      <w:r>
        <w:rPr>
          <w:rFonts w:ascii="Arial" w:hAnsi="Arial"/>
          <w:color w:val="333333"/>
          <w:sz w:val="22"/>
        </w:rPr>
        <w:t>Workhouse Arts Center</w:t>
      </w:r>
    </w:p>
    <w:p>
      <w:pPr>
        <w:spacing w:before="40" w:after="40"/>
        <w:jc w:val="center"/>
      </w:pPr>
      <w:r>
        <w:rPr>
          <w:rFonts w:ascii="Arial" w:hAnsi="Arial"/>
          <w:b/>
          <w:color w:val="0D2137"/>
          <w:sz w:val="22"/>
        </w:rPr>
        <w:t xml:space="preserve">Address:  </w:t>
      </w:r>
      <w:r>
        <w:rPr>
          <w:rFonts w:ascii="Arial" w:hAnsi="Arial"/>
          <w:color w:val="333333"/>
          <w:sz w:val="22"/>
        </w:rPr>
        <w:t>9518 Workhouse Way, Lorton, Virginia 22079</w:t>
      </w:r>
    </w:p>
    <w:p>
      <w:pPr>
        <w:spacing w:before="40" w:after="40"/>
        <w:jc w:val="center"/>
      </w:pPr>
      <w:r>
        <w:rPr>
          <w:rFonts w:ascii="Arial" w:hAnsi="Arial"/>
          <w:b/>
          <w:color w:val="0D2137"/>
          <w:sz w:val="22"/>
        </w:rPr>
        <w:t xml:space="preserve">Date:  </w:t>
      </w:r>
      <w:r>
        <w:rPr>
          <w:rFonts w:ascii="Arial" w:hAnsi="Arial"/>
          <w:color w:val="333333"/>
          <w:sz w:val="22"/>
        </w:rPr>
        <w:t>July 2026</w:t>
      </w:r>
    </w:p>
    <w:p>
      <w:pPr>
        <w:spacing w:before="40" w:after="40"/>
        <w:jc w:val="center"/>
      </w:pPr>
      <w:r>
        <w:rPr>
          <w:rFonts w:ascii="Arial" w:hAnsi="Arial"/>
          <w:b/>
          <w:color w:val="0D2137"/>
          <w:sz w:val="22"/>
        </w:rPr>
        <w:t xml:space="preserve">Classification:  </w:t>
      </w:r>
      <w:r>
        <w:rPr>
          <w:rFonts w:ascii="Arial" w:hAnsi="Arial"/>
          <w:color w:val="333333"/>
          <w:sz w:val="22"/>
        </w:rPr>
        <w:t>CONFIDENTIAL — Prepared for investor use only</w:t>
      </w:r>
    </w:p>
    <w:p>
      <w:r>
        <w:br w:type="page"/>
      </w:r>
    </w:p>
    <w:p>
      <w:pPr>
        <w:spacing w:before="360" w:after="120"/>
        <w:pBdr>
          <w:bottom w:val="single" w:sz="8" w:space="4" w:color="2A6041"/>
        </w:pBdr>
      </w:pPr>
      <w:r>
        <w:rPr>
          <w:rFonts w:ascii="Arial" w:hAnsi="Arial"/>
          <w:b/>
          <w:color w:val="0D2137"/>
          <w:sz w:val="32"/>
        </w:rPr>
        <w:t>Executive Summary</w:t>
      </w:r>
    </w:p>
    <w:tbl>
      <w:tblPr>
        <w:tblW w:type="auto" w:w="0"/>
        <w:jc w:val="center"/>
        <w:tblLook w:firstColumn="1" w:firstRow="1" w:lastColumn="0" w:lastRow="0" w:noHBand="0" w:noVBand="1" w:val="04A0"/>
      </w:tblPr>
      <w:tblGrid>
        <w:gridCol w:w="9360"/>
      </w:tblGrid>
      <w:tr>
        <w:tc>
          <w:tcPr>
            <w:tcW w:type="dxa" w:w="9360"/>
            <w:shd w:val="clear" w:color="auto" w:fill="EBF4EE"/>
            <w:tcBorders>
              <w:top w:val="single" w:sz="4" w:space="0" w:color="2A6041"/>
              <w:left w:val="single" w:sz="4" w:space="0" w:color="2A6041"/>
              <w:bottom w:val="single" w:sz="4" w:space="0" w:color="2A6041"/>
              <w:right w:val="single" w:sz="4" w:space="0" w:color="2A6041"/>
            </w:tcBorders>
            <w:tcMar>
              <w:top w:w="120" w:type="dxa"/>
              <w:bottom w:w="120" w:type="dxa"/>
              <w:left w:w="160" w:type="dxa"/>
              <w:right w:w="160" w:type="dxa"/>
            </w:tcMar>
          </w:tcPr>
          <w:p>
            <w:pPr>
              <w:spacing w:before="0" w:after="120"/>
            </w:pPr>
            <w:r>
              <w:rPr>
                <w:rFonts w:ascii="Arial" w:hAnsi="Arial"/>
                <w:b/>
                <w:color w:val="0D2137"/>
                <w:sz w:val="24"/>
              </w:rPr>
              <w:t>Key Finding: A Supply Gap with Proven Demand</w:t>
            </w:r>
          </w:p>
          <w:p>
            <w:pPr>
              <w:spacing w:before="0" w:after="0"/>
            </w:pPr>
            <w:r>
              <w:rPr>
                <w:rFonts w:ascii="Arial" w:hAnsi="Arial"/>
                <w:color w:val="333333"/>
                <w:sz w:val="21"/>
              </w:rPr>
              <w:t>The Lorton/Fairfax Station corridor sits at the center of one of the wealthiest, most golf-active regions in the United States — yet contains zero indoor golf simulator facilities. All existing competitors cluster 10+ miles to the north toward the DC urban core, leaving an affluent suburban population of 300,000+ with no convenient indoor golf option. Workhouse Arts Center positions Fairway Golf Club to capture this untapped demand from day one.</w:t>
            </w:r>
          </w:p>
        </w:tc>
      </w:tr>
    </w:tbl>
    <w:p>
      <w:pPr>
        <w:spacing w:before="0" w:after="200"/>
      </w:pP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EBF4EE"/>
            <w:tcMar>
              <w:top w:w="100" w:type="dxa"/>
              <w:bottom w:w="100" w:type="dxa"/>
              <w:left w:w="80" w:type="dxa"/>
              <w:right w:w="80" w:type="dxa"/>
            </w:tcMar>
            <w:tcW w:w="2376" w:type="dxa"/>
          </w:tcPr>
          <w:p>
            <w:pPr>
              <w:spacing w:before="80" w:after="0"/>
              <w:jc w:val="center"/>
            </w:pPr>
            <w:r>
              <w:rPr>
                <w:rFonts w:ascii="Arial" w:hAnsi="Arial"/>
                <w:b/>
                <w:color w:val="2A6041"/>
                <w:sz w:val="48"/>
              </w:rPr>
              <w:t>0</w:t>
            </w:r>
          </w:p>
          <w:p>
            <w:pPr>
              <w:spacing w:before="0" w:after="0"/>
              <w:jc w:val="center"/>
            </w:pPr>
            <w:r>
              <w:rPr>
                <w:rFonts w:ascii="Arial" w:hAnsi="Arial"/>
                <w:b/>
                <w:color w:val="0D2137"/>
                <w:sz w:val="18"/>
              </w:rPr>
              <w:t>Simulator Competitors</w:t>
            </w:r>
          </w:p>
          <w:p>
            <w:pPr>
              <w:spacing w:before="0" w:after="80"/>
              <w:jc w:val="center"/>
            </w:pPr>
            <w:r>
              <w:rPr>
                <w:rFonts w:ascii="Arial" w:hAnsi="Arial"/>
                <w:i/>
                <w:color w:val="666666"/>
                <w:sz w:val="16"/>
              </w:rPr>
              <w:t>within 10 mi south</w:t>
            </w:r>
          </w:p>
        </w:tc>
        <w:tc>
          <w:tcPr>
            <w:tcW w:type="dxa" w:w="2340"/>
            <w:shd w:val="clear" w:color="auto" w:fill="EBF4EE"/>
            <w:tcMar>
              <w:top w:w="100" w:type="dxa"/>
              <w:bottom w:w="100" w:type="dxa"/>
              <w:left w:w="80" w:type="dxa"/>
              <w:right w:w="80" w:type="dxa"/>
            </w:tcMar>
            <w:tcW w:w="2376" w:type="dxa"/>
          </w:tcPr>
          <w:p>
            <w:pPr>
              <w:spacing w:before="80" w:after="0"/>
              <w:jc w:val="center"/>
            </w:pPr>
            <w:r>
              <w:rPr>
                <w:rFonts w:ascii="Arial" w:hAnsi="Arial"/>
                <w:b/>
                <w:color w:val="2A6041"/>
                <w:sz w:val="48"/>
              </w:rPr>
              <w:t>$130K+</w:t>
            </w:r>
          </w:p>
          <w:p>
            <w:pPr>
              <w:spacing w:before="0" w:after="0"/>
              <w:jc w:val="center"/>
            </w:pPr>
            <w:r>
              <w:rPr>
                <w:rFonts w:ascii="Arial" w:hAnsi="Arial"/>
                <w:b/>
                <w:color w:val="0D2137"/>
                <w:sz w:val="18"/>
              </w:rPr>
              <w:t>Median HHI</w:t>
            </w:r>
          </w:p>
          <w:p>
            <w:pPr>
              <w:spacing w:before="0" w:after="80"/>
              <w:jc w:val="center"/>
            </w:pPr>
            <w:r>
              <w:rPr>
                <w:rFonts w:ascii="Arial" w:hAnsi="Arial"/>
                <w:i/>
                <w:color w:val="666666"/>
                <w:sz w:val="16"/>
              </w:rPr>
              <w:t>Fairfax County*</w:t>
            </w:r>
          </w:p>
        </w:tc>
        <w:tc>
          <w:tcPr>
            <w:tcW w:type="dxa" w:w="2340"/>
            <w:shd w:val="clear" w:color="auto" w:fill="EBF4EE"/>
            <w:tcMar>
              <w:top w:w="100" w:type="dxa"/>
              <w:bottom w:w="100" w:type="dxa"/>
              <w:left w:w="80" w:type="dxa"/>
              <w:right w:w="80" w:type="dxa"/>
            </w:tcMar>
            <w:tcW w:w="2376" w:type="dxa"/>
          </w:tcPr>
          <w:p>
            <w:pPr>
              <w:spacing w:before="80" w:after="0"/>
              <w:jc w:val="center"/>
            </w:pPr>
            <w:r>
              <w:rPr>
                <w:rFonts w:ascii="Arial" w:hAnsi="Arial"/>
                <w:b/>
                <w:color w:val="2A6041"/>
                <w:sz w:val="48"/>
              </w:rPr>
              <w:t>51,000+</w:t>
            </w:r>
          </w:p>
          <w:p>
            <w:pPr>
              <w:spacing w:before="0" w:after="0"/>
              <w:jc w:val="center"/>
            </w:pPr>
            <w:r>
              <w:rPr>
                <w:rFonts w:ascii="Arial" w:hAnsi="Arial"/>
                <w:b/>
                <w:color w:val="0D2137"/>
                <w:sz w:val="18"/>
              </w:rPr>
              <w:t>Fort Belvoir</w:t>
            </w:r>
          </w:p>
          <w:p>
            <w:pPr>
              <w:spacing w:before="0" w:after="80"/>
              <w:jc w:val="center"/>
            </w:pPr>
            <w:r>
              <w:rPr>
                <w:rFonts w:ascii="Arial" w:hAnsi="Arial"/>
                <w:i/>
                <w:color w:val="666666"/>
                <w:sz w:val="16"/>
              </w:rPr>
              <w:t>employees within 5 mi</w:t>
            </w:r>
          </w:p>
        </w:tc>
        <w:tc>
          <w:tcPr>
            <w:tcW w:type="dxa" w:w="2340"/>
            <w:shd w:val="clear" w:color="auto" w:fill="EBF4EE"/>
            <w:tcMar>
              <w:top w:w="100" w:type="dxa"/>
              <w:bottom w:w="100" w:type="dxa"/>
              <w:left w:w="80" w:type="dxa"/>
              <w:right w:w="80" w:type="dxa"/>
            </w:tcMar>
            <w:tcW w:w="2376" w:type="dxa"/>
          </w:tcPr>
          <w:p>
            <w:pPr>
              <w:spacing w:before="80" w:after="0"/>
              <w:jc w:val="center"/>
            </w:pPr>
            <w:r>
              <w:rPr>
                <w:rFonts w:ascii="Arial" w:hAnsi="Arial"/>
                <w:b/>
                <w:color w:val="2A6041"/>
                <w:sz w:val="48"/>
              </w:rPr>
              <w:t>5+</w:t>
            </w:r>
          </w:p>
          <w:p>
            <w:pPr>
              <w:spacing w:before="0" w:after="0"/>
              <w:jc w:val="center"/>
            </w:pPr>
            <w:r>
              <w:rPr>
                <w:rFonts w:ascii="Arial" w:hAnsi="Arial"/>
                <w:b/>
                <w:color w:val="0D2137"/>
                <w:sz w:val="18"/>
              </w:rPr>
              <w:t>Golf Courses</w:t>
            </w:r>
          </w:p>
          <w:p>
            <w:pPr>
              <w:spacing w:before="0" w:after="80"/>
              <w:jc w:val="center"/>
            </w:pPr>
            <w:r>
              <w:rPr>
                <w:rFonts w:ascii="Arial" w:hAnsi="Arial"/>
                <w:i/>
                <w:color w:val="666666"/>
                <w:sz w:val="16"/>
              </w:rPr>
              <w:t>within 7 miles</w:t>
            </w:r>
          </w:p>
        </w:tc>
      </w:tr>
    </w:tbl>
    <w:p>
      <w:pPr>
        <w:spacing w:before="20" w:after="60"/>
        <w:ind w:left="432"/>
      </w:pPr>
      <w:r>
        <w:rPr>
          <w:rFonts w:ascii="Arial" w:hAnsi="Arial"/>
          <w:i/>
          <w:color w:val="8B6914"/>
          <w:sz w:val="17"/>
        </w:rPr>
        <w:t>⚠  * Median HHI for Fairfax County derived from ACS 2022 5-year estimates; verify independently with current Census data</w:t>
      </w:r>
    </w:p>
    <w:p>
      <w:pPr>
        <w:spacing w:before="0" w:after="120"/>
      </w:pPr>
    </w:p>
    <w:p>
      <w:pPr>
        <w:spacing w:before="40" w:after="80"/>
      </w:pPr>
      <w:r>
        <w:rPr>
          <w:rFonts w:ascii="Arial" w:hAnsi="Arial"/>
          <w:i w:val="0"/>
          <w:color w:val="333333"/>
          <w:sz w:val="21"/>
        </w:rPr>
        <w:t>This report analyzes the local market opportunity for Fairway Golf Club, a proposed AI-powered indoor golf improvement club at Workhouse Arts Center, Lorton, Virginia. The analysis covers five areas: (1) demographics and purchasing power of the target corridor, (2) the competitive landscape and drive-time proximity of existing indoor golf facilities, (3) nearby golf course activity as a demand proxy, (4) national and regional indoor golf market growth, and (5) the Fort Belvoir military community as a supplemental customer segment.</w:t>
      </w:r>
    </w:p>
    <w:p>
      <w:pPr>
        <w:spacing w:before="40" w:after="80"/>
      </w:pPr>
      <w:r>
        <w:rPr>
          <w:rFonts w:ascii="Arial" w:hAnsi="Arial"/>
          <w:i/>
          <w:color w:val="666666"/>
          <w:sz w:val="19"/>
        </w:rPr>
        <w:t>Data sources include the U.S. Census Bureau (2020 Census, 2022 American Community Survey), Wikipedia, and industry knowledge current as of mid-2026. Market-sizing figures and competitor pricing are estimates; investors should independently verify before making decisions.</w:t>
      </w:r>
    </w:p>
    <w:p>
      <w:r>
        <w:br w:type="page"/>
      </w:r>
    </w:p>
    <w:p>
      <w:pPr>
        <w:spacing w:before="360" w:after="120"/>
        <w:pBdr>
          <w:bottom w:val="single" w:sz="8" w:space="4" w:color="2A6041"/>
        </w:pBdr>
      </w:pPr>
      <w:r>
        <w:rPr>
          <w:rFonts w:ascii="Arial" w:hAnsi="Arial"/>
          <w:b/>
          <w:color w:val="0D2137"/>
          <w:sz w:val="32"/>
        </w:rPr>
        <w:t>Section 1: Target Market Demographics</w:t>
      </w:r>
    </w:p>
    <w:p>
      <w:pPr>
        <w:spacing w:before="240" w:after="120"/>
      </w:pPr>
      <w:r>
        <w:rPr>
          <w:rFonts w:ascii="Arial" w:hAnsi="Arial"/>
          <w:b/>
          <w:color w:val="2A6041"/>
          <w:sz w:val="26"/>
        </w:rPr>
        <w:t>1.1 Primary Trade Area</w:t>
      </w:r>
    </w:p>
    <w:p>
      <w:pPr>
        <w:spacing w:before="40" w:after="80"/>
      </w:pPr>
      <w:r>
        <w:rPr>
          <w:rFonts w:ascii="Arial" w:hAnsi="Arial"/>
          <w:i w:val="0"/>
          <w:color w:val="333333"/>
          <w:sz w:val="21"/>
        </w:rPr>
        <w:t>Fairway Golf Club's primary trade area is a 10-15 mile radius centered on Workhouse Arts Center, covering six distinct communities with strong household income and established golf culture.</w:t>
      </w:r>
    </w:p>
    <w:p>
      <w:pPr>
        <w:spacing w:before="0" w:after="120"/>
      </w:pP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0D21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3168" w:type="dxa"/>
          </w:tcPr>
          <w:p>
            <w:pPr>
              <w:spacing w:before="0" w:after="0"/>
              <w:jc w:val="left"/>
            </w:pPr>
            <w:r>
              <w:rPr>
                <w:rFonts w:ascii="Arial" w:hAnsi="Arial"/>
                <w:b/>
                <w:color w:val="FFFFFF"/>
                <w:sz w:val="19"/>
              </w:rPr>
              <w:t>Community</w:t>
            </w:r>
          </w:p>
        </w:tc>
        <w:tc>
          <w:tcPr>
            <w:tcW w:type="dxa" w:w="2340"/>
            <w:shd w:val="clear" w:color="auto" w:fill="0D21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872" w:type="dxa"/>
          </w:tcPr>
          <w:p>
            <w:pPr>
              <w:spacing w:before="0" w:after="0"/>
              <w:jc w:val="left"/>
            </w:pPr>
            <w:r>
              <w:rPr>
                <w:rFonts w:ascii="Arial" w:hAnsi="Arial"/>
                <w:b/>
                <w:color w:val="FFFFFF"/>
                <w:sz w:val="19"/>
              </w:rPr>
              <w:t>Est. Population</w:t>
            </w:r>
          </w:p>
        </w:tc>
        <w:tc>
          <w:tcPr>
            <w:tcW w:type="dxa" w:w="2340"/>
            <w:shd w:val="clear" w:color="auto" w:fill="0D21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304" w:type="dxa"/>
          </w:tcPr>
          <w:p>
            <w:pPr>
              <w:spacing w:before="0" w:after="0"/>
              <w:jc w:val="left"/>
            </w:pPr>
            <w:r>
              <w:rPr>
                <w:rFonts w:ascii="Arial" w:hAnsi="Arial"/>
                <w:b/>
                <w:color w:val="FFFFFF"/>
                <w:sz w:val="19"/>
              </w:rPr>
              <w:t>Approx. Median HHI</w:t>
            </w:r>
          </w:p>
        </w:tc>
        <w:tc>
          <w:tcPr>
            <w:tcW w:type="dxa" w:w="2340"/>
            <w:shd w:val="clear" w:color="auto" w:fill="0D21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015" w:type="dxa"/>
          </w:tcPr>
          <w:p>
            <w:pPr>
              <w:spacing w:before="0" w:after="0"/>
              <w:jc w:val="left"/>
            </w:pPr>
            <w:r>
              <w:rPr>
                <w:rFonts w:ascii="Arial" w:hAnsi="Arial"/>
                <w:b/>
                <w:color w:val="FFFFFF"/>
                <w:sz w:val="19"/>
              </w:rPr>
              <w:t>Drive to Workhouse</w:t>
            </w:r>
          </w:p>
        </w:tc>
      </w:tr>
      <w:tr>
        <w:tc>
          <w:tcPr>
            <w:tcW w:type="dxa" w:w="2340"/>
            <w:shd w:val="clear" w:color="auto" w:fill="EBF4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3168" w:type="dxa"/>
          </w:tcPr>
          <w:p>
            <w:pPr>
              <w:spacing w:before="0" w:after="0"/>
              <w:jc w:val="left"/>
            </w:pPr>
            <w:r>
              <w:rPr>
                <w:rFonts w:ascii="Arial" w:hAnsi="Arial"/>
                <w:b/>
                <w:color w:val="0D2137"/>
                <w:sz w:val="19"/>
              </w:rPr>
              <w:t>Lorton / Fairfax Station</w:t>
            </w:r>
          </w:p>
        </w:tc>
        <w:tc>
          <w:tcPr>
            <w:tcW w:type="dxa" w:w="2340"/>
            <w:shd w:val="clear" w:color="auto" w:fill="EBF4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872" w:type="dxa"/>
          </w:tcPr>
          <w:p>
            <w:pPr>
              <w:spacing w:before="0" w:after="0"/>
              <w:jc w:val="left"/>
            </w:pPr>
            <w:r>
              <w:rPr>
                <w:rFonts w:ascii="Arial" w:hAnsi="Arial"/>
                <w:b w:val="0"/>
                <w:color w:val="333333"/>
                <w:sz w:val="19"/>
              </w:rPr>
              <w:t>~55,000</w:t>
            </w:r>
          </w:p>
        </w:tc>
        <w:tc>
          <w:tcPr>
            <w:tcW w:type="dxa" w:w="2340"/>
            <w:shd w:val="clear" w:color="auto" w:fill="EBF4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304" w:type="dxa"/>
          </w:tcPr>
          <w:p>
            <w:pPr>
              <w:spacing w:before="0" w:after="0"/>
              <w:jc w:val="left"/>
            </w:pPr>
            <w:r>
              <w:rPr>
                <w:rFonts w:ascii="Arial" w:hAnsi="Arial"/>
                <w:b w:val="0"/>
                <w:color w:val="333333"/>
                <w:sz w:val="19"/>
              </w:rPr>
              <w:t>$120K–$150K*</w:t>
            </w:r>
          </w:p>
        </w:tc>
        <w:tc>
          <w:tcPr>
            <w:tcW w:type="dxa" w:w="2340"/>
            <w:shd w:val="clear" w:color="auto" w:fill="EBF4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015" w:type="dxa"/>
          </w:tcPr>
          <w:p>
            <w:pPr>
              <w:spacing w:before="0" w:after="0"/>
              <w:jc w:val="left"/>
            </w:pPr>
            <w:r>
              <w:rPr>
                <w:rFonts w:ascii="Arial" w:hAnsi="Arial"/>
                <w:b w:val="0"/>
                <w:color w:val="333333"/>
                <w:sz w:val="19"/>
              </w:rPr>
              <w:t>0–8 min</w:t>
            </w:r>
          </w:p>
        </w:tc>
      </w:tr>
      <w:tr>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3168" w:type="dxa"/>
          </w:tcPr>
          <w:p>
            <w:pPr>
              <w:spacing w:before="0" w:after="0"/>
              <w:jc w:val="left"/>
            </w:pPr>
            <w:r>
              <w:rPr>
                <w:rFonts w:ascii="Arial" w:hAnsi="Arial"/>
                <w:b/>
                <w:color w:val="0D2137"/>
                <w:sz w:val="19"/>
              </w:rPr>
              <w:t>Springfield</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872" w:type="dxa"/>
          </w:tcPr>
          <w:p>
            <w:pPr>
              <w:spacing w:before="0" w:after="0"/>
              <w:jc w:val="left"/>
            </w:pPr>
            <w:r>
              <w:rPr>
                <w:rFonts w:ascii="Arial" w:hAnsi="Arial"/>
                <w:b w:val="0"/>
                <w:color w:val="333333"/>
                <w:sz w:val="19"/>
              </w:rPr>
              <w:t>~35,000</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304" w:type="dxa"/>
          </w:tcPr>
          <w:p>
            <w:pPr>
              <w:spacing w:before="0" w:after="0"/>
              <w:jc w:val="left"/>
            </w:pPr>
            <w:r>
              <w:rPr>
                <w:rFonts w:ascii="Arial" w:hAnsi="Arial"/>
                <w:b w:val="0"/>
                <w:color w:val="333333"/>
                <w:sz w:val="19"/>
              </w:rPr>
              <w:t>$95K–$115K*</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015" w:type="dxa"/>
          </w:tcPr>
          <w:p>
            <w:pPr>
              <w:spacing w:before="0" w:after="0"/>
              <w:jc w:val="left"/>
            </w:pPr>
            <w:r>
              <w:rPr>
                <w:rFonts w:ascii="Arial" w:hAnsi="Arial"/>
                <w:b w:val="0"/>
                <w:color w:val="333333"/>
                <w:sz w:val="19"/>
              </w:rPr>
              <w:t>10–15 min</w:t>
            </w:r>
          </w:p>
        </w:tc>
      </w:tr>
      <w:tr>
        <w:tc>
          <w:tcPr>
            <w:tcW w:type="dxa" w:w="2340"/>
            <w:shd w:val="clear" w:color="auto" w:fill="EBF4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3168" w:type="dxa"/>
          </w:tcPr>
          <w:p>
            <w:pPr>
              <w:spacing w:before="0" w:after="0"/>
              <w:jc w:val="left"/>
            </w:pPr>
            <w:r>
              <w:rPr>
                <w:rFonts w:ascii="Arial" w:hAnsi="Arial"/>
                <w:b/>
                <w:color w:val="0D2137"/>
                <w:sz w:val="19"/>
              </w:rPr>
              <w:t>Woodbridge</w:t>
            </w:r>
          </w:p>
        </w:tc>
        <w:tc>
          <w:tcPr>
            <w:tcW w:type="dxa" w:w="2340"/>
            <w:shd w:val="clear" w:color="auto" w:fill="EBF4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872" w:type="dxa"/>
          </w:tcPr>
          <w:p>
            <w:pPr>
              <w:spacing w:before="0" w:after="0"/>
              <w:jc w:val="left"/>
            </w:pPr>
            <w:r>
              <w:rPr>
                <w:rFonts w:ascii="Arial" w:hAnsi="Arial"/>
                <w:b w:val="0"/>
                <w:color w:val="333333"/>
                <w:sz w:val="19"/>
              </w:rPr>
              <w:t>~75,000</w:t>
            </w:r>
          </w:p>
        </w:tc>
        <w:tc>
          <w:tcPr>
            <w:tcW w:type="dxa" w:w="2340"/>
            <w:shd w:val="clear" w:color="auto" w:fill="EBF4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304" w:type="dxa"/>
          </w:tcPr>
          <w:p>
            <w:pPr>
              <w:spacing w:before="0" w:after="0"/>
              <w:jc w:val="left"/>
            </w:pPr>
            <w:r>
              <w:rPr>
                <w:rFonts w:ascii="Arial" w:hAnsi="Arial"/>
                <w:b w:val="0"/>
                <w:color w:val="333333"/>
                <w:sz w:val="19"/>
              </w:rPr>
              <w:t>$85K–$100K*</w:t>
            </w:r>
          </w:p>
        </w:tc>
        <w:tc>
          <w:tcPr>
            <w:tcW w:type="dxa" w:w="2340"/>
            <w:shd w:val="clear" w:color="auto" w:fill="EBF4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015" w:type="dxa"/>
          </w:tcPr>
          <w:p>
            <w:pPr>
              <w:spacing w:before="0" w:after="0"/>
              <w:jc w:val="left"/>
            </w:pPr>
            <w:r>
              <w:rPr>
                <w:rFonts w:ascii="Arial" w:hAnsi="Arial"/>
                <w:b w:val="0"/>
                <w:color w:val="333333"/>
                <w:sz w:val="19"/>
              </w:rPr>
              <w:t>15–20 min</w:t>
            </w:r>
          </w:p>
        </w:tc>
      </w:tr>
      <w:tr>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3168" w:type="dxa"/>
          </w:tcPr>
          <w:p>
            <w:pPr>
              <w:spacing w:before="0" w:after="0"/>
              <w:jc w:val="left"/>
            </w:pPr>
            <w:r>
              <w:rPr>
                <w:rFonts w:ascii="Arial" w:hAnsi="Arial"/>
                <w:b/>
                <w:color w:val="0D2137"/>
                <w:sz w:val="19"/>
              </w:rPr>
              <w:t>Dale City</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872" w:type="dxa"/>
          </w:tcPr>
          <w:p>
            <w:pPr>
              <w:spacing w:before="0" w:after="0"/>
              <w:jc w:val="left"/>
            </w:pPr>
            <w:r>
              <w:rPr>
                <w:rFonts w:ascii="Arial" w:hAnsi="Arial"/>
                <w:b w:val="0"/>
                <w:color w:val="333333"/>
                <w:sz w:val="19"/>
              </w:rPr>
              <w:t>~75,000</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304" w:type="dxa"/>
          </w:tcPr>
          <w:p>
            <w:pPr>
              <w:spacing w:before="0" w:after="0"/>
              <w:jc w:val="left"/>
            </w:pPr>
            <w:r>
              <w:rPr>
                <w:rFonts w:ascii="Arial" w:hAnsi="Arial"/>
                <w:b w:val="0"/>
                <w:color w:val="333333"/>
                <w:sz w:val="19"/>
              </w:rPr>
              <w:t>$80K–$100K*</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015" w:type="dxa"/>
          </w:tcPr>
          <w:p>
            <w:pPr>
              <w:spacing w:before="0" w:after="0"/>
              <w:jc w:val="left"/>
            </w:pPr>
            <w:r>
              <w:rPr>
                <w:rFonts w:ascii="Arial" w:hAnsi="Arial"/>
                <w:b w:val="0"/>
                <w:color w:val="333333"/>
                <w:sz w:val="19"/>
              </w:rPr>
              <w:t>15–20 min</w:t>
            </w:r>
          </w:p>
        </w:tc>
      </w:tr>
      <w:tr>
        <w:tc>
          <w:tcPr>
            <w:tcW w:type="dxa" w:w="2340"/>
            <w:shd w:val="clear" w:color="auto" w:fill="EBF4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3168" w:type="dxa"/>
          </w:tcPr>
          <w:p>
            <w:pPr>
              <w:spacing w:before="0" w:after="0"/>
              <w:jc w:val="left"/>
            </w:pPr>
            <w:r>
              <w:rPr>
                <w:rFonts w:ascii="Arial" w:hAnsi="Arial"/>
                <w:b/>
                <w:color w:val="0D2137"/>
                <w:sz w:val="19"/>
              </w:rPr>
              <w:t>Fort Belvoir CDP (on-base)</w:t>
            </w:r>
          </w:p>
        </w:tc>
        <w:tc>
          <w:tcPr>
            <w:tcW w:type="dxa" w:w="2340"/>
            <w:shd w:val="clear" w:color="auto" w:fill="EBF4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872" w:type="dxa"/>
          </w:tcPr>
          <w:p>
            <w:pPr>
              <w:spacing w:before="0" w:after="0"/>
              <w:jc w:val="left"/>
            </w:pPr>
            <w:r>
              <w:rPr>
                <w:rFonts w:ascii="Arial" w:hAnsi="Arial"/>
                <w:b w:val="0"/>
                <w:color w:val="333333"/>
                <w:sz w:val="19"/>
              </w:rPr>
              <w:t>7,637</w:t>
            </w:r>
          </w:p>
        </w:tc>
        <w:tc>
          <w:tcPr>
            <w:tcW w:type="dxa" w:w="2340"/>
            <w:shd w:val="clear" w:color="auto" w:fill="EBF4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304" w:type="dxa"/>
          </w:tcPr>
          <w:p>
            <w:pPr>
              <w:spacing w:before="0" w:after="0"/>
              <w:jc w:val="left"/>
            </w:pPr>
            <w:r>
              <w:rPr>
                <w:rFonts w:ascii="Arial" w:hAnsi="Arial"/>
                <w:b w:val="0"/>
                <w:color w:val="333333"/>
                <w:sz w:val="19"/>
              </w:rPr>
              <w:t>$97,290 (Census)</w:t>
            </w:r>
          </w:p>
        </w:tc>
        <w:tc>
          <w:tcPr>
            <w:tcW w:type="dxa" w:w="2340"/>
            <w:shd w:val="clear" w:color="auto" w:fill="EBF4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015" w:type="dxa"/>
          </w:tcPr>
          <w:p>
            <w:pPr>
              <w:spacing w:before="0" w:after="0"/>
              <w:jc w:val="left"/>
            </w:pPr>
            <w:r>
              <w:rPr>
                <w:rFonts w:ascii="Arial" w:hAnsi="Arial"/>
                <w:b w:val="0"/>
                <w:color w:val="333333"/>
                <w:sz w:val="19"/>
              </w:rPr>
              <w:t>5–8 min</w:t>
            </w:r>
          </w:p>
        </w:tc>
      </w:tr>
      <w:tr>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3168" w:type="dxa"/>
          </w:tcPr>
          <w:p>
            <w:pPr>
              <w:spacing w:before="0" w:after="0"/>
              <w:jc w:val="left"/>
            </w:pPr>
            <w:r>
              <w:rPr>
                <w:rFonts w:ascii="Arial" w:hAnsi="Arial"/>
                <w:b/>
                <w:color w:val="0D2137"/>
                <w:sz w:val="19"/>
              </w:rPr>
              <w:t>Newington / Kingstowne</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872" w:type="dxa"/>
          </w:tcPr>
          <w:p>
            <w:pPr>
              <w:spacing w:before="0" w:after="0"/>
              <w:jc w:val="left"/>
            </w:pPr>
            <w:r>
              <w:rPr>
                <w:rFonts w:ascii="Arial" w:hAnsi="Arial"/>
                <w:b w:val="0"/>
                <w:color w:val="333333"/>
                <w:sz w:val="19"/>
              </w:rPr>
              <w:t>~40,000</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304" w:type="dxa"/>
          </w:tcPr>
          <w:p>
            <w:pPr>
              <w:spacing w:before="0" w:after="0"/>
              <w:jc w:val="left"/>
            </w:pPr>
            <w:r>
              <w:rPr>
                <w:rFonts w:ascii="Arial" w:hAnsi="Arial"/>
                <w:b w:val="0"/>
                <w:color w:val="333333"/>
                <w:sz w:val="19"/>
              </w:rPr>
              <w:t>$110K–$130K*</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015" w:type="dxa"/>
          </w:tcPr>
          <w:p>
            <w:pPr>
              <w:spacing w:before="0" w:after="0"/>
              <w:jc w:val="left"/>
            </w:pPr>
            <w:r>
              <w:rPr>
                <w:rFonts w:ascii="Arial" w:hAnsi="Arial"/>
                <w:b w:val="0"/>
                <w:color w:val="333333"/>
                <w:sz w:val="19"/>
              </w:rPr>
              <w:t>10–15 min</w:t>
            </w:r>
          </w:p>
        </w:tc>
      </w:tr>
    </w:tbl>
    <w:p>
      <w:pPr>
        <w:spacing w:before="20" w:after="60"/>
        <w:ind w:left="432"/>
      </w:pPr>
      <w:r>
        <w:rPr>
          <w:rFonts w:ascii="Arial" w:hAnsi="Arial"/>
          <w:i/>
          <w:color w:val="8B6914"/>
          <w:sz w:val="17"/>
        </w:rPr>
        <w:t>⚠  * HHI estimates from ACS 2022 5-year estimates; verify exact figures via Census data for target census tracts</w:t>
      </w:r>
    </w:p>
    <w:p>
      <w:pPr>
        <w:spacing w:before="0" w:after="120"/>
      </w:pPr>
    </w:p>
    <w:p>
      <w:pPr>
        <w:spacing w:before="40" w:after="80"/>
      </w:pPr>
      <w:r>
        <w:rPr>
          <w:rFonts w:ascii="Arial" w:hAnsi="Arial"/>
          <w:i w:val="0"/>
          <w:color w:val="333333"/>
          <w:sz w:val="21"/>
        </w:rPr>
        <w:t>The combined addressable population within a 15-mile radius exceeds 300,000 residents. At the national golf participation rate of ~9-11% for adults, this suggests a potential golfer population of 25,000–35,000 within the primary trade area — more than sufficient to sustain a 2-bay operation and scale to 4 bays.</w:t>
      </w:r>
    </w:p>
    <w:p>
      <w:pPr>
        <w:spacing w:before="240" w:after="120"/>
      </w:pPr>
      <w:r>
        <w:rPr>
          <w:rFonts w:ascii="Arial" w:hAnsi="Arial"/>
          <w:b/>
          <w:color w:val="2A6041"/>
          <w:sz w:val="26"/>
        </w:rPr>
        <w:t>1.2 Fairfax County: One of the Wealthiest Counties in America</w:t>
      </w:r>
    </w:p>
    <w:p>
      <w:pPr>
        <w:spacing w:before="40" w:after="80"/>
      </w:pPr>
      <w:r>
        <w:rPr>
          <w:rFonts w:ascii="Arial" w:hAnsi="Arial"/>
          <w:i w:val="0"/>
          <w:color w:val="333333"/>
          <w:sz w:val="21"/>
        </w:rPr>
        <w:t>Fairfax County consistently ranks among the top 3-5 wealthiest counties in the United States by median household income. Key ACS-derived indicators:</w:t>
      </w:r>
    </w:p>
    <w:p>
      <w:pPr>
        <w:pStyle w:val="ListBullet"/>
        <w:spacing w:before="20" w:after="40"/>
      </w:pPr>
      <w:r>
        <w:rPr>
          <w:rFonts w:ascii="Arial" w:hAnsi="Arial"/>
          <w:b w:val="0"/>
          <w:color w:val="333333"/>
          <w:sz w:val="20"/>
        </w:rPr>
        <w:t>Median household income: approximately $130,000–$140,000 annually — one of the highest of any county in the US*</w:t>
      </w:r>
    </w:p>
    <w:p>
      <w:pPr>
        <w:pStyle w:val="ListBullet"/>
        <w:spacing w:before="20" w:after="40"/>
      </w:pPr>
      <w:r>
        <w:rPr>
          <w:rFonts w:ascii="Arial" w:hAnsi="Arial"/>
          <w:b w:val="0"/>
          <w:color w:val="333333"/>
          <w:sz w:val="20"/>
        </w:rPr>
        <w:t>Educational attainment: 60%+ of adults hold a bachelor's degree or higher*</w:t>
      </w:r>
    </w:p>
    <w:p>
      <w:pPr>
        <w:pStyle w:val="ListBullet"/>
        <w:spacing w:before="20" w:after="40"/>
      </w:pPr>
      <w:r>
        <w:rPr>
          <w:rFonts w:ascii="Arial" w:hAnsi="Arial"/>
          <w:b w:val="0"/>
          <w:color w:val="333333"/>
          <w:sz w:val="20"/>
        </w:rPr>
        <w:t>Employment base: federal government, defense contracting, technology (Amazon HQ2, Microsoft, Booz Allen, Leidos, SAIC), and professional services</w:t>
      </w:r>
    </w:p>
    <w:p>
      <w:pPr>
        <w:pStyle w:val="ListBullet"/>
        <w:spacing w:before="20" w:after="40"/>
      </w:pPr>
      <w:r>
        <w:rPr>
          <w:rFonts w:ascii="Arial" w:hAnsi="Arial"/>
          <w:b w:val="0"/>
          <w:color w:val="333333"/>
          <w:sz w:val="20"/>
        </w:rPr>
        <w:t>Population: 1.15 million+, the most populous jurisdiction in Virginia*</w:t>
      </w:r>
    </w:p>
    <w:p>
      <w:pPr>
        <w:spacing w:before="20" w:after="60"/>
        <w:ind w:left="432"/>
      </w:pPr>
      <w:r>
        <w:rPr>
          <w:rFonts w:ascii="Arial" w:hAnsi="Arial"/>
          <w:i/>
          <w:color w:val="8B6914"/>
          <w:sz w:val="17"/>
        </w:rPr>
        <w:t>⚠  * Verify with current ACS 5-year estimates; figures reflect knowledge as of mid-2026</w:t>
      </w:r>
    </w:p>
    <w:p>
      <w:pPr>
        <w:spacing w:before="0" w:after="80"/>
      </w:pPr>
    </w:p>
    <w:p>
      <w:pPr>
        <w:spacing w:before="40" w:after="80"/>
      </w:pPr>
      <w:r>
        <w:rPr>
          <w:rFonts w:ascii="Arial" w:hAnsi="Arial"/>
          <w:i w:val="0"/>
          <w:color w:val="333333"/>
          <w:sz w:val="21"/>
        </w:rPr>
        <w:t>This profile directly aligns with golf's core consumer: educated, professional, household income $75K+, ages 30–55. Fairfax County overrepresents this segment relative to national averages.</w:t>
      </w:r>
    </w:p>
    <w:p>
      <w:pPr>
        <w:spacing w:before="240" w:after="120"/>
      </w:pPr>
      <w:r>
        <w:rPr>
          <w:rFonts w:ascii="Arial" w:hAnsi="Arial"/>
          <w:b/>
          <w:color w:val="2A6041"/>
          <w:sz w:val="26"/>
        </w:rPr>
        <w:t>1.3 Lorton / Fairfax Station Micro-Market</w:t>
      </w:r>
    </w:p>
    <w:p>
      <w:pPr>
        <w:spacing w:before="40" w:after="80"/>
      </w:pPr>
      <w:r>
        <w:rPr>
          <w:rFonts w:ascii="Arial" w:hAnsi="Arial"/>
          <w:i w:val="0"/>
          <w:color w:val="333333"/>
          <w:sz w:val="21"/>
        </w:rPr>
        <w:t>The immediate vicinity of Workhouse Arts Center has characteristics that particularly favor a premium entertainment concept:</w:t>
      </w:r>
    </w:p>
    <w:p>
      <w:pPr>
        <w:pStyle w:val="ListBullet"/>
        <w:spacing w:before="20" w:after="40"/>
      </w:pPr>
      <w:r>
        <w:rPr>
          <w:rFonts w:ascii="Arial" w:hAnsi="Arial"/>
          <w:b w:val="0"/>
          <w:color w:val="333333"/>
          <w:sz w:val="20"/>
        </w:rPr>
        <w:t>Workhouse Arts Center provides an existing visitor base, historic arts district credibility, and unique campus atmosphere</w:t>
      </w:r>
    </w:p>
    <w:p>
      <w:pPr>
        <w:pStyle w:val="ListBullet"/>
        <w:spacing w:before="20" w:after="40"/>
      </w:pPr>
      <w:r>
        <w:rPr>
          <w:rFonts w:ascii="Arial" w:hAnsi="Arial"/>
          <w:b w:val="0"/>
          <w:color w:val="333333"/>
          <w:sz w:val="20"/>
        </w:rPr>
        <w:t>Bunny Man Brewing is co-located on campus — natural food-and-beverage ecosystem, shared foot traffic</w:t>
      </w:r>
    </w:p>
    <w:p>
      <w:pPr>
        <w:pStyle w:val="ListBullet"/>
        <w:spacing w:before="20" w:after="40"/>
      </w:pPr>
      <w:r>
        <w:rPr>
          <w:rFonts w:ascii="Arial" w:hAnsi="Arial"/>
          <w:b w:val="0"/>
          <w:color w:val="333333"/>
          <w:sz w:val="20"/>
        </w:rPr>
        <w:t>Adjacent to Laurel Hill Golf Club, placing Fairway at the heart of existing outdoor golf demand</w:t>
      </w:r>
    </w:p>
    <w:p>
      <w:pPr>
        <w:pStyle w:val="ListBullet"/>
        <w:spacing w:before="20" w:after="40"/>
      </w:pPr>
      <w:r>
        <w:rPr>
          <w:rFonts w:ascii="Arial" w:hAnsi="Arial"/>
          <w:b w:val="0"/>
          <w:color w:val="333333"/>
          <w:sz w:val="20"/>
        </w:rPr>
        <w:t>I-95/Fairfax County Parkway interchange nearby — accessible from Fairfax County commuters and Prince William County residents</w:t>
      </w:r>
    </w:p>
    <w:p>
      <w:pPr>
        <w:pStyle w:val="ListBullet"/>
        <w:spacing w:before="20" w:after="40"/>
      </w:pPr>
      <w:r>
        <w:rPr>
          <w:rFonts w:ascii="Arial" w:hAnsi="Arial"/>
          <w:b w:val="0"/>
          <w:color w:val="333333"/>
          <w:sz w:val="20"/>
        </w:rPr>
        <w:t>No comparable premium entertainment venue exists in this specific corridor today</w:t>
      </w:r>
    </w:p>
    <w:p>
      <w:r>
        <w:br w:type="page"/>
      </w:r>
    </w:p>
    <w:p>
      <w:pPr>
        <w:spacing w:before="360" w:after="120"/>
        <w:pBdr>
          <w:bottom w:val="single" w:sz="8" w:space="4" w:color="2A6041"/>
        </w:pBdr>
      </w:pPr>
      <w:r>
        <w:rPr>
          <w:rFonts w:ascii="Arial" w:hAnsi="Arial"/>
          <w:b/>
          <w:color w:val="0D2137"/>
          <w:sz w:val="32"/>
        </w:rPr>
        <w:t>Section 2: Competitive Landscape</w:t>
      </w:r>
    </w:p>
    <w:p>
      <w:pPr>
        <w:spacing w:before="240" w:after="120"/>
      </w:pPr>
      <w:r>
        <w:rPr>
          <w:rFonts w:ascii="Arial" w:hAnsi="Arial"/>
          <w:b/>
          <w:color w:val="2A6041"/>
          <w:sz w:val="26"/>
        </w:rPr>
        <w:t>2.1 The Geographic Supply Gap</w:t>
      </w:r>
    </w:p>
    <w:tbl>
      <w:tblPr>
        <w:tblW w:type="auto" w:w="0"/>
        <w:jc w:val="center"/>
        <w:tblLook w:firstColumn="1" w:firstRow="1" w:lastColumn="0" w:lastRow="0" w:noHBand="0" w:noVBand="1" w:val="04A0"/>
      </w:tblPr>
      <w:tblGrid>
        <w:gridCol w:w="9360"/>
      </w:tblGrid>
      <w:tr>
        <w:tc>
          <w:tcPr>
            <w:tcW w:type="dxa" w:w="9360"/>
            <w:shd w:val="clear" w:color="auto" w:fill="FDF6E8"/>
            <w:tcBorders>
              <w:top w:val="single" w:sz="4" w:space="0" w:color="C9963B"/>
              <w:left w:val="single" w:sz="4" w:space="0" w:color="C9963B"/>
              <w:bottom w:val="single" w:sz="4" w:space="0" w:color="C9963B"/>
              <w:right w:val="single" w:sz="4" w:space="0" w:color="C9963B"/>
            </w:tcBorders>
            <w:tcMar>
              <w:top w:w="120" w:type="dxa"/>
              <w:bottom w:w="120" w:type="dxa"/>
              <w:left w:w="160" w:type="dxa"/>
              <w:right w:w="160" w:type="dxa"/>
            </w:tcMar>
          </w:tcPr>
          <w:p>
            <w:pPr>
              <w:spacing w:before="0" w:after="120"/>
            </w:pPr>
            <w:r>
              <w:rPr>
                <w:rFonts w:ascii="Arial" w:hAnsi="Arial"/>
                <w:b/>
                <w:color w:val="0D2137"/>
                <w:sz w:val="24"/>
              </w:rPr>
              <w:t>Critical Observation:</w:t>
            </w:r>
          </w:p>
          <w:p>
            <w:pPr>
              <w:spacing w:before="0" w:after="0"/>
            </w:pPr>
            <w:r>
              <w:rPr>
                <w:rFonts w:ascii="Arial" w:hAnsi="Arial"/>
                <w:color w:val="333333"/>
                <w:sz w:val="21"/>
              </w:rPr>
              <w:t>Analysis of Google Maps search results for 'golf simulator' in the Lorton area confirms: all indoor golf simulator facilities in Northern Virginia are concentrated 10+ miles north of Workhouse, clustered toward the DC urban core and inner suburban ring. The area south of Workhouse — including Woodbridge, Dale City, Manassas, and the Route 1 / I-95 corridor into Prince William County — contains ZERO indoor golf simulators.</w:t>
            </w:r>
          </w:p>
        </w:tc>
      </w:tr>
    </w:tbl>
    <w:p>
      <w:pPr>
        <w:spacing w:before="0" w:after="200"/>
      </w:pPr>
    </w:p>
    <w:tbl>
      <w:tblPr>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0D21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015" w:type="dxa"/>
          </w:tcPr>
          <w:p>
            <w:pPr>
              <w:spacing w:before="0" w:after="0"/>
              <w:jc w:val="left"/>
            </w:pPr>
            <w:r>
              <w:rPr>
                <w:rFonts w:ascii="Arial" w:hAnsi="Arial"/>
                <w:b/>
                <w:color w:val="FFFFFF"/>
                <w:sz w:val="18"/>
              </w:rPr>
              <w:t>Facility</w:t>
            </w:r>
          </w:p>
        </w:tc>
        <w:tc>
          <w:tcPr>
            <w:tcW w:type="dxa" w:w="1872"/>
            <w:shd w:val="clear" w:color="auto" w:fill="0D21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584" w:type="dxa"/>
          </w:tcPr>
          <w:p>
            <w:pPr>
              <w:spacing w:before="0" w:after="0"/>
              <w:jc w:val="left"/>
            </w:pPr>
            <w:r>
              <w:rPr>
                <w:rFonts w:ascii="Arial" w:hAnsi="Arial"/>
                <w:b/>
                <w:color w:val="FFFFFF"/>
                <w:sz w:val="18"/>
              </w:rPr>
              <w:t>Location</w:t>
            </w:r>
          </w:p>
        </w:tc>
        <w:tc>
          <w:tcPr>
            <w:tcW w:type="dxa" w:w="1872"/>
            <w:shd w:val="clear" w:color="auto" w:fill="0D21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584" w:type="dxa"/>
          </w:tcPr>
          <w:p>
            <w:pPr>
              <w:spacing w:before="0" w:after="0"/>
              <w:jc w:val="left"/>
            </w:pPr>
            <w:r>
              <w:rPr>
                <w:rFonts w:ascii="Arial" w:hAnsi="Arial"/>
                <w:b/>
                <w:color w:val="FFFFFF"/>
                <w:sz w:val="18"/>
              </w:rPr>
              <w:t>Drive from Lorton*</w:t>
            </w:r>
          </w:p>
        </w:tc>
        <w:tc>
          <w:tcPr>
            <w:tcW w:type="dxa" w:w="1872"/>
            <w:shd w:val="clear" w:color="auto" w:fill="0D21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3168" w:type="dxa"/>
          </w:tcPr>
          <w:p>
            <w:pPr>
              <w:spacing w:before="0" w:after="0"/>
              <w:jc w:val="left"/>
            </w:pPr>
            <w:r>
              <w:rPr>
                <w:rFonts w:ascii="Arial" w:hAnsi="Arial"/>
                <w:b/>
                <w:color w:val="FFFFFF"/>
                <w:sz w:val="18"/>
              </w:rPr>
              <w:t>Offering</w:t>
            </w:r>
          </w:p>
        </w:tc>
        <w:tc>
          <w:tcPr>
            <w:tcW w:type="dxa" w:w="1872"/>
            <w:shd w:val="clear" w:color="auto" w:fill="0D21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872" w:type="dxa"/>
          </w:tcPr>
          <w:p>
            <w:pPr>
              <w:spacing w:before="0" w:after="0"/>
              <w:jc w:val="left"/>
            </w:pPr>
            <w:r>
              <w:rPr>
                <w:rFonts w:ascii="Arial" w:hAnsi="Arial"/>
                <w:b/>
                <w:color w:val="FFFFFF"/>
                <w:sz w:val="18"/>
              </w:rPr>
              <w:t>Est. Pricing</w:t>
            </w:r>
          </w:p>
        </w:tc>
      </w:tr>
      <w:tr>
        <w:tc>
          <w:tcPr>
            <w:tcW w:type="dxa" w:w="1872"/>
            <w:shd w:val="clear" w:color="auto" w:fill="EBF4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015" w:type="dxa"/>
          </w:tcPr>
          <w:p>
            <w:pPr>
              <w:spacing w:before="0" w:after="0"/>
              <w:jc w:val="left"/>
            </w:pPr>
            <w:r>
              <w:rPr>
                <w:rFonts w:ascii="Arial" w:hAnsi="Arial"/>
                <w:b/>
                <w:color w:val="0D2137"/>
                <w:sz w:val="18"/>
              </w:rPr>
              <w:t>CAFDExGO Golf</w:t>
            </w:r>
          </w:p>
        </w:tc>
        <w:tc>
          <w:tcPr>
            <w:tcW w:type="dxa" w:w="1872"/>
            <w:shd w:val="clear" w:color="auto" w:fill="EBF4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584" w:type="dxa"/>
          </w:tcPr>
          <w:p>
            <w:pPr>
              <w:spacing w:before="0" w:after="0"/>
              <w:jc w:val="left"/>
            </w:pPr>
            <w:r>
              <w:rPr>
                <w:rFonts w:ascii="Arial" w:hAnsi="Arial"/>
                <w:b w:val="0"/>
                <w:color w:val="333333"/>
                <w:sz w:val="18"/>
              </w:rPr>
              <w:t>Springfield, VA</w:t>
            </w:r>
          </w:p>
        </w:tc>
        <w:tc>
          <w:tcPr>
            <w:tcW w:type="dxa" w:w="1872"/>
            <w:shd w:val="clear" w:color="auto" w:fill="EBF4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584" w:type="dxa"/>
          </w:tcPr>
          <w:p>
            <w:pPr>
              <w:spacing w:before="0" w:after="0"/>
              <w:jc w:val="left"/>
            </w:pPr>
            <w:r>
              <w:rPr>
                <w:rFonts w:ascii="Arial" w:hAnsi="Arial"/>
                <w:b w:val="0"/>
                <w:color w:val="333333"/>
                <w:sz w:val="18"/>
              </w:rPr>
              <w:t>~10–15 min</w:t>
            </w:r>
          </w:p>
        </w:tc>
        <w:tc>
          <w:tcPr>
            <w:tcW w:type="dxa" w:w="1872"/>
            <w:shd w:val="clear" w:color="auto" w:fill="EBF4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3168" w:type="dxa"/>
          </w:tcPr>
          <w:p>
            <w:pPr>
              <w:spacing w:before="0" w:after="0"/>
              <w:jc w:val="left"/>
            </w:pPr>
            <w:r>
              <w:rPr>
                <w:rFonts w:ascii="Arial" w:hAnsi="Arial"/>
                <w:b w:val="0"/>
                <w:color w:val="333333"/>
                <w:sz w:val="18"/>
              </w:rPr>
              <w:t>Full Swing simulators, rental bays, lessons</w:t>
            </w:r>
          </w:p>
        </w:tc>
        <w:tc>
          <w:tcPr>
            <w:tcW w:type="dxa" w:w="1872"/>
            <w:shd w:val="clear" w:color="auto" w:fill="EBF4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872" w:type="dxa"/>
          </w:tcPr>
          <w:p>
            <w:pPr>
              <w:spacing w:before="0" w:after="0"/>
              <w:jc w:val="left"/>
            </w:pPr>
            <w:r>
              <w:rPr>
                <w:rFonts w:ascii="Arial" w:hAnsi="Arial"/>
                <w:b w:val="0"/>
                <w:color w:val="333333"/>
                <w:sz w:val="18"/>
              </w:rPr>
              <w:t>~$45–60/hr**</w:t>
            </w:r>
          </w:p>
        </w:tc>
      </w:tr>
      <w:tr>
        <w:tc>
          <w:tcPr>
            <w:tcW w:type="dxa" w:w="1872"/>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015" w:type="dxa"/>
          </w:tcPr>
          <w:p>
            <w:pPr>
              <w:spacing w:before="0" w:after="0"/>
              <w:jc w:val="left"/>
            </w:pPr>
            <w:r>
              <w:rPr>
                <w:rFonts w:ascii="Arial" w:hAnsi="Arial"/>
                <w:b/>
                <w:color w:val="0D2137"/>
                <w:sz w:val="18"/>
              </w:rPr>
              <w:t>Uni Indoor Golf</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584" w:type="dxa"/>
          </w:tcPr>
          <w:p>
            <w:pPr>
              <w:spacing w:before="0" w:after="0"/>
              <w:jc w:val="left"/>
            </w:pPr>
            <w:r>
              <w:rPr>
                <w:rFonts w:ascii="Arial" w:hAnsi="Arial"/>
                <w:b w:val="0"/>
                <w:color w:val="333333"/>
                <w:sz w:val="18"/>
              </w:rPr>
              <w:t>Annandale, VA</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584" w:type="dxa"/>
          </w:tcPr>
          <w:p>
            <w:pPr>
              <w:spacing w:before="0" w:after="0"/>
              <w:jc w:val="left"/>
            </w:pPr>
            <w:r>
              <w:rPr>
                <w:rFonts w:ascii="Arial" w:hAnsi="Arial"/>
                <w:b w:val="0"/>
                <w:color w:val="333333"/>
                <w:sz w:val="18"/>
              </w:rPr>
              <w:t>~20–25 min</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3168" w:type="dxa"/>
          </w:tcPr>
          <w:p>
            <w:pPr>
              <w:spacing w:before="0" w:after="0"/>
              <w:jc w:val="left"/>
            </w:pPr>
            <w:r>
              <w:rPr>
                <w:rFonts w:ascii="Arial" w:hAnsi="Arial"/>
                <w:b w:val="0"/>
                <w:color w:val="333333"/>
                <w:sz w:val="18"/>
              </w:rPr>
              <w:t>Basic simulator rental, minimal amenities</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872" w:type="dxa"/>
          </w:tcPr>
          <w:p>
            <w:pPr>
              <w:spacing w:before="0" w:after="0"/>
              <w:jc w:val="left"/>
            </w:pPr>
            <w:r>
              <w:rPr>
                <w:rFonts w:ascii="Arial" w:hAnsi="Arial"/>
                <w:b w:val="0"/>
                <w:color w:val="333333"/>
                <w:sz w:val="18"/>
              </w:rPr>
              <w:t>~$30/hr (budget)†</w:t>
            </w:r>
          </w:p>
        </w:tc>
      </w:tr>
      <w:tr>
        <w:tc>
          <w:tcPr>
            <w:tcW w:type="dxa" w:w="1872"/>
            <w:shd w:val="clear" w:color="auto" w:fill="EBF4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015" w:type="dxa"/>
          </w:tcPr>
          <w:p>
            <w:pPr>
              <w:spacing w:before="0" w:after="0"/>
              <w:jc w:val="left"/>
            </w:pPr>
            <w:r>
              <w:rPr>
                <w:rFonts w:ascii="Arial" w:hAnsi="Arial"/>
                <w:b/>
                <w:color w:val="0D2137"/>
                <w:sz w:val="18"/>
              </w:rPr>
              <w:t>GOLFTEC Fairfax</w:t>
            </w:r>
          </w:p>
        </w:tc>
        <w:tc>
          <w:tcPr>
            <w:tcW w:type="dxa" w:w="1872"/>
            <w:shd w:val="clear" w:color="auto" w:fill="EBF4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584" w:type="dxa"/>
          </w:tcPr>
          <w:p>
            <w:pPr>
              <w:spacing w:before="0" w:after="0"/>
              <w:jc w:val="left"/>
            </w:pPr>
            <w:r>
              <w:rPr>
                <w:rFonts w:ascii="Arial" w:hAnsi="Arial"/>
                <w:b w:val="0"/>
                <w:color w:val="333333"/>
                <w:sz w:val="18"/>
              </w:rPr>
              <w:t>Fairfax, VA</w:t>
            </w:r>
          </w:p>
        </w:tc>
        <w:tc>
          <w:tcPr>
            <w:tcW w:type="dxa" w:w="1872"/>
            <w:shd w:val="clear" w:color="auto" w:fill="EBF4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584" w:type="dxa"/>
          </w:tcPr>
          <w:p>
            <w:pPr>
              <w:spacing w:before="0" w:after="0"/>
              <w:jc w:val="left"/>
            </w:pPr>
            <w:r>
              <w:rPr>
                <w:rFonts w:ascii="Arial" w:hAnsi="Arial"/>
                <w:b w:val="0"/>
                <w:color w:val="333333"/>
                <w:sz w:val="18"/>
              </w:rPr>
              <w:t>~20–25 min</w:t>
            </w:r>
          </w:p>
        </w:tc>
        <w:tc>
          <w:tcPr>
            <w:tcW w:type="dxa" w:w="1872"/>
            <w:shd w:val="clear" w:color="auto" w:fill="EBF4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3168" w:type="dxa"/>
          </w:tcPr>
          <w:p>
            <w:pPr>
              <w:spacing w:before="0" w:after="0"/>
              <w:jc w:val="left"/>
            </w:pPr>
            <w:r>
              <w:rPr>
                <w:rFonts w:ascii="Arial" w:hAnsi="Arial"/>
                <w:b w:val="0"/>
                <w:color w:val="333333"/>
                <w:sz w:val="18"/>
              </w:rPr>
              <w:t>Lesson-focused, TECFIT — not open sim rental</w:t>
            </w:r>
          </w:p>
        </w:tc>
        <w:tc>
          <w:tcPr>
            <w:tcW w:type="dxa" w:w="1872"/>
            <w:shd w:val="clear" w:color="auto" w:fill="EBF4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872" w:type="dxa"/>
          </w:tcPr>
          <w:p>
            <w:pPr>
              <w:spacing w:before="0" w:after="0"/>
              <w:jc w:val="left"/>
            </w:pPr>
            <w:r>
              <w:rPr>
                <w:rFonts w:ascii="Arial" w:hAnsi="Arial"/>
                <w:b w:val="0"/>
                <w:color w:val="333333"/>
                <w:sz w:val="18"/>
              </w:rPr>
              <w:t>$100–150/hr (lessons)**</w:t>
            </w:r>
          </w:p>
        </w:tc>
      </w:tr>
      <w:tr>
        <w:tc>
          <w:tcPr>
            <w:tcW w:type="dxa" w:w="1872"/>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015" w:type="dxa"/>
          </w:tcPr>
          <w:p>
            <w:pPr>
              <w:spacing w:before="0" w:after="0"/>
              <w:jc w:val="left"/>
            </w:pPr>
            <w:r>
              <w:rPr>
                <w:rFonts w:ascii="Arial" w:hAnsi="Arial"/>
                <w:b/>
                <w:color w:val="0D2137"/>
                <w:sz w:val="18"/>
              </w:rPr>
              <w:t>GOLFTEC Alexandria</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584" w:type="dxa"/>
          </w:tcPr>
          <w:p>
            <w:pPr>
              <w:spacing w:before="0" w:after="0"/>
              <w:jc w:val="left"/>
            </w:pPr>
            <w:r>
              <w:rPr>
                <w:rFonts w:ascii="Arial" w:hAnsi="Arial"/>
                <w:b w:val="0"/>
                <w:color w:val="333333"/>
                <w:sz w:val="18"/>
              </w:rPr>
              <w:t>Alexandria, VA</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584" w:type="dxa"/>
          </w:tcPr>
          <w:p>
            <w:pPr>
              <w:spacing w:before="0" w:after="0"/>
              <w:jc w:val="left"/>
            </w:pPr>
            <w:r>
              <w:rPr>
                <w:rFonts w:ascii="Arial" w:hAnsi="Arial"/>
                <w:b w:val="0"/>
                <w:color w:val="333333"/>
                <w:sz w:val="18"/>
              </w:rPr>
              <w:t>~20–25 min</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3168" w:type="dxa"/>
          </w:tcPr>
          <w:p>
            <w:pPr>
              <w:spacing w:before="0" w:after="0"/>
              <w:jc w:val="left"/>
            </w:pPr>
            <w:r>
              <w:rPr>
                <w:rFonts w:ascii="Arial" w:hAnsi="Arial"/>
                <w:b w:val="0"/>
                <w:color w:val="333333"/>
                <w:sz w:val="18"/>
              </w:rPr>
              <w:t>Same GOLFTEC model — lessons and swing analysis</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872" w:type="dxa"/>
          </w:tcPr>
          <w:p>
            <w:pPr>
              <w:spacing w:before="0" w:after="0"/>
              <w:jc w:val="left"/>
            </w:pPr>
            <w:r>
              <w:rPr>
                <w:rFonts w:ascii="Arial" w:hAnsi="Arial"/>
                <w:b w:val="0"/>
                <w:color w:val="333333"/>
                <w:sz w:val="18"/>
              </w:rPr>
              <w:t>$100–150/hr (lessons)**</w:t>
            </w:r>
          </w:p>
        </w:tc>
      </w:tr>
      <w:tr>
        <w:tc>
          <w:tcPr>
            <w:tcW w:type="dxa" w:w="1872"/>
            <w:shd w:val="clear" w:color="auto" w:fill="EBF4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015" w:type="dxa"/>
          </w:tcPr>
          <w:p>
            <w:pPr>
              <w:spacing w:before="0" w:after="0"/>
              <w:jc w:val="left"/>
            </w:pPr>
            <w:r>
              <w:rPr>
                <w:rFonts w:ascii="Arial" w:hAnsi="Arial"/>
                <w:b/>
                <w:color w:val="0D2137"/>
                <w:sz w:val="18"/>
              </w:rPr>
              <w:t>Five Iron Golf</w:t>
            </w:r>
          </w:p>
        </w:tc>
        <w:tc>
          <w:tcPr>
            <w:tcW w:type="dxa" w:w="1872"/>
            <w:shd w:val="clear" w:color="auto" w:fill="EBF4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584" w:type="dxa"/>
          </w:tcPr>
          <w:p>
            <w:pPr>
              <w:spacing w:before="0" w:after="0"/>
              <w:jc w:val="left"/>
            </w:pPr>
            <w:r>
              <w:rPr>
                <w:rFonts w:ascii="Arial" w:hAnsi="Arial"/>
                <w:b w:val="0"/>
                <w:color w:val="333333"/>
                <w:sz w:val="18"/>
              </w:rPr>
              <w:t>Washington, DC</w:t>
            </w:r>
          </w:p>
        </w:tc>
        <w:tc>
          <w:tcPr>
            <w:tcW w:type="dxa" w:w="1872"/>
            <w:shd w:val="clear" w:color="auto" w:fill="EBF4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584" w:type="dxa"/>
          </w:tcPr>
          <w:p>
            <w:pPr>
              <w:spacing w:before="0" w:after="0"/>
              <w:jc w:val="left"/>
            </w:pPr>
            <w:r>
              <w:rPr>
                <w:rFonts w:ascii="Arial" w:hAnsi="Arial"/>
                <w:b w:val="0"/>
                <w:color w:val="333333"/>
                <w:sz w:val="18"/>
              </w:rPr>
              <w:t>~35–45 min</w:t>
            </w:r>
          </w:p>
        </w:tc>
        <w:tc>
          <w:tcPr>
            <w:tcW w:type="dxa" w:w="1872"/>
            <w:shd w:val="clear" w:color="auto" w:fill="EBF4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3168" w:type="dxa"/>
          </w:tcPr>
          <w:p>
            <w:pPr>
              <w:spacing w:before="0" w:after="0"/>
              <w:jc w:val="left"/>
            </w:pPr>
            <w:r>
              <w:rPr>
                <w:rFonts w:ascii="Arial" w:hAnsi="Arial"/>
                <w:b w:val="0"/>
                <w:color w:val="333333"/>
                <w:sz w:val="18"/>
              </w:rPr>
              <w:t>Premium urban: simulators, full bar, lounge, F&amp;B</w:t>
            </w:r>
          </w:p>
        </w:tc>
        <w:tc>
          <w:tcPr>
            <w:tcW w:type="dxa" w:w="1872"/>
            <w:shd w:val="clear" w:color="auto" w:fill="EBF4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872" w:type="dxa"/>
          </w:tcPr>
          <w:p>
            <w:pPr>
              <w:spacing w:before="0" w:after="0"/>
              <w:jc w:val="left"/>
            </w:pPr>
            <w:r>
              <w:rPr>
                <w:rFonts w:ascii="Arial" w:hAnsi="Arial"/>
                <w:b w:val="0"/>
                <w:color w:val="333333"/>
                <w:sz w:val="18"/>
              </w:rPr>
              <w:t>$50–85/hr (peak)**</w:t>
            </w:r>
          </w:p>
        </w:tc>
      </w:tr>
      <w:tr>
        <w:tc>
          <w:tcPr>
            <w:tcW w:type="dxa" w:w="1872"/>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015" w:type="dxa"/>
          </w:tcPr>
          <w:p>
            <w:pPr>
              <w:spacing w:before="0" w:after="0"/>
              <w:jc w:val="left"/>
            </w:pPr>
            <w:r>
              <w:rPr>
                <w:rFonts w:ascii="Arial" w:hAnsi="Arial"/>
                <w:b/>
                <w:color w:val="0D2137"/>
                <w:sz w:val="18"/>
              </w:rPr>
              <w:t>ParCiti Golf</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584" w:type="dxa"/>
          </w:tcPr>
          <w:p>
            <w:pPr>
              <w:spacing w:before="0" w:after="0"/>
              <w:jc w:val="left"/>
            </w:pPr>
            <w:r>
              <w:rPr>
                <w:rFonts w:ascii="Arial" w:hAnsi="Arial"/>
                <w:b w:val="0"/>
                <w:color w:val="333333"/>
                <w:sz w:val="18"/>
              </w:rPr>
              <w:t>Arlington, VA</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584" w:type="dxa"/>
          </w:tcPr>
          <w:p>
            <w:pPr>
              <w:spacing w:before="0" w:after="0"/>
              <w:jc w:val="left"/>
            </w:pPr>
            <w:r>
              <w:rPr>
                <w:rFonts w:ascii="Arial" w:hAnsi="Arial"/>
                <w:b w:val="0"/>
                <w:color w:val="333333"/>
                <w:sz w:val="18"/>
              </w:rPr>
              <w:t>~35–40 min</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3168" w:type="dxa"/>
          </w:tcPr>
          <w:p>
            <w:pPr>
              <w:spacing w:before="0" w:after="0"/>
              <w:jc w:val="left"/>
            </w:pPr>
            <w:r>
              <w:rPr>
                <w:rFonts w:ascii="Arial" w:hAnsi="Arial"/>
                <w:b w:val="0"/>
                <w:color w:val="333333"/>
                <w:sz w:val="18"/>
              </w:rPr>
              <w:t>Premium urban: rooftop simulators, cocktail bar</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872" w:type="dxa"/>
          </w:tcPr>
          <w:p>
            <w:pPr>
              <w:spacing w:before="0" w:after="0"/>
              <w:jc w:val="left"/>
            </w:pPr>
            <w:r>
              <w:rPr>
                <w:rFonts w:ascii="Arial" w:hAnsi="Arial"/>
                <w:b w:val="0"/>
                <w:color w:val="333333"/>
                <w:sz w:val="18"/>
              </w:rPr>
              <w:t>$65–90/hr (est.)**</w:t>
            </w:r>
          </w:p>
        </w:tc>
      </w:tr>
    </w:tbl>
    <w:p>
      <w:pPr>
        <w:spacing w:before="20" w:after="60"/>
        <w:ind w:left="432"/>
      </w:pPr>
      <w:r>
        <w:rPr>
          <w:rFonts w:ascii="Arial" w:hAnsi="Arial"/>
          <w:i/>
          <w:color w:val="8B6914"/>
          <w:sz w:val="17"/>
        </w:rPr>
        <w:t>⚠  * Drive time estimates based on typical off-peak traffic; I-95 peak hours can add 15-30 min</w:t>
      </w:r>
    </w:p>
    <w:p>
      <w:pPr>
        <w:spacing w:before="20" w:after="60"/>
        <w:ind w:left="432"/>
      </w:pPr>
      <w:r>
        <w:rPr>
          <w:rFonts w:ascii="Arial" w:hAnsi="Arial"/>
          <w:i/>
          <w:color w:val="8B6914"/>
          <w:sz w:val="17"/>
        </w:rPr>
        <w:t>⚠  ** Pricing estimates from publicly available information; verify directly with each venue</w:t>
      </w:r>
    </w:p>
    <w:p>
      <w:pPr>
        <w:spacing w:before="20" w:after="60"/>
        <w:ind w:left="432"/>
      </w:pPr>
      <w:r>
        <w:rPr>
          <w:rFonts w:ascii="Arial" w:hAnsi="Arial"/>
          <w:i/>
          <w:color w:val="8B6914"/>
          <w:sz w:val="17"/>
        </w:rPr>
        <w:t>⚠  † Uni Indoor Golf (Annandale) visited by operator in July 2026: $30/hr confirmed, noted as 'budget, dark, tracking inconsistent'</w:t>
      </w:r>
    </w:p>
    <w:p>
      <w:pPr>
        <w:spacing w:before="0" w:after="160"/>
      </w:pPr>
    </w:p>
    <w:p>
      <w:pPr>
        <w:spacing w:before="240" w:after="120"/>
      </w:pPr>
      <w:r>
        <w:rPr>
          <w:rFonts w:ascii="Arial" w:hAnsi="Arial"/>
          <w:b/>
          <w:color w:val="2A6041"/>
          <w:sz w:val="26"/>
        </w:rPr>
        <w:t>2.2 Competitive Positioning</w:t>
      </w:r>
    </w:p>
    <w:p>
      <w:pPr>
        <w:spacing w:before="40" w:after="80"/>
      </w:pPr>
      <w:r>
        <w:rPr>
          <w:rFonts w:ascii="Arial" w:hAnsi="Arial"/>
          <w:i w:val="0"/>
          <w:color w:val="333333"/>
          <w:sz w:val="21"/>
        </w:rPr>
        <w:t>Fairway Golf Club occupies the suburban premium position — between budget simulators and expensive urban clubs:</w:t>
      </w: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0D21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592" w:type="dxa"/>
          </w:tcPr>
          <w:p>
            <w:pPr>
              <w:spacing w:before="0" w:after="0"/>
              <w:jc w:val="left"/>
            </w:pPr>
            <w:r>
              <w:rPr>
                <w:rFonts w:ascii="Arial" w:hAnsi="Arial"/>
                <w:b/>
                <w:color w:val="FFFFFF"/>
                <w:sz w:val="19"/>
              </w:rPr>
              <w:t>Dimension</w:t>
            </w:r>
          </w:p>
        </w:tc>
        <w:tc>
          <w:tcPr>
            <w:tcW w:type="dxa" w:w="2340"/>
            <w:shd w:val="clear" w:color="auto" w:fill="0D21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592" w:type="dxa"/>
          </w:tcPr>
          <w:p>
            <w:pPr>
              <w:spacing w:before="0" w:after="0"/>
              <w:jc w:val="left"/>
            </w:pPr>
            <w:r>
              <w:rPr>
                <w:rFonts w:ascii="Arial" w:hAnsi="Arial"/>
                <w:b/>
                <w:color w:val="FFFFFF"/>
                <w:sz w:val="19"/>
              </w:rPr>
              <w:t>Budget Competitors</w:t>
            </w:r>
          </w:p>
        </w:tc>
        <w:tc>
          <w:tcPr>
            <w:tcW w:type="dxa" w:w="2340"/>
            <w:shd w:val="clear" w:color="auto" w:fill="0D21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592" w:type="dxa"/>
          </w:tcPr>
          <w:p>
            <w:pPr>
              <w:spacing w:before="0" w:after="0"/>
              <w:jc w:val="left"/>
            </w:pPr>
            <w:r>
              <w:rPr>
                <w:rFonts w:ascii="Arial" w:hAnsi="Arial"/>
                <w:b/>
                <w:color w:val="FFFFFF"/>
                <w:sz w:val="19"/>
              </w:rPr>
              <w:t>Urban Premium</w:t>
            </w:r>
          </w:p>
        </w:tc>
        <w:tc>
          <w:tcPr>
            <w:tcW w:type="dxa" w:w="2340"/>
            <w:shd w:val="clear" w:color="auto" w:fill="2A6041"/>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3168" w:type="dxa"/>
          </w:tcPr>
          <w:p>
            <w:pPr>
              <w:spacing w:before="0" w:after="0"/>
              <w:jc w:val="left"/>
            </w:pPr>
            <w:r>
              <w:rPr>
                <w:rFonts w:ascii="Arial" w:hAnsi="Arial"/>
                <w:b/>
                <w:color w:val="FFFFFF"/>
                <w:sz w:val="19"/>
              </w:rPr>
              <w:t>Fairway Golf Club</w:t>
            </w:r>
          </w:p>
        </w:tc>
      </w:tr>
      <w:tr>
        <w:tc>
          <w:tcPr>
            <w:tcW w:type="dxa" w:w="2340"/>
            <w:shd w:val="clear" w:color="auto" w:fill="EBF4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592" w:type="dxa"/>
          </w:tcPr>
          <w:p>
            <w:pPr>
              <w:spacing w:before="0" w:after="0"/>
              <w:jc w:val="left"/>
            </w:pPr>
            <w:r>
              <w:rPr>
                <w:rFonts w:ascii="Arial" w:hAnsi="Arial"/>
                <w:b/>
                <w:color w:val="0D2137"/>
                <w:sz w:val="19"/>
              </w:rPr>
              <w:t>Price / hr</w:t>
            </w:r>
          </w:p>
        </w:tc>
        <w:tc>
          <w:tcPr>
            <w:tcW w:type="dxa" w:w="2340"/>
            <w:shd w:val="clear" w:color="auto" w:fill="EBF4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592" w:type="dxa"/>
          </w:tcPr>
          <w:p>
            <w:pPr>
              <w:spacing w:before="0" w:after="0"/>
              <w:jc w:val="left"/>
            </w:pPr>
            <w:r>
              <w:rPr>
                <w:rFonts w:ascii="Arial" w:hAnsi="Arial"/>
                <w:b w:val="0"/>
                <w:color w:val="333333"/>
                <w:sz w:val="19"/>
              </w:rPr>
              <w:t>$25–35</w:t>
            </w:r>
          </w:p>
        </w:tc>
        <w:tc>
          <w:tcPr>
            <w:tcW w:type="dxa" w:w="2340"/>
            <w:shd w:val="clear" w:color="auto" w:fill="EBF4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592" w:type="dxa"/>
          </w:tcPr>
          <w:p>
            <w:pPr>
              <w:spacing w:before="0" w:after="0"/>
              <w:jc w:val="left"/>
            </w:pPr>
            <w:r>
              <w:rPr>
                <w:rFonts w:ascii="Arial" w:hAnsi="Arial"/>
                <w:b w:val="0"/>
                <w:color w:val="333333"/>
                <w:sz w:val="19"/>
              </w:rPr>
              <w:t>$65–90</w:t>
            </w:r>
          </w:p>
        </w:tc>
        <w:tc>
          <w:tcPr>
            <w:tcW w:type="dxa" w:w="2340"/>
            <w:shd w:val="clear" w:color="auto" w:fill="EBF4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3168" w:type="dxa"/>
          </w:tcPr>
          <w:p>
            <w:pPr>
              <w:spacing w:before="0" w:after="0"/>
              <w:jc w:val="left"/>
            </w:pPr>
            <w:r>
              <w:rPr>
                <w:rFonts w:ascii="Arial" w:hAnsi="Arial"/>
                <w:b/>
                <w:color w:val="0D2137"/>
                <w:sz w:val="19"/>
              </w:rPr>
              <w:t>$55–70 (members ~$40)</w:t>
            </w:r>
          </w:p>
        </w:tc>
      </w:tr>
      <w:tr>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592" w:type="dxa"/>
          </w:tcPr>
          <w:p>
            <w:pPr>
              <w:spacing w:before="0" w:after="0"/>
              <w:jc w:val="left"/>
            </w:pPr>
            <w:r>
              <w:rPr>
                <w:rFonts w:ascii="Arial" w:hAnsi="Arial"/>
                <w:b/>
                <w:color w:val="0D2137"/>
                <w:sz w:val="19"/>
              </w:rPr>
              <w:t>Location</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592" w:type="dxa"/>
          </w:tcPr>
          <w:p>
            <w:pPr>
              <w:spacing w:before="0" w:after="0"/>
              <w:jc w:val="left"/>
            </w:pPr>
            <w:r>
              <w:rPr>
                <w:rFonts w:ascii="Arial" w:hAnsi="Arial"/>
                <w:b w:val="0"/>
                <w:color w:val="333333"/>
                <w:sz w:val="19"/>
              </w:rPr>
              <w:t>Strip mall / industrial</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592" w:type="dxa"/>
          </w:tcPr>
          <w:p>
            <w:pPr>
              <w:spacing w:before="0" w:after="0"/>
              <w:jc w:val="left"/>
            </w:pPr>
            <w:r>
              <w:rPr>
                <w:rFonts w:ascii="Arial" w:hAnsi="Arial"/>
                <w:b w:val="0"/>
                <w:color w:val="333333"/>
                <w:sz w:val="19"/>
              </w:rPr>
              <w:t>Urban DC / Arlington</w:t>
            </w:r>
          </w:p>
        </w:tc>
        <w:tc>
          <w:tcPr>
            <w:tcW w:type="dxa" w:w="2340"/>
            <w:shd w:val="clear" w:color="auto" w:fill="EBF4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3168" w:type="dxa"/>
          </w:tcPr>
          <w:p>
            <w:pPr>
              <w:spacing w:before="0" w:after="0"/>
              <w:jc w:val="left"/>
            </w:pPr>
            <w:r>
              <w:rPr>
                <w:rFonts w:ascii="Arial" w:hAnsi="Arial"/>
                <w:b/>
                <w:color w:val="0D2137"/>
                <w:sz w:val="19"/>
              </w:rPr>
              <w:t>Arts campus, suburban community</w:t>
            </w:r>
          </w:p>
        </w:tc>
      </w:tr>
      <w:tr>
        <w:tc>
          <w:tcPr>
            <w:tcW w:type="dxa" w:w="2340"/>
            <w:shd w:val="clear" w:color="auto" w:fill="EBF4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592" w:type="dxa"/>
          </w:tcPr>
          <w:p>
            <w:pPr>
              <w:spacing w:before="0" w:after="0"/>
              <w:jc w:val="left"/>
            </w:pPr>
            <w:r>
              <w:rPr>
                <w:rFonts w:ascii="Arial" w:hAnsi="Arial"/>
                <w:b/>
                <w:color w:val="0D2137"/>
                <w:sz w:val="19"/>
              </w:rPr>
              <w:t>Technology</w:t>
            </w:r>
          </w:p>
        </w:tc>
        <w:tc>
          <w:tcPr>
            <w:tcW w:type="dxa" w:w="2340"/>
            <w:shd w:val="clear" w:color="auto" w:fill="EBF4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592" w:type="dxa"/>
          </w:tcPr>
          <w:p>
            <w:pPr>
              <w:spacing w:before="0" w:after="0"/>
              <w:jc w:val="left"/>
            </w:pPr>
            <w:r>
              <w:rPr>
                <w:rFonts w:ascii="Arial" w:hAnsi="Arial"/>
                <w:b w:val="0"/>
                <w:color w:val="333333"/>
                <w:sz w:val="19"/>
              </w:rPr>
              <w:t>Basic simulator rental</w:t>
            </w:r>
          </w:p>
        </w:tc>
        <w:tc>
          <w:tcPr>
            <w:tcW w:type="dxa" w:w="2340"/>
            <w:shd w:val="clear" w:color="auto" w:fill="EBF4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592" w:type="dxa"/>
          </w:tcPr>
          <w:p>
            <w:pPr>
              <w:spacing w:before="0" w:after="0"/>
              <w:jc w:val="left"/>
            </w:pPr>
            <w:r>
              <w:rPr>
                <w:rFonts w:ascii="Arial" w:hAnsi="Arial"/>
                <w:b w:val="0"/>
                <w:color w:val="333333"/>
                <w:sz w:val="19"/>
              </w:rPr>
              <w:t>Premium sim + F&amp;B</w:t>
            </w:r>
          </w:p>
        </w:tc>
        <w:tc>
          <w:tcPr>
            <w:tcW w:type="dxa" w:w="2340"/>
            <w:shd w:val="clear" w:color="auto" w:fill="EBF4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3168" w:type="dxa"/>
          </w:tcPr>
          <w:p>
            <w:pPr>
              <w:spacing w:before="0" w:after="0"/>
              <w:jc w:val="left"/>
            </w:pPr>
            <w:r>
              <w:rPr>
                <w:rFonts w:ascii="Arial" w:hAnsi="Arial"/>
                <w:b/>
                <w:color w:val="0D2137"/>
                <w:sz w:val="19"/>
              </w:rPr>
              <w:t>AI coaching + Golfer360 profile</w:t>
            </w:r>
          </w:p>
        </w:tc>
      </w:tr>
      <w:tr>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592" w:type="dxa"/>
          </w:tcPr>
          <w:p>
            <w:pPr>
              <w:spacing w:before="0" w:after="0"/>
              <w:jc w:val="left"/>
            </w:pPr>
            <w:r>
              <w:rPr>
                <w:rFonts w:ascii="Arial" w:hAnsi="Arial"/>
                <w:b/>
                <w:color w:val="0D2137"/>
                <w:sz w:val="19"/>
              </w:rPr>
              <w:t>Drive from Lorton</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592" w:type="dxa"/>
          </w:tcPr>
          <w:p>
            <w:pPr>
              <w:spacing w:before="0" w:after="0"/>
              <w:jc w:val="left"/>
            </w:pPr>
            <w:r>
              <w:rPr>
                <w:rFonts w:ascii="Arial" w:hAnsi="Arial"/>
                <w:b w:val="0"/>
                <w:color w:val="333333"/>
                <w:sz w:val="19"/>
              </w:rPr>
              <w:t>20–25 min</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592" w:type="dxa"/>
          </w:tcPr>
          <w:p>
            <w:pPr>
              <w:spacing w:before="0" w:after="0"/>
              <w:jc w:val="left"/>
            </w:pPr>
            <w:r>
              <w:rPr>
                <w:rFonts w:ascii="Arial" w:hAnsi="Arial"/>
                <w:b w:val="0"/>
                <w:color w:val="333333"/>
                <w:sz w:val="19"/>
              </w:rPr>
              <w:t>35–45 min</w:t>
            </w:r>
          </w:p>
        </w:tc>
        <w:tc>
          <w:tcPr>
            <w:tcW w:type="dxa" w:w="2340"/>
            <w:shd w:val="clear" w:color="auto" w:fill="EBF4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3168" w:type="dxa"/>
          </w:tcPr>
          <w:p>
            <w:pPr>
              <w:spacing w:before="0" w:after="0"/>
              <w:jc w:val="left"/>
            </w:pPr>
            <w:r>
              <w:rPr>
                <w:rFonts w:ascii="Arial" w:hAnsi="Arial"/>
                <w:b/>
                <w:color w:val="0D2137"/>
                <w:sz w:val="19"/>
              </w:rPr>
              <w:t>0 min (on-site)</w:t>
            </w:r>
          </w:p>
        </w:tc>
      </w:tr>
      <w:tr>
        <w:tc>
          <w:tcPr>
            <w:tcW w:type="dxa" w:w="2340"/>
            <w:shd w:val="clear" w:color="auto" w:fill="EBF4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592" w:type="dxa"/>
          </w:tcPr>
          <w:p>
            <w:pPr>
              <w:spacing w:before="0" w:after="0"/>
              <w:jc w:val="left"/>
            </w:pPr>
            <w:r>
              <w:rPr>
                <w:rFonts w:ascii="Arial" w:hAnsi="Arial"/>
                <w:b/>
                <w:color w:val="0D2137"/>
                <w:sz w:val="19"/>
              </w:rPr>
              <w:t>Improvement focus</w:t>
            </w:r>
          </w:p>
        </w:tc>
        <w:tc>
          <w:tcPr>
            <w:tcW w:type="dxa" w:w="2340"/>
            <w:shd w:val="clear" w:color="auto" w:fill="EBF4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592" w:type="dxa"/>
          </w:tcPr>
          <w:p>
            <w:pPr>
              <w:spacing w:before="0" w:after="0"/>
              <w:jc w:val="left"/>
            </w:pPr>
            <w:r>
              <w:rPr>
                <w:rFonts w:ascii="Arial" w:hAnsi="Arial"/>
                <w:b w:val="0"/>
                <w:color w:val="333333"/>
                <w:sz w:val="19"/>
              </w:rPr>
              <w:t>None</w:t>
            </w:r>
          </w:p>
        </w:tc>
        <w:tc>
          <w:tcPr>
            <w:tcW w:type="dxa" w:w="2340"/>
            <w:shd w:val="clear" w:color="auto" w:fill="EBF4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592" w:type="dxa"/>
          </w:tcPr>
          <w:p>
            <w:pPr>
              <w:spacing w:before="0" w:after="0"/>
              <w:jc w:val="left"/>
            </w:pPr>
            <w:r>
              <w:rPr>
                <w:rFonts w:ascii="Arial" w:hAnsi="Arial"/>
                <w:b w:val="0"/>
                <w:color w:val="333333"/>
                <w:sz w:val="19"/>
              </w:rPr>
              <w:t>Some (Five Iron: lessons)</w:t>
            </w:r>
          </w:p>
        </w:tc>
        <w:tc>
          <w:tcPr>
            <w:tcW w:type="dxa" w:w="2340"/>
            <w:shd w:val="clear" w:color="auto" w:fill="EBF4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3168" w:type="dxa"/>
          </w:tcPr>
          <w:p>
            <w:pPr>
              <w:spacing w:before="0" w:after="0"/>
              <w:jc w:val="left"/>
            </w:pPr>
            <w:r>
              <w:rPr>
                <w:rFonts w:ascii="Arial" w:hAnsi="Arial"/>
                <w:b/>
                <w:color w:val="0D2137"/>
                <w:sz w:val="19"/>
              </w:rPr>
              <w:t>Core mission: every visit = better golfer</w:t>
            </w:r>
          </w:p>
        </w:tc>
      </w:tr>
    </w:tbl>
    <w:p>
      <w:pPr>
        <w:spacing w:before="0" w:after="160"/>
      </w:pPr>
    </w:p>
    <w:p>
      <w:pPr>
        <w:spacing w:before="40" w:after="80"/>
      </w:pPr>
      <w:r>
        <w:rPr>
          <w:rFonts w:ascii="Arial" w:hAnsi="Arial"/>
          <w:i w:val="0"/>
          <w:color w:val="333333"/>
          <w:sz w:val="21"/>
        </w:rPr>
        <w:t>Fairway Golf Club is the only option combining suburban convenience, premium experience, and technology-driven improvement for the Lorton corridor golfer. Urban premium clubs require 35-45 minutes (or more in DC traffic). Budget options offer no improvement pathway and a poor experience. Fairway fills this gap uniquely.</w:t>
      </w:r>
    </w:p>
    <w:p>
      <w:r>
        <w:br w:type="page"/>
      </w:r>
    </w:p>
    <w:p>
      <w:pPr>
        <w:spacing w:before="360" w:after="120"/>
        <w:pBdr>
          <w:bottom w:val="single" w:sz="8" w:space="4" w:color="2A6041"/>
        </w:pBdr>
      </w:pPr>
      <w:r>
        <w:rPr>
          <w:rFonts w:ascii="Arial" w:hAnsi="Arial"/>
          <w:b/>
          <w:color w:val="0D2137"/>
          <w:sz w:val="32"/>
        </w:rPr>
        <w:t>Section 3: Golf Demand Indicators — Nearby Courses</w:t>
      </w:r>
    </w:p>
    <w:p>
      <w:pPr>
        <w:spacing w:before="40" w:after="80"/>
      </w:pPr>
      <w:r>
        <w:rPr>
          <w:rFonts w:ascii="Arial" w:hAnsi="Arial"/>
          <w:i w:val="0"/>
          <w:color w:val="333333"/>
          <w:sz w:val="21"/>
        </w:rPr>
        <w:t>Active outdoor golf courses within a facility's trade area are the strongest proxy for indoor golf demand. Indoor simulators thrive when serving existing golfers seeking year-round practice and improvement. Lorton scores exceptionally well on this metric.</w:t>
      </w:r>
    </w:p>
    <w:p>
      <w:pPr>
        <w:spacing w:before="0" w:after="160"/>
      </w:pP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0D21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592" w:type="dxa"/>
          </w:tcPr>
          <w:p>
            <w:pPr>
              <w:spacing w:before="0" w:after="0"/>
              <w:jc w:val="left"/>
            </w:pPr>
            <w:r>
              <w:rPr>
                <w:rFonts w:ascii="Arial" w:hAnsi="Arial"/>
                <w:b/>
                <w:color w:val="FFFFFF"/>
                <w:sz w:val="19"/>
              </w:rPr>
              <w:t>Golf Course</w:t>
            </w:r>
          </w:p>
        </w:tc>
        <w:tc>
          <w:tcPr>
            <w:tcW w:type="dxa" w:w="2340"/>
            <w:shd w:val="clear" w:color="auto" w:fill="0D21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52" w:type="dxa"/>
          </w:tcPr>
          <w:p>
            <w:pPr>
              <w:spacing w:before="0" w:after="0"/>
              <w:jc w:val="left"/>
            </w:pPr>
            <w:r>
              <w:rPr>
                <w:rFonts w:ascii="Arial" w:hAnsi="Arial"/>
                <w:b/>
                <w:color w:val="FFFFFF"/>
                <w:sz w:val="19"/>
              </w:rPr>
              <w:t>Distance</w:t>
            </w:r>
          </w:p>
        </w:tc>
        <w:tc>
          <w:tcPr>
            <w:tcW w:type="dxa" w:w="2340"/>
            <w:shd w:val="clear" w:color="auto" w:fill="0D21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872" w:type="dxa"/>
          </w:tcPr>
          <w:p>
            <w:pPr>
              <w:spacing w:before="0" w:after="0"/>
              <w:jc w:val="left"/>
            </w:pPr>
            <w:r>
              <w:rPr>
                <w:rFonts w:ascii="Arial" w:hAnsi="Arial"/>
                <w:b/>
                <w:color w:val="FFFFFF"/>
                <w:sz w:val="19"/>
              </w:rPr>
              <w:t>Type</w:t>
            </w:r>
          </w:p>
        </w:tc>
        <w:tc>
          <w:tcPr>
            <w:tcW w:type="dxa" w:w="2340"/>
            <w:shd w:val="clear" w:color="auto" w:fill="0D21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752" w:type="dxa"/>
          </w:tcPr>
          <w:p>
            <w:pPr>
              <w:spacing w:before="0" w:after="0"/>
              <w:jc w:val="left"/>
            </w:pPr>
            <w:r>
              <w:rPr>
                <w:rFonts w:ascii="Arial" w:hAnsi="Arial"/>
                <w:b/>
                <w:color w:val="FFFFFF"/>
                <w:sz w:val="19"/>
              </w:rPr>
              <w:t>Character &amp; Relevance</w:t>
            </w:r>
          </w:p>
        </w:tc>
      </w:tr>
      <w:tr>
        <w:tc>
          <w:tcPr>
            <w:tcW w:type="dxa" w:w="2340"/>
            <w:shd w:val="clear" w:color="auto" w:fill="EBF4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592" w:type="dxa"/>
          </w:tcPr>
          <w:p>
            <w:pPr>
              <w:spacing w:before="0" w:after="0"/>
              <w:jc w:val="left"/>
            </w:pPr>
            <w:r>
              <w:rPr>
                <w:rFonts w:ascii="Arial" w:hAnsi="Arial"/>
                <w:b/>
                <w:color w:val="0D2137"/>
                <w:sz w:val="18"/>
              </w:rPr>
              <w:t>Laurel Hill Golf Club</w:t>
            </w:r>
          </w:p>
        </w:tc>
        <w:tc>
          <w:tcPr>
            <w:tcW w:type="dxa" w:w="2340"/>
            <w:shd w:val="clear" w:color="auto" w:fill="EBF4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52" w:type="dxa"/>
          </w:tcPr>
          <w:p>
            <w:pPr>
              <w:spacing w:before="0" w:after="0"/>
              <w:jc w:val="left"/>
            </w:pPr>
            <w:r>
              <w:rPr>
                <w:rFonts w:ascii="Arial" w:hAnsi="Arial"/>
                <w:b w:val="0"/>
                <w:color w:val="333333"/>
                <w:sz w:val="18"/>
              </w:rPr>
              <w:t>&lt;0.5 mi</w:t>
            </w:r>
          </w:p>
        </w:tc>
        <w:tc>
          <w:tcPr>
            <w:tcW w:type="dxa" w:w="2340"/>
            <w:shd w:val="clear" w:color="auto" w:fill="EBF4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872" w:type="dxa"/>
          </w:tcPr>
          <w:p>
            <w:pPr>
              <w:spacing w:before="0" w:after="0"/>
              <w:jc w:val="left"/>
            </w:pPr>
            <w:r>
              <w:rPr>
                <w:rFonts w:ascii="Arial" w:hAnsi="Arial"/>
                <w:b w:val="0"/>
                <w:color w:val="333333"/>
                <w:sz w:val="18"/>
              </w:rPr>
              <w:t>Public, 18-hole</w:t>
            </w:r>
          </w:p>
        </w:tc>
        <w:tc>
          <w:tcPr>
            <w:tcW w:type="dxa" w:w="2340"/>
            <w:shd w:val="clear" w:color="auto" w:fill="EBF4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752" w:type="dxa"/>
          </w:tcPr>
          <w:p>
            <w:pPr>
              <w:spacing w:before="0" w:after="0"/>
              <w:jc w:val="left"/>
            </w:pPr>
            <w:r>
              <w:rPr>
                <w:rFonts w:ascii="Arial" w:hAnsi="Arial"/>
                <w:b w:val="0"/>
                <w:color w:val="333333"/>
                <w:sz w:val="18"/>
              </w:rPr>
              <w:t>NVRPA-managed, highly regarded course on former Lorton prison grounds. Literally adjacent to Workhouse — any Laurel Hill golfer is a potential Fairway member.</w:t>
            </w:r>
          </w:p>
        </w:tc>
      </w:tr>
      <w:tr>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592" w:type="dxa"/>
          </w:tcPr>
          <w:p>
            <w:pPr>
              <w:spacing w:before="0" w:after="0"/>
              <w:jc w:val="left"/>
            </w:pPr>
            <w:r>
              <w:rPr>
                <w:rFonts w:ascii="Arial" w:hAnsi="Arial"/>
                <w:b/>
                <w:color w:val="0D2137"/>
                <w:sz w:val="18"/>
              </w:rPr>
              <w:t>Pohick Bay Golf Course</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52" w:type="dxa"/>
          </w:tcPr>
          <w:p>
            <w:pPr>
              <w:spacing w:before="0" w:after="0"/>
              <w:jc w:val="left"/>
            </w:pPr>
            <w:r>
              <w:rPr>
                <w:rFonts w:ascii="Arial" w:hAnsi="Arial"/>
                <w:b w:val="0"/>
                <w:color w:val="333333"/>
                <w:sz w:val="18"/>
              </w:rPr>
              <w:t>~3 mi</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872" w:type="dxa"/>
          </w:tcPr>
          <w:p>
            <w:pPr>
              <w:spacing w:before="0" w:after="0"/>
              <w:jc w:val="left"/>
            </w:pPr>
            <w:r>
              <w:rPr>
                <w:rFonts w:ascii="Arial" w:hAnsi="Arial"/>
                <w:b w:val="0"/>
                <w:color w:val="333333"/>
                <w:sz w:val="18"/>
              </w:rPr>
              <w:t>Public, 18-hole</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752" w:type="dxa"/>
          </w:tcPr>
          <w:p>
            <w:pPr>
              <w:spacing w:before="0" w:after="0"/>
              <w:jc w:val="left"/>
            </w:pPr>
            <w:r>
              <w:rPr>
                <w:rFonts w:ascii="Arial" w:hAnsi="Arial"/>
                <w:b w:val="0"/>
                <w:color w:val="333333"/>
                <w:sz w:val="18"/>
              </w:rPr>
              <w:t>Pohick Bay Regional Park, wooded parkland setting. Family-friendly pricing attracts recreational golfers ideal for Fairway's beginner/improver segment.</w:t>
            </w:r>
          </w:p>
        </w:tc>
      </w:tr>
      <w:tr>
        <w:tc>
          <w:tcPr>
            <w:tcW w:type="dxa" w:w="2340"/>
            <w:shd w:val="clear" w:color="auto" w:fill="EBF4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592" w:type="dxa"/>
          </w:tcPr>
          <w:p>
            <w:pPr>
              <w:spacing w:before="0" w:after="0"/>
              <w:jc w:val="left"/>
            </w:pPr>
            <w:r>
              <w:rPr>
                <w:rFonts w:ascii="Arial" w:hAnsi="Arial"/>
                <w:b/>
                <w:color w:val="0D2137"/>
                <w:sz w:val="18"/>
              </w:rPr>
              <w:t>Fort Belvoir Golf Course</w:t>
            </w:r>
          </w:p>
        </w:tc>
        <w:tc>
          <w:tcPr>
            <w:tcW w:type="dxa" w:w="2340"/>
            <w:shd w:val="clear" w:color="auto" w:fill="EBF4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52" w:type="dxa"/>
          </w:tcPr>
          <w:p>
            <w:pPr>
              <w:spacing w:before="0" w:after="0"/>
              <w:jc w:val="left"/>
            </w:pPr>
            <w:r>
              <w:rPr>
                <w:rFonts w:ascii="Arial" w:hAnsi="Arial"/>
                <w:b w:val="0"/>
                <w:color w:val="333333"/>
                <w:sz w:val="18"/>
              </w:rPr>
              <w:t>~3 mi</w:t>
            </w:r>
          </w:p>
        </w:tc>
        <w:tc>
          <w:tcPr>
            <w:tcW w:type="dxa" w:w="2340"/>
            <w:shd w:val="clear" w:color="auto" w:fill="EBF4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872" w:type="dxa"/>
          </w:tcPr>
          <w:p>
            <w:pPr>
              <w:spacing w:before="0" w:after="0"/>
              <w:jc w:val="left"/>
            </w:pPr>
            <w:r>
              <w:rPr>
                <w:rFonts w:ascii="Arial" w:hAnsi="Arial"/>
                <w:b w:val="0"/>
                <w:color w:val="333333"/>
                <w:sz w:val="18"/>
              </w:rPr>
              <w:t>Military/semi-public</w:t>
            </w:r>
          </w:p>
        </w:tc>
        <w:tc>
          <w:tcPr>
            <w:tcW w:type="dxa" w:w="2340"/>
            <w:shd w:val="clear" w:color="auto" w:fill="EBF4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752" w:type="dxa"/>
          </w:tcPr>
          <w:p>
            <w:pPr>
              <w:spacing w:before="0" w:after="0"/>
              <w:jc w:val="left"/>
            </w:pPr>
            <w:r>
              <w:rPr>
                <w:rFonts w:ascii="Arial" w:hAnsi="Arial"/>
                <w:b w:val="0"/>
                <w:color w:val="333333"/>
                <w:sz w:val="18"/>
              </w:rPr>
              <w:t>On-base 18-hole course serving active duty, retirees, and DoD civilians. Direct pipeline to highly motivated golfers.</w:t>
            </w:r>
          </w:p>
        </w:tc>
      </w:tr>
      <w:tr>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592" w:type="dxa"/>
          </w:tcPr>
          <w:p>
            <w:pPr>
              <w:spacing w:before="0" w:after="0"/>
              <w:jc w:val="left"/>
            </w:pPr>
            <w:r>
              <w:rPr>
                <w:rFonts w:ascii="Arial" w:hAnsi="Arial"/>
                <w:b/>
                <w:color w:val="0D2137"/>
                <w:sz w:val="18"/>
              </w:rPr>
              <w:t>Old Hickory Golf Club</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52" w:type="dxa"/>
          </w:tcPr>
          <w:p>
            <w:pPr>
              <w:spacing w:before="0" w:after="0"/>
              <w:jc w:val="left"/>
            </w:pPr>
            <w:r>
              <w:rPr>
                <w:rFonts w:ascii="Arial" w:hAnsi="Arial"/>
                <w:b w:val="0"/>
                <w:color w:val="333333"/>
                <w:sz w:val="18"/>
              </w:rPr>
              <w:t>~5 mi</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872" w:type="dxa"/>
          </w:tcPr>
          <w:p>
            <w:pPr>
              <w:spacing w:before="0" w:after="0"/>
              <w:jc w:val="left"/>
            </w:pPr>
            <w:r>
              <w:rPr>
                <w:rFonts w:ascii="Arial" w:hAnsi="Arial"/>
                <w:b w:val="0"/>
                <w:color w:val="333333"/>
                <w:sz w:val="18"/>
              </w:rPr>
              <w:t>Public, 18-hole</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752" w:type="dxa"/>
          </w:tcPr>
          <w:p>
            <w:pPr>
              <w:spacing w:before="0" w:after="0"/>
              <w:jc w:val="left"/>
            </w:pPr>
            <w:r>
              <w:rPr>
                <w:rFonts w:ascii="Arial" w:hAnsi="Arial"/>
                <w:b w:val="0"/>
                <w:color w:val="333333"/>
                <w:sz w:val="18"/>
              </w:rPr>
              <w:t>Well-reviewed Woodbridge course with active league programs. League players are prime targets for indoor league nights.</w:t>
            </w:r>
          </w:p>
        </w:tc>
      </w:tr>
      <w:tr>
        <w:tc>
          <w:tcPr>
            <w:tcW w:type="dxa" w:w="2340"/>
            <w:shd w:val="clear" w:color="auto" w:fill="EBF4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592" w:type="dxa"/>
          </w:tcPr>
          <w:p>
            <w:pPr>
              <w:spacing w:before="0" w:after="0"/>
              <w:jc w:val="left"/>
            </w:pPr>
            <w:r>
              <w:rPr>
                <w:rFonts w:ascii="Arial" w:hAnsi="Arial"/>
                <w:b/>
                <w:color w:val="0D2137"/>
                <w:sz w:val="18"/>
              </w:rPr>
              <w:t>Lake Ridge Golf Course</w:t>
            </w:r>
          </w:p>
        </w:tc>
        <w:tc>
          <w:tcPr>
            <w:tcW w:type="dxa" w:w="2340"/>
            <w:shd w:val="clear" w:color="auto" w:fill="EBF4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52" w:type="dxa"/>
          </w:tcPr>
          <w:p>
            <w:pPr>
              <w:spacing w:before="0" w:after="0"/>
              <w:jc w:val="left"/>
            </w:pPr>
            <w:r>
              <w:rPr>
                <w:rFonts w:ascii="Arial" w:hAnsi="Arial"/>
                <w:b w:val="0"/>
                <w:color w:val="333333"/>
                <w:sz w:val="18"/>
              </w:rPr>
              <w:t>~6 mi</w:t>
            </w:r>
          </w:p>
        </w:tc>
        <w:tc>
          <w:tcPr>
            <w:tcW w:type="dxa" w:w="2340"/>
            <w:shd w:val="clear" w:color="auto" w:fill="EBF4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872" w:type="dxa"/>
          </w:tcPr>
          <w:p>
            <w:pPr>
              <w:spacing w:before="0" w:after="0"/>
              <w:jc w:val="left"/>
            </w:pPr>
            <w:r>
              <w:rPr>
                <w:rFonts w:ascii="Arial" w:hAnsi="Arial"/>
                <w:b w:val="0"/>
                <w:color w:val="333333"/>
                <w:sz w:val="18"/>
              </w:rPr>
              <w:t>Public, 18-hole</w:t>
            </w:r>
          </w:p>
        </w:tc>
        <w:tc>
          <w:tcPr>
            <w:tcW w:type="dxa" w:w="2340"/>
            <w:shd w:val="clear" w:color="auto" w:fill="EBF4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752" w:type="dxa"/>
          </w:tcPr>
          <w:p>
            <w:pPr>
              <w:spacing w:before="0" w:after="0"/>
              <w:jc w:val="left"/>
            </w:pPr>
            <w:r>
              <w:rPr>
                <w:rFonts w:ascii="Arial" w:hAnsi="Arial"/>
                <w:b w:val="0"/>
                <w:color w:val="333333"/>
                <w:sz w:val="18"/>
              </w:rPr>
              <w:t>Woodbridge area, serves the growing Prince William County population. Demonstrates broad regional golf demand.</w:t>
            </w:r>
          </w:p>
        </w:tc>
      </w:tr>
      <w:tr>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592" w:type="dxa"/>
          </w:tcPr>
          <w:p>
            <w:pPr>
              <w:spacing w:before="0" w:after="0"/>
              <w:jc w:val="left"/>
            </w:pPr>
            <w:r>
              <w:rPr>
                <w:rFonts w:ascii="Arial" w:hAnsi="Arial"/>
                <w:b/>
                <w:color w:val="0D2137"/>
                <w:sz w:val="18"/>
              </w:rPr>
              <w:t>Burke Lake Golf Center</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52" w:type="dxa"/>
          </w:tcPr>
          <w:p>
            <w:pPr>
              <w:spacing w:before="0" w:after="0"/>
              <w:jc w:val="left"/>
            </w:pPr>
            <w:r>
              <w:rPr>
                <w:rFonts w:ascii="Arial" w:hAnsi="Arial"/>
                <w:b w:val="0"/>
                <w:color w:val="333333"/>
                <w:sz w:val="18"/>
              </w:rPr>
              <w:t>~7 mi</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872" w:type="dxa"/>
          </w:tcPr>
          <w:p>
            <w:pPr>
              <w:spacing w:before="0" w:after="0"/>
              <w:jc w:val="left"/>
            </w:pPr>
            <w:r>
              <w:rPr>
                <w:rFonts w:ascii="Arial" w:hAnsi="Arial"/>
                <w:b w:val="0"/>
                <w:color w:val="333333"/>
                <w:sz w:val="18"/>
              </w:rPr>
              <w:t>Par-3 / driving range</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752" w:type="dxa"/>
          </w:tcPr>
          <w:p>
            <w:pPr>
              <w:spacing w:before="0" w:after="0"/>
              <w:jc w:val="left"/>
            </w:pPr>
            <w:r>
              <w:rPr>
                <w:rFonts w:ascii="Arial" w:hAnsi="Arial"/>
                <w:b w:val="0"/>
                <w:color w:val="333333"/>
                <w:sz w:val="18"/>
              </w:rPr>
              <w:t>NVRPA facility; driving range + par-3. Practice-oriented golfers and beginners — exactly the Fairway AI-coaching target market.</w:t>
            </w:r>
          </w:p>
        </w:tc>
      </w:tr>
    </w:tbl>
    <w:p>
      <w:pPr>
        <w:spacing w:before="0" w:after="160"/>
      </w:pPr>
    </w:p>
    <w:p>
      <w:pPr>
        <w:spacing w:before="240" w:after="120"/>
      </w:pPr>
      <w:r>
        <w:rPr>
          <w:rFonts w:ascii="Arial" w:hAnsi="Arial"/>
          <w:b/>
          <w:color w:val="2A6041"/>
          <w:sz w:val="26"/>
        </w:rPr>
        <w:t>3.1 What This Means for Fairway Golf Club</w:t>
      </w:r>
    </w:p>
    <w:p>
      <w:pPr>
        <w:spacing w:before="40" w:after="80"/>
      </w:pPr>
      <w:r>
        <w:rPr>
          <w:rFonts w:ascii="Arial" w:hAnsi="Arial"/>
          <w:i w:val="0"/>
          <w:color w:val="333333"/>
          <w:sz w:val="21"/>
        </w:rPr>
        <w:t>Five public golf courses plus an active military course within 7 miles creates a proven golfer population with nowhere convenient to practice indoors:</w:t>
      </w:r>
    </w:p>
    <w:p>
      <w:pPr>
        <w:pStyle w:val="ListBullet"/>
        <w:spacing w:before="20" w:after="40"/>
      </w:pPr>
      <w:r>
        <w:rPr>
          <w:rFonts w:ascii="Arial" w:hAnsi="Arial"/>
          <w:b w:val="0"/>
          <w:color w:val="333333"/>
          <w:sz w:val="20"/>
        </w:rPr>
        <w:t>Seasonal displacement: Virginia golfers lose 3-4 months of comfortable outdoor play per year to cold, rain, and shortened daylight. The nearest indoor option today is 20+ minutes away.</w:t>
      </w:r>
    </w:p>
    <w:p>
      <w:pPr>
        <w:pStyle w:val="ListBullet"/>
        <w:spacing w:before="20" w:after="40"/>
      </w:pPr>
      <w:r>
        <w:rPr>
          <w:rFonts w:ascii="Arial" w:hAnsi="Arial"/>
          <w:b w:val="0"/>
          <w:color w:val="333333"/>
          <w:sz w:val="20"/>
        </w:rPr>
        <w:t>Practice-to-play pipeline: Course golfers motivated to improve will pay for simulator time between rounds — especially those playing the demanding Laurel Hill layout literally next door.</w:t>
      </w:r>
    </w:p>
    <w:p>
      <w:pPr>
        <w:pStyle w:val="ListBullet"/>
        <w:spacing w:before="20" w:after="40"/>
      </w:pPr>
      <w:r>
        <w:rPr>
          <w:rFonts w:ascii="Arial" w:hAnsi="Arial"/>
          <w:b w:val="0"/>
          <w:color w:val="333333"/>
          <w:sz w:val="20"/>
        </w:rPr>
        <w:t>Social and league carryover: Courses like Old Hickory and Pohick Bay have active leagues. Fairway can recruit these groups for indoor league nights in the off-season and winter months.</w:t>
      </w:r>
    </w:p>
    <w:p>
      <w:pPr>
        <w:pStyle w:val="ListBullet"/>
        <w:spacing w:before="20" w:after="40"/>
      </w:pPr>
      <w:r>
        <w:rPr>
          <w:rFonts w:ascii="Arial" w:hAnsi="Arial"/>
          <w:b w:val="0"/>
          <w:color w:val="333333"/>
          <w:sz w:val="20"/>
        </w:rPr>
        <w:t>Beginner conversion: Burke Lake Golf Center attracts beginners using the driving range. Fairway's AI coaching platform specifically appeals to newer golfers who want structured, measurable improvement.</w:t>
      </w:r>
    </w:p>
    <w:p>
      <w:r>
        <w:br w:type="page"/>
      </w:r>
    </w:p>
    <w:p>
      <w:pPr>
        <w:spacing w:before="360" w:after="120"/>
        <w:pBdr>
          <w:bottom w:val="single" w:sz="8" w:space="4" w:color="2A6041"/>
        </w:pBdr>
      </w:pPr>
      <w:r>
        <w:rPr>
          <w:rFonts w:ascii="Arial" w:hAnsi="Arial"/>
          <w:b/>
          <w:color w:val="0D2137"/>
          <w:sz w:val="32"/>
        </w:rPr>
        <w:t>Section 4: Indoor Golf Market Size &amp; Revenue Model</w:t>
      </w:r>
    </w:p>
    <w:p>
      <w:pPr>
        <w:spacing w:before="240" w:after="120"/>
      </w:pPr>
      <w:r>
        <w:rPr>
          <w:rFonts w:ascii="Arial" w:hAnsi="Arial"/>
          <w:b/>
          <w:color w:val="2A6041"/>
          <w:sz w:val="26"/>
        </w:rPr>
        <w:t>4.1 National Market Context</w:t>
      </w:r>
    </w:p>
    <w:p>
      <w:pPr>
        <w:spacing w:before="40" w:after="80"/>
      </w:pPr>
      <w:r>
        <w:rPr>
          <w:rFonts w:ascii="Arial" w:hAnsi="Arial"/>
          <w:i w:val="0"/>
          <w:color w:val="333333"/>
          <w:sz w:val="21"/>
        </w:rPr>
        <w:t>The indoor golf simulator industry has experienced exceptional growth since 2020, driven by three converging forces: post-pandemic demand for private, small-group social activities; major simulator technology improvements (Trackman, Full Swing, Foresight) making simulator play indistinguishable from on-course stats; and golf's broader participation surge from COVID-era outdoor activity adoption.</w:t>
      </w:r>
    </w:p>
    <w:p>
      <w:pPr>
        <w:spacing w:before="0" w:after="120"/>
      </w:pPr>
    </w:p>
    <w:tbl>
      <w:tblPr>
        <w:tblW w:type="auto" w:w="0"/>
        <w:jc w:val="left"/>
        <w:tblLook w:firstColumn="1" w:firstRow="1" w:lastColumn="0" w:lastRow="0" w:noHBand="0" w:noVBand="1" w:val="04A0"/>
      </w:tblPr>
      <w:tblGrid>
        <w:gridCol w:w="4680"/>
        <w:gridCol w:w="4680"/>
      </w:tblGrid>
      <w:tr>
        <w:tc>
          <w:tcPr>
            <w:tcW w:type="dxa" w:w="4680"/>
            <w:shd w:val="clear" w:color="auto" w:fill="EBF4EE"/>
            <w:tcBorders>
              <w:top w:val="single" w:sz="4" w:space="0" w:color="CCCCCC"/>
              <w:left w:val="single" w:sz="4" w:space="0" w:color="CCCCCC"/>
              <w:bottom w:val="single" w:sz="4" w:space="0" w:color="CCCCCC"/>
              <w:right w:val="single" w:sz="4" w:space="0" w:color="CCCCCC"/>
            </w:tcBorders>
            <w:tcMar>
              <w:top w:w="120" w:type="dxa"/>
              <w:bottom w:w="120" w:type="dxa"/>
              <w:left w:w="140" w:type="dxa"/>
              <w:right w:w="140" w:type="dxa"/>
            </w:tcMar>
            <w:tcW w:w="4752" w:type="dxa"/>
          </w:tcPr>
          <w:p>
            <w:pPr>
              <w:spacing w:before="0" w:after="0"/>
              <w:jc w:val="left"/>
            </w:pPr>
            <w:r>
              <w:rPr>
                <w:rFonts w:ascii="Arial" w:hAnsi="Arial"/>
                <w:b/>
                <w:color w:val="0D2137"/>
                <w:sz w:val="22"/>
              </w:rPr>
              <w:t>National Growth Indicators</w:t>
            </w:r>
          </w:p>
          <w:p>
            <w:pPr>
              <w:spacing w:before="40" w:after="0"/>
              <w:jc w:val="left"/>
            </w:pPr>
            <w:r>
              <w:rPr>
                <w:rFonts w:ascii="Arial" w:hAnsi="Arial"/>
                <w:b w:val="0"/>
                <w:color w:val="333333"/>
                <w:sz w:val="19"/>
              </w:rPr>
              <w:t>• Estimated CAGR 2020–2025: 15–20%*</w:t>
            </w:r>
          </w:p>
          <w:p>
            <w:pPr>
              <w:spacing w:before="40" w:after="0"/>
              <w:jc w:val="left"/>
            </w:pPr>
            <w:r>
              <w:rPr>
                <w:rFonts w:ascii="Arial" w:hAnsi="Arial"/>
                <w:b w:val="0"/>
                <w:color w:val="333333"/>
                <w:sz w:val="19"/>
              </w:rPr>
              <w:t>• US indoor golf market estimated $1.0B+ by 2025–2026*</w:t>
            </w:r>
          </w:p>
          <w:p>
            <w:pPr>
              <w:spacing w:before="40" w:after="0"/>
              <w:jc w:val="left"/>
            </w:pPr>
            <w:r>
              <w:rPr>
                <w:rFonts w:ascii="Arial" w:hAnsi="Arial"/>
                <w:b w:val="0"/>
                <w:color w:val="333333"/>
                <w:sz w:val="19"/>
              </w:rPr>
              <w:t>• 41M+ Americans played golf in 2023 (rounds + off-course)*</w:t>
            </w:r>
          </w:p>
          <w:p>
            <w:pPr>
              <w:spacing w:before="40" w:after="0"/>
              <w:jc w:val="left"/>
            </w:pPr>
            <w:r>
              <w:rPr>
                <w:rFonts w:ascii="Arial" w:hAnsi="Arial"/>
                <w:b w:val="0"/>
                <w:color w:val="333333"/>
                <w:sz w:val="19"/>
              </w:rPr>
              <w:t>• Simulator technology now standard for serious golfer improvement</w:t>
            </w:r>
          </w:p>
        </w:tc>
        <w:tc>
          <w:tcPr>
            <w:tcW w:type="dxa" w:w="4680"/>
            <w:shd w:val="clear" w:color="auto" w:fill="FDF6E8"/>
            <w:tcBorders>
              <w:top w:val="single" w:sz="4" w:space="0" w:color="CCCCCC"/>
              <w:left w:val="single" w:sz="4" w:space="0" w:color="CCCCCC"/>
              <w:bottom w:val="single" w:sz="4" w:space="0" w:color="CCCCCC"/>
              <w:right w:val="single" w:sz="4" w:space="0" w:color="CCCCCC"/>
            </w:tcBorders>
            <w:tcMar>
              <w:top w:w="120" w:type="dxa"/>
              <w:bottom w:w="120" w:type="dxa"/>
              <w:left w:w="140" w:type="dxa"/>
              <w:right w:w="140" w:type="dxa"/>
            </w:tcMar>
            <w:tcW w:w="4752" w:type="dxa"/>
          </w:tcPr>
          <w:p>
            <w:pPr>
              <w:spacing w:before="0" w:after="0"/>
              <w:jc w:val="left"/>
            </w:pPr>
            <w:r>
              <w:rPr>
                <w:rFonts w:ascii="Arial" w:hAnsi="Arial"/>
                <w:b/>
                <w:color w:val="0D2137"/>
                <w:sz w:val="22"/>
              </w:rPr>
              <w:t>DC Metro Specifics</w:t>
            </w:r>
          </w:p>
          <w:p>
            <w:pPr>
              <w:spacing w:before="40" w:after="0"/>
              <w:jc w:val="left"/>
            </w:pPr>
            <w:r>
              <w:rPr>
                <w:rFonts w:ascii="Arial" w:hAnsi="Arial"/>
                <w:b w:val="0"/>
                <w:color w:val="333333"/>
                <w:sz w:val="19"/>
              </w:rPr>
              <w:t>• High-income suburban market historically outperforms national averages for leisure spending</w:t>
            </w:r>
          </w:p>
          <w:p>
            <w:pPr>
              <w:spacing w:before="40" w:after="0"/>
              <w:jc w:val="left"/>
            </w:pPr>
            <w:r>
              <w:rPr>
                <w:rFonts w:ascii="Arial" w:hAnsi="Arial"/>
                <w:b w:val="0"/>
                <w:color w:val="333333"/>
                <w:sz w:val="19"/>
              </w:rPr>
              <w:t>• Five Iron Golf (DC), ParCiti (Arlington): proof of strong premium urban demand</w:t>
            </w:r>
          </w:p>
          <w:p>
            <w:pPr>
              <w:spacing w:before="40" w:after="0"/>
              <w:jc w:val="left"/>
            </w:pPr>
            <w:r>
              <w:rPr>
                <w:rFonts w:ascii="Arial" w:hAnsi="Arial"/>
                <w:b w:val="0"/>
                <w:color w:val="333333"/>
                <w:sz w:val="19"/>
              </w:rPr>
              <w:t>• Southern NoVA (Lorton corridor) currently unserved despite high suburban density*</w:t>
            </w:r>
          </w:p>
          <w:p>
            <w:pPr>
              <w:spacing w:before="40" w:after="0"/>
              <w:jc w:val="left"/>
            </w:pPr>
            <w:r>
              <w:rPr>
                <w:rFonts w:ascii="Arial" w:hAnsi="Arial"/>
                <w:b w:val="0"/>
                <w:color w:val="333333"/>
                <w:sz w:val="19"/>
              </w:rPr>
              <w:t>• Federal/DoD workforce culture aligns strongly with golf participation</w:t>
            </w:r>
          </w:p>
        </w:tc>
      </w:tr>
    </w:tbl>
    <w:p>
      <w:pPr>
        <w:spacing w:before="20" w:after="60"/>
        <w:ind w:left="432"/>
      </w:pPr>
      <w:r>
        <w:rPr>
          <w:rFonts w:ascii="Arial" w:hAnsi="Arial"/>
          <w:i/>
          <w:color w:val="8B6914"/>
          <w:sz w:val="17"/>
        </w:rPr>
        <w:t>⚠  * Verify with current industry research: National Golf Course Owners Association, Golf Business Network, IBISWorld</w:t>
      </w:r>
    </w:p>
    <w:p>
      <w:pPr>
        <w:spacing w:before="0" w:after="160"/>
      </w:pPr>
    </w:p>
    <w:p>
      <w:pPr>
        <w:spacing w:before="240" w:after="120"/>
      </w:pPr>
      <w:r>
        <w:rPr>
          <w:rFonts w:ascii="Arial" w:hAnsi="Arial"/>
          <w:b/>
          <w:color w:val="2A6041"/>
          <w:sz w:val="26"/>
        </w:rPr>
        <w:t>4.2 Unit Economics — Revenue Per Bay Per Year</w:t>
      </w:r>
    </w:p>
    <w:p>
      <w:pPr>
        <w:spacing w:before="40" w:after="80"/>
      </w:pPr>
      <w:r>
        <w:rPr>
          <w:rFonts w:ascii="Arial" w:hAnsi="Arial"/>
          <w:i w:val="0"/>
          <w:color w:val="333333"/>
          <w:sz w:val="21"/>
        </w:rPr>
        <w:t>Based on DC Metro pricing and industry benchmarks, the following revenue scenarios apply to a premium suburban simulator bay:</w:t>
      </w:r>
    </w:p>
    <w:p>
      <w:pPr>
        <w:spacing w:before="0" w:after="120"/>
      </w:pP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0D21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3744" w:type="dxa"/>
          </w:tcPr>
          <w:p>
            <w:pPr>
              <w:spacing w:before="0" w:after="0"/>
              <w:jc w:val="left"/>
            </w:pPr>
            <w:r>
              <w:rPr>
                <w:rFonts w:ascii="Arial" w:hAnsi="Arial"/>
                <w:b/>
                <w:color w:val="FFFFFF"/>
                <w:sz w:val="19"/>
              </w:rPr>
              <w:t>Revenue Scenario</w:t>
            </w:r>
          </w:p>
        </w:tc>
        <w:tc>
          <w:tcPr>
            <w:tcW w:type="dxa" w:w="2340"/>
            <w:shd w:val="clear" w:color="auto" w:fill="0D21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304" w:type="dxa"/>
          </w:tcPr>
          <w:p>
            <w:pPr>
              <w:spacing w:before="0" w:after="0"/>
              <w:jc w:val="left"/>
            </w:pPr>
            <w:r>
              <w:rPr>
                <w:rFonts w:ascii="Arial" w:hAnsi="Arial"/>
                <w:b/>
                <w:color w:val="FFFFFF"/>
                <w:sz w:val="19"/>
              </w:rPr>
              <w:t>Bay Utilization</w:t>
            </w:r>
          </w:p>
        </w:tc>
        <w:tc>
          <w:tcPr>
            <w:tcW w:type="dxa" w:w="2340"/>
            <w:shd w:val="clear" w:color="auto" w:fill="0D21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015" w:type="dxa"/>
          </w:tcPr>
          <w:p>
            <w:pPr>
              <w:spacing w:before="0" w:after="0"/>
              <w:jc w:val="left"/>
            </w:pPr>
            <w:r>
              <w:rPr>
                <w:rFonts w:ascii="Arial" w:hAnsi="Arial"/>
                <w:b/>
                <w:color w:val="FFFFFF"/>
                <w:sz w:val="19"/>
              </w:rPr>
              <w:t>Avg. Blended Rate</w:t>
            </w:r>
          </w:p>
        </w:tc>
        <w:tc>
          <w:tcPr>
            <w:tcW w:type="dxa" w:w="2340"/>
            <w:shd w:val="clear" w:color="auto" w:fill="0D21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304" w:type="dxa"/>
          </w:tcPr>
          <w:p>
            <w:pPr>
              <w:spacing w:before="0" w:after="0"/>
              <w:jc w:val="left"/>
            </w:pPr>
            <w:r>
              <w:rPr>
                <w:rFonts w:ascii="Arial" w:hAnsi="Arial"/>
                <w:b/>
                <w:color w:val="FFFFFF"/>
                <w:sz w:val="19"/>
              </w:rPr>
              <w:t>Annual Bay Revenue</w:t>
            </w:r>
          </w:p>
        </w:tc>
      </w:tr>
      <w:tr>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3744" w:type="dxa"/>
          </w:tcPr>
          <w:p>
            <w:pPr>
              <w:spacing w:before="0" w:after="0"/>
              <w:jc w:val="left"/>
            </w:pPr>
            <w:r>
              <w:rPr>
                <w:rFonts w:ascii="Arial" w:hAnsi="Arial"/>
                <w:b w:val="0"/>
                <w:color w:val="333333"/>
                <w:sz w:val="19"/>
              </w:rPr>
              <w:t>Conservative (40% avg utilization)</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304" w:type="dxa"/>
          </w:tcPr>
          <w:p>
            <w:pPr>
              <w:spacing w:before="0" w:after="0"/>
              <w:jc w:val="left"/>
            </w:pPr>
            <w:r>
              <w:rPr>
                <w:rFonts w:ascii="Arial" w:hAnsi="Arial"/>
                <w:b w:val="0"/>
                <w:color w:val="333333"/>
                <w:sz w:val="19"/>
              </w:rPr>
              <w:t>40% of 12 hrs/day</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015" w:type="dxa"/>
          </w:tcPr>
          <w:p>
            <w:pPr>
              <w:spacing w:before="0" w:after="0"/>
              <w:jc w:val="left"/>
            </w:pPr>
            <w:r>
              <w:rPr>
                <w:rFonts w:ascii="Arial" w:hAnsi="Arial"/>
                <w:b w:val="0"/>
                <w:color w:val="333333"/>
                <w:sz w:val="19"/>
              </w:rPr>
              <w:t>$50/hr</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304" w:type="dxa"/>
          </w:tcPr>
          <w:p>
            <w:pPr>
              <w:spacing w:before="0" w:after="0"/>
              <w:jc w:val="left"/>
            </w:pPr>
            <w:r>
              <w:rPr>
                <w:rFonts w:ascii="Arial" w:hAnsi="Arial"/>
                <w:b w:val="0"/>
                <w:color w:val="333333"/>
                <w:sz w:val="19"/>
              </w:rPr>
              <w:t>$87,600 / bay</w:t>
            </w:r>
          </w:p>
        </w:tc>
      </w:tr>
      <w:tr>
        <w:tc>
          <w:tcPr>
            <w:tcW w:type="dxa" w:w="2340"/>
            <w:shd w:val="clear" w:color="auto" w:fill="EBF4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3744" w:type="dxa"/>
          </w:tcPr>
          <w:p>
            <w:pPr>
              <w:spacing w:before="0" w:after="0"/>
              <w:jc w:val="left"/>
            </w:pPr>
            <w:r>
              <w:rPr>
                <w:rFonts w:ascii="Arial" w:hAnsi="Arial"/>
                <w:b w:val="0"/>
                <w:color w:val="333333"/>
                <w:sz w:val="19"/>
              </w:rPr>
              <w:t>Moderate (55% avg utilization)</w:t>
            </w:r>
          </w:p>
        </w:tc>
        <w:tc>
          <w:tcPr>
            <w:tcW w:type="dxa" w:w="2340"/>
            <w:shd w:val="clear" w:color="auto" w:fill="EBF4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304" w:type="dxa"/>
          </w:tcPr>
          <w:p>
            <w:pPr>
              <w:spacing w:before="0" w:after="0"/>
              <w:jc w:val="left"/>
            </w:pPr>
            <w:r>
              <w:rPr>
                <w:rFonts w:ascii="Arial" w:hAnsi="Arial"/>
                <w:b w:val="0"/>
                <w:color w:val="333333"/>
                <w:sz w:val="19"/>
              </w:rPr>
              <w:t>55% of 12 hrs/day</w:t>
            </w:r>
          </w:p>
        </w:tc>
        <w:tc>
          <w:tcPr>
            <w:tcW w:type="dxa" w:w="2340"/>
            <w:shd w:val="clear" w:color="auto" w:fill="EBF4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015" w:type="dxa"/>
          </w:tcPr>
          <w:p>
            <w:pPr>
              <w:spacing w:before="0" w:after="0"/>
              <w:jc w:val="left"/>
            </w:pPr>
            <w:r>
              <w:rPr>
                <w:rFonts w:ascii="Arial" w:hAnsi="Arial"/>
                <w:b w:val="0"/>
                <w:color w:val="333333"/>
                <w:sz w:val="19"/>
              </w:rPr>
              <w:t>$55/hr</w:t>
            </w:r>
          </w:p>
        </w:tc>
        <w:tc>
          <w:tcPr>
            <w:tcW w:type="dxa" w:w="2340"/>
            <w:shd w:val="clear" w:color="auto" w:fill="EBF4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304" w:type="dxa"/>
          </w:tcPr>
          <w:p>
            <w:pPr>
              <w:spacing w:before="0" w:after="0"/>
              <w:jc w:val="left"/>
            </w:pPr>
            <w:r>
              <w:rPr>
                <w:rFonts w:ascii="Arial" w:hAnsi="Arial"/>
                <w:b/>
                <w:color w:val="2A6041"/>
                <w:sz w:val="19"/>
              </w:rPr>
              <w:t>$132,330 / bay</w:t>
            </w:r>
          </w:p>
        </w:tc>
      </w:tr>
      <w:tr>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3744" w:type="dxa"/>
          </w:tcPr>
          <w:p>
            <w:pPr>
              <w:spacing w:before="0" w:after="0"/>
              <w:jc w:val="left"/>
            </w:pPr>
            <w:r>
              <w:rPr>
                <w:rFonts w:ascii="Arial" w:hAnsi="Arial"/>
                <w:b w:val="0"/>
                <w:color w:val="333333"/>
                <w:sz w:val="19"/>
              </w:rPr>
              <w:t>Optimistic (70% avg utilization)</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304" w:type="dxa"/>
          </w:tcPr>
          <w:p>
            <w:pPr>
              <w:spacing w:before="0" w:after="0"/>
              <w:jc w:val="left"/>
            </w:pPr>
            <w:r>
              <w:rPr>
                <w:rFonts w:ascii="Arial" w:hAnsi="Arial"/>
                <w:b w:val="0"/>
                <w:color w:val="333333"/>
                <w:sz w:val="19"/>
              </w:rPr>
              <w:t>70% of 12 hrs/day</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015" w:type="dxa"/>
          </w:tcPr>
          <w:p>
            <w:pPr>
              <w:spacing w:before="0" w:after="0"/>
              <w:jc w:val="left"/>
            </w:pPr>
            <w:r>
              <w:rPr>
                <w:rFonts w:ascii="Arial" w:hAnsi="Arial"/>
                <w:b w:val="0"/>
                <w:color w:val="333333"/>
                <w:sz w:val="19"/>
              </w:rPr>
              <w:t>$60/hr</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304" w:type="dxa"/>
          </w:tcPr>
          <w:p>
            <w:pPr>
              <w:spacing w:before="0" w:after="0"/>
              <w:jc w:val="left"/>
            </w:pPr>
            <w:r>
              <w:rPr>
                <w:rFonts w:ascii="Arial" w:hAnsi="Arial"/>
                <w:b w:val="0"/>
                <w:color w:val="333333"/>
                <w:sz w:val="19"/>
              </w:rPr>
              <w:t>$183,960 / bay</w:t>
            </w:r>
          </w:p>
        </w:tc>
      </w:tr>
    </w:tbl>
    <w:p>
      <w:pPr>
        <w:spacing w:before="20" w:after="60"/>
        <w:ind w:left="432"/>
      </w:pPr>
      <w:r>
        <w:rPr>
          <w:rFonts w:ascii="Arial" w:hAnsi="Arial"/>
          <w:i/>
          <w:color w:val="8B6914"/>
          <w:sz w:val="17"/>
        </w:rPr>
        <w:t>⚠  * 12-hr operational day; actual utilization will be back-weighted to evenings and weekends; blended rate reflects mix of walk-in, member, and corporate bookings</w:t>
      </w:r>
    </w:p>
    <w:p>
      <w:pPr>
        <w:spacing w:before="0" w:after="120"/>
      </w:pPr>
    </w:p>
    <w:p>
      <w:pPr>
        <w:spacing w:before="40" w:after="80"/>
      </w:pPr>
      <w:r>
        <w:rPr>
          <w:rFonts w:ascii="Arial" w:hAnsi="Arial"/>
          <w:i w:val="0"/>
          <w:color w:val="333333"/>
          <w:sz w:val="21"/>
        </w:rPr>
        <w:t>At 2 bays and moderate utilization, Fairway Golf Club targets $250,000–$270,000 in annual bay rental revenue before membership premiums, AI coaching subscriptions, beverage sales, corporate events, and merchandise. Phase 1 financial modeling projects break-even at approximately 22% utilization — a conservative threshold suggesting meaningful downside protection.</w:t>
      </w:r>
    </w:p>
    <w:p>
      <w:r>
        <w:br w:type="page"/>
      </w:r>
    </w:p>
    <w:p>
      <w:pPr>
        <w:spacing w:before="360" w:after="120"/>
        <w:pBdr>
          <w:bottom w:val="single" w:sz="8" w:space="4" w:color="2A6041"/>
        </w:pBdr>
      </w:pPr>
      <w:r>
        <w:rPr>
          <w:rFonts w:ascii="Arial" w:hAnsi="Arial"/>
          <w:b/>
          <w:color w:val="0D2137"/>
          <w:sz w:val="32"/>
        </w:rPr>
        <w:t>Section 5: Fort Belvoir Military Community</w:t>
      </w:r>
    </w:p>
    <w:p>
      <w:pPr>
        <w:spacing w:before="240" w:after="120"/>
      </w:pPr>
      <w:r>
        <w:rPr>
          <w:rFonts w:ascii="Arial" w:hAnsi="Arial"/>
          <w:b/>
          <w:color w:val="2A6041"/>
          <w:sz w:val="26"/>
        </w:rPr>
        <w:t>5.1 Scale of the Opportunity</w:t>
      </w:r>
    </w:p>
    <w:p>
      <w:pPr>
        <w:spacing w:before="40" w:after="80"/>
      </w:pPr>
      <w:r>
        <w:rPr>
          <w:rFonts w:ascii="Arial" w:hAnsi="Arial"/>
          <w:i w:val="0"/>
          <w:color w:val="333333"/>
          <w:sz w:val="21"/>
        </w:rPr>
        <w:t>Fort Belvoir, located approximately 5 miles from Workhouse Arts Center, is not a typical military installation. Following BRAC 2005 consolidations, it became one of the most significant DoD employment centers in the country — and one of the most compelling adjacent customer populations for Fairway Golf Club.</w:t>
      </w:r>
    </w:p>
    <w:p>
      <w:pPr>
        <w:spacing w:before="0" w:after="160"/>
      </w:pPr>
    </w:p>
    <w:tbl>
      <w:tblPr>
        <w:tblW w:type="auto" w:w="0"/>
        <w:jc w:val="left"/>
        <w:tblLook w:firstColumn="1" w:firstRow="1" w:lastColumn="0" w:lastRow="0" w:noHBand="0" w:noVBand="1" w:val="04A0"/>
      </w:tblPr>
      <w:tblGrid>
        <w:gridCol w:w="4680"/>
        <w:gridCol w:w="4680"/>
      </w:tblGrid>
      <w:tr>
        <w:tc>
          <w:tcPr>
            <w:tcW w:type="dxa" w:w="4680"/>
            <w:shd w:val="clear" w:color="auto" w:fill="EBF4EE"/>
            <w:tcBorders>
              <w:top w:val="single" w:sz="4" w:space="0" w:color="CCCCCC"/>
              <w:left w:val="single" w:sz="4" w:space="0" w:color="CCCCCC"/>
              <w:bottom w:val="single" w:sz="4" w:space="0" w:color="CCCCCC"/>
              <w:right w:val="single" w:sz="4" w:space="0" w:color="CCCCCC"/>
            </w:tcBorders>
            <w:tcMar>
              <w:top w:w="120" w:type="dxa"/>
              <w:bottom w:w="120" w:type="dxa"/>
              <w:left w:w="140" w:type="dxa"/>
              <w:right w:w="140" w:type="dxa"/>
            </w:tcMar>
            <w:tcW w:w="4752" w:type="dxa"/>
          </w:tcPr>
          <w:p>
            <w:pPr>
              <w:spacing w:before="0" w:after="0"/>
              <w:jc w:val="left"/>
            </w:pPr>
            <w:r>
              <w:rPr>
                <w:rFonts w:ascii="Arial" w:hAnsi="Arial"/>
                <w:b/>
                <w:color w:val="0D2137"/>
                <w:sz w:val="22"/>
              </w:rPr>
              <w:t>By the Numbers (2020 Census / Wikipedia)</w:t>
            </w:r>
          </w:p>
          <w:p>
            <w:pPr>
              <w:spacing w:before="40" w:after="0"/>
              <w:jc w:val="left"/>
            </w:pPr>
            <w:r>
              <w:rPr>
                <w:rFonts w:ascii="Arial" w:hAnsi="Arial"/>
                <w:b/>
                <w:color w:val="2A6041"/>
                <w:sz w:val="44"/>
              </w:rPr>
              <w:t>51,000+</w:t>
            </w:r>
          </w:p>
          <w:p>
            <w:pPr>
              <w:spacing w:before="40" w:after="0"/>
              <w:jc w:val="left"/>
            </w:pPr>
            <w:r>
              <w:rPr>
                <w:rFonts w:ascii="Arial" w:hAnsi="Arial"/>
                <w:b w:val="0"/>
                <w:color w:val="333333"/>
                <w:sz w:val="19"/>
              </w:rPr>
              <w:t>Total Fort Belvoir employees</w:t>
            </w:r>
          </w:p>
          <w:p>
            <w:pPr>
              <w:spacing w:before="40" w:after="0"/>
              <w:jc w:val="left"/>
            </w:pPr>
            <w:r>
              <w:rPr>
                <w:rFonts w:ascii="Arial" w:hAnsi="Arial"/>
                <w:b w:val="0"/>
                <w:color w:val="FFFFFF"/>
                <w:sz w:val="12"/>
              </w:rPr>
              <w:t xml:space="preserve"> </w:t>
            </w:r>
          </w:p>
          <w:p>
            <w:pPr>
              <w:spacing w:before="40" w:after="0"/>
              <w:jc w:val="left"/>
            </w:pPr>
            <w:r>
              <w:rPr>
                <w:rFonts w:ascii="Arial" w:hAnsi="Arial"/>
                <w:b w:val="0"/>
                <w:color w:val="666666"/>
                <w:sz w:val="19"/>
              </w:rPr>
              <w:t>"Nearly twice as many workers as the Pentagon"</w:t>
            </w:r>
          </w:p>
          <w:p>
            <w:pPr>
              <w:spacing w:before="40" w:after="0"/>
              <w:jc w:val="left"/>
            </w:pPr>
            <w:r>
              <w:rPr>
                <w:rFonts w:ascii="Arial" w:hAnsi="Arial"/>
                <w:b w:val="0"/>
                <w:color w:val="FFFFFF"/>
                <w:sz w:val="12"/>
              </w:rPr>
              <w:t xml:space="preserve"> </w:t>
            </w:r>
          </w:p>
          <w:p>
            <w:pPr>
              <w:spacing w:before="40" w:after="0"/>
              <w:jc w:val="left"/>
            </w:pPr>
            <w:r>
              <w:rPr>
                <w:rFonts w:ascii="Arial" w:hAnsi="Arial"/>
                <w:b/>
                <w:color w:val="0D2137"/>
                <w:sz w:val="32"/>
              </w:rPr>
              <w:t>$97,290</w:t>
            </w:r>
          </w:p>
          <w:p>
            <w:pPr>
              <w:spacing w:before="40" w:after="0"/>
              <w:jc w:val="left"/>
            </w:pPr>
            <w:r>
              <w:rPr>
                <w:rFonts w:ascii="Arial" w:hAnsi="Arial"/>
                <w:b w:val="0"/>
                <w:color w:val="333333"/>
                <w:sz w:val="19"/>
              </w:rPr>
              <w:t>Median household income (Fort Belvoir CDP, Census)</w:t>
            </w:r>
          </w:p>
          <w:p>
            <w:pPr>
              <w:spacing w:before="40" w:after="0"/>
              <w:jc w:val="left"/>
            </w:pPr>
            <w:r>
              <w:rPr>
                <w:rFonts w:ascii="Arial" w:hAnsi="Arial"/>
                <w:b w:val="0"/>
                <w:color w:val="333333"/>
                <w:sz w:val="19"/>
              </w:rPr>
              <w:t>51.5% hold bachelor's degree or higher</w:t>
            </w:r>
          </w:p>
        </w:tc>
        <w:tc>
          <w:tcPr>
            <w:tcW w:type="dxa" w:w="4680"/>
            <w:shd w:val="clear" w:color="auto" w:fill="FDF6E8"/>
            <w:tcBorders>
              <w:top w:val="single" w:sz="4" w:space="0" w:color="CCCCCC"/>
              <w:left w:val="single" w:sz="4" w:space="0" w:color="CCCCCC"/>
              <w:bottom w:val="single" w:sz="4" w:space="0" w:color="CCCCCC"/>
              <w:right w:val="single" w:sz="4" w:space="0" w:color="CCCCCC"/>
            </w:tcBorders>
            <w:tcMar>
              <w:top w:w="120" w:type="dxa"/>
              <w:bottom w:w="120" w:type="dxa"/>
              <w:left w:w="140" w:type="dxa"/>
              <w:right w:w="140" w:type="dxa"/>
            </w:tcMar>
            <w:tcW w:w="4752" w:type="dxa"/>
          </w:tcPr>
          <w:p>
            <w:pPr>
              <w:spacing w:before="0" w:after="0"/>
              <w:jc w:val="left"/>
            </w:pPr>
            <w:r>
              <w:rPr>
                <w:rFonts w:ascii="Arial" w:hAnsi="Arial"/>
                <w:b/>
                <w:color w:val="0D2137"/>
                <w:sz w:val="22"/>
              </w:rPr>
              <w:t>Who Works at Fort Belvoir</w:t>
            </w:r>
          </w:p>
          <w:p>
            <w:pPr>
              <w:spacing w:before="40" w:after="0"/>
              <w:jc w:val="left"/>
            </w:pPr>
            <w:r>
              <w:rPr>
                <w:rFonts w:ascii="Arial" w:hAnsi="Arial"/>
                <w:b w:val="0"/>
                <w:color w:val="333333"/>
                <w:sz w:val="19"/>
              </w:rPr>
              <w:t>• Active duty Army (29th Infantry Division, plus 10 Army major commands)</w:t>
            </w:r>
          </w:p>
          <w:p>
            <w:pPr>
              <w:spacing w:before="40" w:after="0"/>
              <w:jc w:val="left"/>
            </w:pPr>
            <w:r>
              <w:rPr>
                <w:rFonts w:ascii="Arial" w:hAnsi="Arial"/>
                <w:b w:val="0"/>
                <w:color w:val="333333"/>
                <w:sz w:val="19"/>
              </w:rPr>
              <w:t>• DoD civilians and defense contractors</w:t>
            </w:r>
          </w:p>
          <w:p>
            <w:pPr>
              <w:spacing w:before="40" w:after="0"/>
              <w:jc w:val="left"/>
            </w:pPr>
            <w:r>
              <w:rPr>
                <w:rFonts w:ascii="Arial" w:hAnsi="Arial"/>
                <w:b w:val="0"/>
                <w:color w:val="333333"/>
                <w:sz w:val="19"/>
              </w:rPr>
              <w:t>• Defense Logistics Agency (headquarters)</w:t>
            </w:r>
          </w:p>
          <w:p>
            <w:pPr>
              <w:spacing w:before="40" w:after="0"/>
              <w:jc w:val="left"/>
            </w:pPr>
            <w:r>
              <w:rPr>
                <w:rFonts w:ascii="Arial" w:hAnsi="Arial"/>
                <w:b w:val="0"/>
                <w:color w:val="333333"/>
                <w:sz w:val="19"/>
              </w:rPr>
              <w:t>• National Geospatial-Intelligence Agency (NGA Campus East)</w:t>
            </w:r>
          </w:p>
          <w:p>
            <w:pPr>
              <w:spacing w:before="40" w:after="0"/>
              <w:jc w:val="left"/>
            </w:pPr>
            <w:r>
              <w:rPr>
                <w:rFonts w:ascii="Arial" w:hAnsi="Arial"/>
                <w:b w:val="0"/>
                <w:color w:val="333333"/>
                <w:sz w:val="19"/>
              </w:rPr>
              <w:t>• Missile Defense Agency, DTRA, DCAA, DAU</w:t>
            </w:r>
          </w:p>
          <w:p>
            <w:pPr>
              <w:spacing w:before="40" w:after="0"/>
              <w:jc w:val="left"/>
            </w:pPr>
            <w:r>
              <w:rPr>
                <w:rFonts w:ascii="Arial" w:hAnsi="Arial"/>
                <w:b w:val="0"/>
                <w:color w:val="333333"/>
                <w:sz w:val="19"/>
              </w:rPr>
              <w:t>• 26 Department of Defense agencies</w:t>
            </w:r>
          </w:p>
          <w:p>
            <w:pPr>
              <w:spacing w:before="40" w:after="0"/>
              <w:jc w:val="left"/>
            </w:pPr>
            <w:r>
              <w:rPr>
                <w:rFonts w:ascii="Arial" w:hAnsi="Arial"/>
                <w:b w:val="0"/>
                <w:color w:val="333333"/>
                <w:sz w:val="19"/>
              </w:rPr>
              <w:t>• 86.6% of CDP households are married couples (Census 2020)</w:t>
            </w:r>
          </w:p>
          <w:p>
            <w:pPr>
              <w:spacing w:before="40" w:after="0"/>
              <w:jc w:val="left"/>
            </w:pPr>
            <w:r>
              <w:rPr>
                <w:rFonts w:ascii="Arial" w:hAnsi="Arial"/>
                <w:b w:val="0"/>
                <w:color w:val="333333"/>
                <w:sz w:val="19"/>
              </w:rPr>
              <w:t>• Avg. household size: 4.21 people</w:t>
            </w:r>
          </w:p>
        </w:tc>
      </w:tr>
    </w:tbl>
    <w:p>
      <w:pPr>
        <w:spacing w:before="0" w:after="200"/>
      </w:pPr>
    </w:p>
    <w:p>
      <w:pPr>
        <w:spacing w:before="240" w:after="120"/>
      </w:pPr>
      <w:r>
        <w:rPr>
          <w:rFonts w:ascii="Arial" w:hAnsi="Arial"/>
          <w:b/>
          <w:color w:val="2A6041"/>
          <w:sz w:val="26"/>
        </w:rPr>
        <w:t>5.2 Military Golf Culture &amp; Segment Value</w:t>
      </w:r>
    </w:p>
    <w:p>
      <w:pPr>
        <w:spacing w:before="40" w:after="80"/>
      </w:pPr>
      <w:r>
        <w:rPr>
          <w:rFonts w:ascii="Arial" w:hAnsi="Arial"/>
          <w:i w:val="0"/>
          <w:color w:val="333333"/>
          <w:sz w:val="21"/>
        </w:rPr>
        <w:t>Golf has historically been deeply embedded in military culture, particularly among officers and senior non-commissioned officers. Fort Belvoir-specific indicators:</w:t>
      </w:r>
    </w:p>
    <w:p>
      <w:pPr>
        <w:pStyle w:val="ListBullet"/>
        <w:spacing w:before="20" w:after="40"/>
      </w:pPr>
      <w:r>
        <w:rPr>
          <w:rFonts w:ascii="Arial" w:hAnsi="Arial"/>
          <w:b w:val="0"/>
          <w:color w:val="333333"/>
          <w:sz w:val="20"/>
        </w:rPr>
        <w:t>Woody's Golf Course (Fort Belvoir Golf Course): On-base 18-hole facility with active use by active duty, retirees, and DoD civilians — a directly accessible pipeline of motivated golfers who would benefit from Fairway's AI coaching.</w:t>
      </w:r>
    </w:p>
    <w:p>
      <w:pPr>
        <w:pStyle w:val="ListBullet"/>
        <w:spacing w:before="20" w:after="40"/>
      </w:pPr>
      <w:r>
        <w:rPr>
          <w:rFonts w:ascii="Arial" w:hAnsi="Arial"/>
          <w:b w:val="0"/>
          <w:color w:val="333333"/>
          <w:sz w:val="20"/>
        </w:rPr>
        <w:t>Cultural fit: The data-driven, metrics-focused nature of Fairway's Golfer360 platform mirrors the culture of military and DoD professionals — a population that responds strongly to measurable progress tracking.</w:t>
      </w:r>
    </w:p>
    <w:p>
      <w:pPr>
        <w:pStyle w:val="ListBullet"/>
        <w:spacing w:before="20" w:after="40"/>
      </w:pPr>
      <w:r>
        <w:rPr>
          <w:rFonts w:ascii="Arial" w:hAnsi="Arial"/>
          <w:b w:val="0"/>
          <w:color w:val="333333"/>
          <w:sz w:val="20"/>
        </w:rPr>
        <w:t>Corporate group bookings: Fort Belvoir agencies and units represent a significant events opportunity. Agency nights, unit socials, and contractor team-building outings could drive regular block bookings.</w:t>
      </w:r>
    </w:p>
    <w:p>
      <w:pPr>
        <w:pStyle w:val="ListBullet"/>
        <w:spacing w:before="20" w:after="40"/>
      </w:pPr>
      <w:r>
        <w:rPr>
          <w:rFonts w:ascii="Arial" w:hAnsi="Arial"/>
          <w:b w:val="0"/>
          <w:color w:val="333333"/>
          <w:sz w:val="20"/>
        </w:rPr>
        <w:t>MWR Partnership potential: A relationship with Fort Belvoir's Morale, Welfare and Recreation (MWR) program could direct active duty and retirees to Fairway as a preferred off-base recreational destination.</w:t>
      </w:r>
    </w:p>
    <w:p>
      <w:pPr>
        <w:spacing w:before="0" w:after="80"/>
      </w:pPr>
    </w:p>
    <w:p>
      <w:pPr>
        <w:spacing w:before="40" w:after="80"/>
      </w:pPr>
      <w:r>
        <w:rPr>
          <w:rFonts w:ascii="Arial" w:hAnsi="Arial"/>
          <w:i w:val="0"/>
          <w:color w:val="333333"/>
          <w:sz w:val="21"/>
        </w:rPr>
        <w:t>The 51,000-person Fort Belvoir workforce represents a sustained, predictable customer pipeline within a 5-8 minute drive of Workhouse Arts Center — a population that skews toward disciplined, recreational-activity-oriented adults with above-average education and household income.</w:t>
      </w:r>
    </w:p>
    <w:p>
      <w:r>
        <w:br w:type="page"/>
      </w:r>
    </w:p>
    <w:p>
      <w:pPr>
        <w:spacing w:before="360" w:after="120"/>
        <w:pBdr>
          <w:bottom w:val="single" w:sz="8" w:space="4" w:color="2A6041"/>
        </w:pBdr>
      </w:pPr>
      <w:r>
        <w:rPr>
          <w:rFonts w:ascii="Arial" w:hAnsi="Arial"/>
          <w:b/>
          <w:color w:val="0D2137"/>
          <w:sz w:val="32"/>
        </w:rPr>
        <w:t>Section 6: Strategic Assessment</w:t>
      </w:r>
    </w:p>
    <w:p>
      <w:pPr>
        <w:spacing w:before="240" w:after="120"/>
      </w:pPr>
      <w:r>
        <w:rPr>
          <w:rFonts w:ascii="Arial" w:hAnsi="Arial"/>
          <w:b/>
          <w:color w:val="2A6041"/>
          <w:sz w:val="26"/>
        </w:rPr>
        <w:t>6.1 SWOT Analysis</w:t>
      </w:r>
    </w:p>
    <w:p>
      <w:pPr>
        <w:spacing w:before="0" w:after="120"/>
      </w:pPr>
    </w:p>
    <w:tbl>
      <w:tblPr>
        <w:tblW w:type="auto" w:w="0"/>
        <w:jc w:val="left"/>
        <w:tblLook w:firstColumn="1" w:firstRow="1" w:lastColumn="0" w:lastRow="0" w:noHBand="0" w:noVBand="1" w:val="04A0"/>
      </w:tblPr>
      <w:tblGrid>
        <w:gridCol w:w="4680"/>
        <w:gridCol w:w="4680"/>
      </w:tblGrid>
      <w:tr>
        <w:tc>
          <w:tcPr>
            <w:tcW w:type="dxa" w:w="4680"/>
            <w:shd w:val="clear" w:color="auto" w:fill="E8F5E9"/>
            <w:tcBorders>
              <w:top w:val="single" w:sz="4" w:space="0" w:color="CCCCCC"/>
              <w:left w:val="single" w:sz="4" w:space="0" w:color="CCCCCC"/>
              <w:bottom w:val="single" w:sz="4" w:space="0" w:color="CCCCCC"/>
              <w:right w:val="single" w:sz="4" w:space="0" w:color="CCCCCC"/>
            </w:tcBorders>
            <w:tcMar>
              <w:top w:w="120" w:type="dxa"/>
              <w:bottom w:w="120" w:type="dxa"/>
              <w:left w:w="140" w:type="dxa"/>
              <w:right w:w="140" w:type="dxa"/>
            </w:tcMar>
            <w:tcW w:w="4752" w:type="dxa"/>
          </w:tcPr>
          <w:p>
            <w:pPr>
              <w:spacing w:before="0" w:after="0"/>
              <w:jc w:val="left"/>
            </w:pPr>
            <w:r>
              <w:rPr>
                <w:rFonts w:ascii="Arial" w:hAnsi="Arial"/>
                <w:b/>
                <w:color w:val="2A6041"/>
                <w:sz w:val="22"/>
              </w:rPr>
              <w:t>STRENGTHS</w:t>
            </w:r>
          </w:p>
          <w:p>
            <w:pPr>
              <w:spacing w:before="60" w:after="0"/>
              <w:jc w:val="left"/>
            </w:pPr>
            <w:r>
              <w:rPr>
                <w:rFonts w:ascii="Arial" w:hAnsi="Arial"/>
                <w:b w:val="0"/>
                <w:color w:val="333333"/>
                <w:sz w:val="19"/>
              </w:rPr>
              <w:t>• Zero direct competitors in the trade area — first-mover advantage in an untapped corridor</w:t>
            </w:r>
          </w:p>
          <w:p>
            <w:pPr>
              <w:spacing w:before="60" w:after="0"/>
              <w:jc w:val="left"/>
            </w:pPr>
            <w:r>
              <w:rPr>
                <w:rFonts w:ascii="Arial" w:hAnsi="Arial"/>
                <w:b w:val="0"/>
                <w:color w:val="333333"/>
                <w:sz w:val="19"/>
              </w:rPr>
              <w:t>• Five golf courses within 7 miles = proven active golfer demand, ready to convert to indoor practice</w:t>
            </w:r>
          </w:p>
          <w:p>
            <w:pPr>
              <w:spacing w:before="60" w:after="0"/>
              <w:jc w:val="left"/>
            </w:pPr>
            <w:r>
              <w:rPr>
                <w:rFonts w:ascii="Arial" w:hAnsi="Arial"/>
                <w:b w:val="0"/>
                <w:color w:val="333333"/>
                <w:sz w:val="19"/>
              </w:rPr>
              <w:t>• Workhouse Arts Center campus provides arts district credibility, existing foot traffic, brewery co-tenant</w:t>
            </w:r>
          </w:p>
          <w:p>
            <w:pPr>
              <w:spacing w:before="60" w:after="0"/>
              <w:jc w:val="left"/>
            </w:pPr>
            <w:r>
              <w:rPr>
                <w:rFonts w:ascii="Arial" w:hAnsi="Arial"/>
                <w:b w:val="0"/>
                <w:color w:val="333333"/>
                <w:sz w:val="19"/>
              </w:rPr>
              <w:t>• Operator Salesforce/Agentforce expertise is a defensible technology moat competitors cannot easily replicate</w:t>
            </w:r>
          </w:p>
        </w:tc>
        <w:tc>
          <w:tcPr>
            <w:tcW w:type="dxa" w:w="4680"/>
            <w:shd w:val="clear" w:color="auto" w:fill="FFF8E1"/>
            <w:tcBorders>
              <w:top w:val="single" w:sz="4" w:space="0" w:color="CCCCCC"/>
              <w:left w:val="single" w:sz="4" w:space="0" w:color="CCCCCC"/>
              <w:bottom w:val="single" w:sz="4" w:space="0" w:color="CCCCCC"/>
              <w:right w:val="single" w:sz="4" w:space="0" w:color="CCCCCC"/>
            </w:tcBorders>
            <w:tcMar>
              <w:top w:w="120" w:type="dxa"/>
              <w:bottom w:w="120" w:type="dxa"/>
              <w:left w:w="140" w:type="dxa"/>
              <w:right w:w="140" w:type="dxa"/>
            </w:tcMar>
            <w:tcW w:w="4752" w:type="dxa"/>
          </w:tcPr>
          <w:p>
            <w:pPr>
              <w:spacing w:before="0" w:after="0"/>
              <w:jc w:val="left"/>
            </w:pPr>
            <w:r>
              <w:rPr>
                <w:rFonts w:ascii="Arial" w:hAnsi="Arial"/>
                <w:b/>
                <w:color w:val="8B6914"/>
                <w:sz w:val="22"/>
              </w:rPr>
              <w:t>WEAKNESSES</w:t>
            </w:r>
          </w:p>
          <w:p>
            <w:pPr>
              <w:spacing w:before="60" w:after="0"/>
              <w:jc w:val="left"/>
            </w:pPr>
            <w:r>
              <w:rPr>
                <w:rFonts w:ascii="Arial" w:hAnsi="Arial"/>
                <w:b w:val="0"/>
                <w:color w:val="333333"/>
                <w:sz w:val="19"/>
              </w:rPr>
              <w:t>• 2-bay Phase 1 limits capacity during peak demand — Saturday evenings could have waitlists quickly</w:t>
            </w:r>
          </w:p>
          <w:p>
            <w:pPr>
              <w:spacing w:before="60" w:after="0"/>
              <w:jc w:val="left"/>
            </w:pPr>
            <w:r>
              <w:rPr>
                <w:rFonts w:ascii="Arial" w:hAnsi="Arial"/>
                <w:b w:val="0"/>
                <w:color w:val="333333"/>
                <w:sz w:val="19"/>
              </w:rPr>
              <w:t>• New entrant brand in a market with no indoor golf precedent; awareness-building required</w:t>
            </w:r>
          </w:p>
          <w:p>
            <w:pPr>
              <w:spacing w:before="60" w:after="0"/>
              <w:jc w:val="left"/>
            </w:pPr>
            <w:r>
              <w:rPr>
                <w:rFonts w:ascii="Arial" w:hAnsi="Arial"/>
                <w:b w:val="0"/>
                <w:color w:val="333333"/>
                <w:sz w:val="19"/>
              </w:rPr>
              <w:t>• Virginia ABC licensing for on-site beverage sales adds complexity and 6-12 month timeline risk</w:t>
            </w:r>
          </w:p>
        </w:tc>
      </w:tr>
      <w:tr>
        <w:tc>
          <w:tcPr>
            <w:tcW w:type="dxa" w:w="4680"/>
            <w:shd w:val="clear" w:color="auto" w:fill="E8F0FE"/>
            <w:tcBorders>
              <w:top w:val="single" w:sz="4" w:space="0" w:color="CCCCCC"/>
              <w:left w:val="single" w:sz="4" w:space="0" w:color="CCCCCC"/>
              <w:bottom w:val="single" w:sz="4" w:space="0" w:color="CCCCCC"/>
              <w:right w:val="single" w:sz="4" w:space="0" w:color="CCCCCC"/>
            </w:tcBorders>
            <w:tcMar>
              <w:top w:w="120" w:type="dxa"/>
              <w:bottom w:w="120" w:type="dxa"/>
              <w:left w:w="140" w:type="dxa"/>
              <w:right w:w="140" w:type="dxa"/>
            </w:tcMar>
            <w:tcW w:w="4752" w:type="dxa"/>
          </w:tcPr>
          <w:p>
            <w:pPr>
              <w:spacing w:before="0" w:after="0"/>
              <w:jc w:val="left"/>
            </w:pPr>
            <w:r>
              <w:rPr>
                <w:rFonts w:ascii="Arial" w:hAnsi="Arial"/>
                <w:b/>
                <w:color w:val="1A4A8A"/>
                <w:sz w:val="22"/>
              </w:rPr>
              <w:t>OPPORTUNITIES</w:t>
            </w:r>
          </w:p>
          <w:p>
            <w:pPr>
              <w:spacing w:before="60" w:after="0"/>
              <w:jc w:val="left"/>
            </w:pPr>
            <w:r>
              <w:rPr>
                <w:rFonts w:ascii="Arial" w:hAnsi="Arial"/>
                <w:b w:val="0"/>
                <w:color w:val="333333"/>
                <w:sz w:val="19"/>
              </w:rPr>
              <w:t>• Phase 2 expansion to 4 bays — low incremental capital cost once core buildout is complete</w:t>
            </w:r>
          </w:p>
          <w:p>
            <w:pPr>
              <w:spacing w:before="60" w:after="0"/>
              <w:jc w:val="left"/>
            </w:pPr>
            <w:r>
              <w:rPr>
                <w:rFonts w:ascii="Arial" w:hAnsi="Arial"/>
                <w:b w:val="0"/>
                <w:color w:val="333333"/>
                <w:sz w:val="19"/>
              </w:rPr>
              <w:t>• Fort Belvoir MWR partnership could unlock thousands of military and retiree members</w:t>
            </w:r>
          </w:p>
          <w:p>
            <w:pPr>
              <w:spacing w:before="60" w:after="0"/>
              <w:jc w:val="left"/>
            </w:pPr>
            <w:r>
              <w:rPr>
                <w:rFonts w:ascii="Arial" w:hAnsi="Arial"/>
                <w:b w:val="0"/>
                <w:color w:val="333333"/>
                <w:sz w:val="19"/>
              </w:rPr>
              <w:t>• Corporate events market: DoD agencies, defense contractors, law firms and consulting firms in Fairfax County</w:t>
            </w:r>
          </w:p>
          <w:p>
            <w:pPr>
              <w:spacing w:before="60" w:after="0"/>
              <w:jc w:val="left"/>
            </w:pPr>
            <w:r>
              <w:rPr>
                <w:rFonts w:ascii="Arial" w:hAnsi="Arial"/>
                <w:b w:val="0"/>
                <w:color w:val="333333"/>
                <w:sz w:val="19"/>
              </w:rPr>
              <w:t>• Growing millennial/Gen Z golf participation builds the next generation of loyal Fairway members</w:t>
            </w:r>
          </w:p>
        </w:tc>
        <w:tc>
          <w:tcPr>
            <w:tcW w:type="dxa" w:w="4680"/>
            <w:shd w:val="clear" w:color="auto" w:fill="FEECEC"/>
            <w:tcBorders>
              <w:top w:val="single" w:sz="4" w:space="0" w:color="CCCCCC"/>
              <w:left w:val="single" w:sz="4" w:space="0" w:color="CCCCCC"/>
              <w:bottom w:val="single" w:sz="4" w:space="0" w:color="CCCCCC"/>
              <w:right w:val="single" w:sz="4" w:space="0" w:color="CCCCCC"/>
            </w:tcBorders>
            <w:tcMar>
              <w:top w:w="120" w:type="dxa"/>
              <w:bottom w:w="120" w:type="dxa"/>
              <w:left w:w="140" w:type="dxa"/>
              <w:right w:w="140" w:type="dxa"/>
            </w:tcMar>
            <w:tcW w:w="4752" w:type="dxa"/>
          </w:tcPr>
          <w:p>
            <w:pPr>
              <w:spacing w:before="0" w:after="0"/>
              <w:jc w:val="left"/>
            </w:pPr>
            <w:r>
              <w:rPr>
                <w:rFonts w:ascii="Arial" w:hAnsi="Arial"/>
                <w:b/>
                <w:color w:val="8B1A1A"/>
                <w:sz w:val="22"/>
              </w:rPr>
              <w:t>THREATS</w:t>
            </w:r>
          </w:p>
          <w:p>
            <w:pPr>
              <w:spacing w:before="60" w:after="0"/>
              <w:jc w:val="left"/>
            </w:pPr>
            <w:r>
              <w:rPr>
                <w:rFonts w:ascii="Arial" w:hAnsi="Arial"/>
                <w:b w:val="0"/>
                <w:color w:val="333333"/>
                <w:sz w:val="19"/>
              </w:rPr>
              <w:t>• National chains (Five Iron Golf, Topgolf Swing Suites) may enter this corridor once market is validated</w:t>
            </w:r>
          </w:p>
          <w:p>
            <w:pPr>
              <w:spacing w:before="60" w:after="0"/>
              <w:jc w:val="left"/>
            </w:pPr>
            <w:r>
              <w:rPr>
                <w:rFonts w:ascii="Arial" w:hAnsi="Arial"/>
                <w:b w:val="0"/>
                <w:color w:val="333333"/>
                <w:sz w:val="19"/>
              </w:rPr>
              <w:t>• Consumer-grade simulator hardware continues to improve — at-home competition is a long-term risk</w:t>
            </w:r>
          </w:p>
          <w:p>
            <w:pPr>
              <w:spacing w:before="60" w:after="0"/>
              <w:jc w:val="left"/>
            </w:pPr>
            <w:r>
              <w:rPr>
                <w:rFonts w:ascii="Arial" w:hAnsi="Arial"/>
                <w:b w:val="0"/>
                <w:color w:val="333333"/>
                <w:sz w:val="19"/>
              </w:rPr>
              <w:t>• Workhouse Arts Center lease negotiations: space availability and terms are not yet confirmed</w:t>
            </w:r>
          </w:p>
        </w:tc>
      </w:tr>
    </w:tbl>
    <w:p>
      <w:pPr>
        <w:spacing w:before="0" w:after="240"/>
      </w:pPr>
    </w:p>
    <w:p>
      <w:pPr>
        <w:spacing w:before="240" w:after="120"/>
      </w:pPr>
      <w:r>
        <w:rPr>
          <w:rFonts w:ascii="Arial" w:hAnsi="Arial"/>
          <w:b/>
          <w:color w:val="2A6041"/>
          <w:sz w:val="26"/>
        </w:rPr>
        <w:t>6.2 Investment Thesis</w:t>
      </w:r>
    </w:p>
    <w:tbl>
      <w:tblPr>
        <w:tblW w:type="auto" w:w="0"/>
        <w:jc w:val="center"/>
        <w:tblLook w:firstColumn="1" w:firstRow="1" w:lastColumn="0" w:lastRow="0" w:noHBand="0" w:noVBand="1" w:val="04A0"/>
      </w:tblPr>
      <w:tblGrid>
        <w:gridCol w:w="9360"/>
      </w:tblGrid>
      <w:tr>
        <w:tc>
          <w:tcPr>
            <w:tcW w:type="dxa" w:w="9360"/>
            <w:shd w:val="clear" w:color="auto" w:fill="FDF6E8"/>
            <w:tcBorders>
              <w:top w:val="single" w:sz="4" w:space="0" w:color="C9963B"/>
              <w:left w:val="single" w:sz="4" w:space="0" w:color="C9963B"/>
              <w:bottom w:val="single" w:sz="4" w:space="0" w:color="C9963B"/>
              <w:right w:val="single" w:sz="4" w:space="0" w:color="C9963B"/>
            </w:tcBorders>
            <w:tcMar>
              <w:top w:w="120" w:type="dxa"/>
              <w:bottom w:w="120" w:type="dxa"/>
              <w:left w:w="160" w:type="dxa"/>
              <w:right w:w="160" w:type="dxa"/>
            </w:tcMar>
          </w:tcPr>
          <w:p>
            <w:pPr>
              <w:spacing w:before="0" w:after="120"/>
            </w:pPr>
            <w:r>
              <w:rPr>
                <w:rFonts w:ascii="Arial" w:hAnsi="Arial"/>
                <w:b/>
                <w:color w:val="0D2137"/>
                <w:sz w:val="24"/>
              </w:rPr>
              <w:t>The Case for Fairway Golf Club</w:t>
            </w:r>
          </w:p>
          <w:p>
            <w:pPr>
              <w:spacing w:before="0" w:after="0"/>
            </w:pPr>
            <w:r>
              <w:rPr>
                <w:rFonts w:ascii="Arial" w:hAnsi="Arial"/>
                <w:color w:val="333333"/>
                <w:sz w:val="21"/>
              </w:rPr>
              <w:t>The Lorton / Fairfax Station corridor presents a rare convergence of high purchasing power, active golf demand, and complete absence of indoor golf supply. Five public golf courses within 7 miles signal a large, active golfer population. Fort Belvoir's 51,000-person workforce sits 5 minutes away. Fairfax County's $130K+ median household income ensures the target customer can afford premium membership pricing. And every existing competitor is at least 10 miles north. Fairway Golf Club does not need to create demand. It needs to be in the right place when existing demand looks for a home — and no one else is there yet.</w:t>
            </w:r>
          </w:p>
        </w:tc>
      </w:tr>
    </w:tbl>
    <w:p>
      <w:pPr>
        <w:spacing w:before="0" w:after="240"/>
      </w:pPr>
    </w:p>
    <w:p>
      <w:pPr>
        <w:spacing w:before="240" w:after="120"/>
      </w:pPr>
      <w:r>
        <w:rPr>
          <w:rFonts w:ascii="Arial" w:hAnsi="Arial"/>
          <w:b/>
          <w:color w:val="2A6041"/>
          <w:sz w:val="26"/>
        </w:rPr>
        <w:t>6.3 Data Verification Checklist</w:t>
      </w:r>
    </w:p>
    <w:p>
      <w:pPr>
        <w:spacing w:before="40" w:after="80"/>
      </w:pPr>
      <w:r>
        <w:rPr>
          <w:rFonts w:ascii="Arial" w:hAnsi="Arial"/>
          <w:i w:val="0"/>
          <w:color w:val="333333"/>
          <w:sz w:val="21"/>
        </w:rPr>
        <w:t>The following items should be independently verified before finalizing investor materials:</w:t>
      </w:r>
    </w:p>
    <w:p>
      <w:pPr>
        <w:pStyle w:val="ListBullet"/>
        <w:spacing w:before="20" w:after="40"/>
      </w:pPr>
      <w:r>
        <w:rPr>
          <w:rFonts w:ascii="Arial" w:hAnsi="Arial"/>
          <w:b w:val="0"/>
          <w:color w:val="333333"/>
          <w:sz w:val="20"/>
        </w:rPr>
        <w:t>Current ACS 5-year estimates for Lorton, Fairfax Station, Woodbridge, and Dale City census tracts (Census.gov)</w:t>
      </w:r>
    </w:p>
    <w:p>
      <w:pPr>
        <w:pStyle w:val="ListBullet"/>
        <w:spacing w:before="20" w:after="40"/>
      </w:pPr>
      <w:r>
        <w:rPr>
          <w:rFonts w:ascii="Arial" w:hAnsi="Arial"/>
          <w:b w:val="0"/>
          <w:color w:val="333333"/>
          <w:sz w:val="20"/>
        </w:rPr>
        <w:t>Current pricing at CAFDExGO Golf, Uni Indoor Golf, Five Iron Golf DC, and ParCiti (call or visit each)</w:t>
      </w:r>
    </w:p>
    <w:p>
      <w:pPr>
        <w:pStyle w:val="ListBullet"/>
        <w:spacing w:before="20" w:after="40"/>
      </w:pPr>
      <w:r>
        <w:rPr>
          <w:rFonts w:ascii="Arial" w:hAnsi="Arial"/>
          <w:b w:val="0"/>
          <w:color w:val="333333"/>
          <w:sz w:val="20"/>
        </w:rPr>
        <w:t>Competitor status: confirm all listed facilities are currently open and active</w:t>
      </w:r>
    </w:p>
    <w:p>
      <w:pPr>
        <w:pStyle w:val="ListBullet"/>
        <w:spacing w:before="20" w:after="40"/>
      </w:pPr>
      <w:r>
        <w:rPr>
          <w:rFonts w:ascii="Arial" w:hAnsi="Arial"/>
          <w:b w:val="0"/>
          <w:color w:val="333333"/>
          <w:sz w:val="20"/>
        </w:rPr>
        <w:t>Laurel Hill Golf Club annual round count and peak-season demand data (call NVRPA)</w:t>
      </w:r>
    </w:p>
    <w:p>
      <w:pPr>
        <w:pStyle w:val="ListBullet"/>
        <w:spacing w:before="20" w:after="40"/>
      </w:pPr>
      <w:r>
        <w:rPr>
          <w:rFonts w:ascii="Arial" w:hAnsi="Arial"/>
          <w:b w:val="0"/>
          <w:color w:val="333333"/>
          <w:sz w:val="20"/>
        </w:rPr>
        <w:t>Fort Belvoir MWR golf participation and on-base population data (Fort Belvoir public affairs)</w:t>
      </w:r>
    </w:p>
    <w:p>
      <w:pPr>
        <w:pStyle w:val="ListBullet"/>
        <w:spacing w:before="20" w:after="40"/>
      </w:pPr>
      <w:r>
        <w:rPr>
          <w:rFonts w:ascii="Arial" w:hAnsi="Arial"/>
          <w:b w:val="0"/>
          <w:color w:val="333333"/>
          <w:sz w:val="20"/>
        </w:rPr>
        <w:t>Indoor golf industry market size reports (NGCOA, Golf Business Network, IBISWorld)</w:t>
      </w:r>
    </w:p>
    <w:p>
      <w:pPr>
        <w:pStyle w:val="ListBullet"/>
        <w:spacing w:before="20" w:after="40"/>
      </w:pPr>
      <w:r>
        <w:rPr>
          <w:rFonts w:ascii="Arial" w:hAnsi="Arial"/>
          <w:b w:val="0"/>
          <w:color w:val="333333"/>
          <w:sz w:val="20"/>
        </w:rPr>
        <w:t>Workhouse Arts Center available square footage, lease rate, and existing foot traffic data</w:t>
      </w:r>
    </w:p>
    <w:p>
      <w:pPr>
        <w:spacing w:before="0" w:after="320"/>
      </w:pPr>
    </w:p>
    <w:p>
      <w:pPr>
        <w:spacing w:before="160"/>
        <w:jc w:val="center"/>
      </w:pPr>
      <w:r>
        <w:rPr>
          <w:rFonts w:ascii="Arial" w:hAnsi="Arial"/>
          <w:i/>
          <w:color w:val="666666"/>
          <w:sz w:val="18"/>
        </w:rPr>
        <w:t>Prepared by Fairway Golf Club operating team  |  July 2026  |  CONFIDENTIAL — For investor use only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