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hint="eastAsia" w:cs="Times New Roman"/>
        </w:rPr>
      </w:pPr>
    </w:p>
    <w:p>
      <w:pPr>
        <w:pStyle w:val="24"/>
      </w:pPr>
      <w:bookmarkStart w:id="0" w:name="_Ref161819603"/>
      <w:bookmarkEnd w:id="0"/>
      <w:bookmarkStart w:id="1" w:name="_Toc29604"/>
      <w:r>
        <w:rPr>
          <w:rFonts w:hint="eastAsia"/>
        </w:rPr>
        <w:t>信号处理</w:t>
      </w:r>
      <w:r>
        <w:t>详细设计</w:t>
      </w:r>
      <w:bookmarkEnd w:id="1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文件编号</w:t>
      </w: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本模板的使用建立在假设用户已经基本了解了“软件开发指引（独立文件）”的内容的基础上。在使用本模板时出现关于其用法的问题，请参考“软件开发指引”相关章节</w:t>
      </w:r>
    </w:p>
    <w:p>
      <w:pPr>
        <w:rPr>
          <w:rFonts w:cs="Times New Roman"/>
          <w:color w:val="auto"/>
        </w:rPr>
      </w:pPr>
    </w:p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Compliant with Functional safety Standard (ISO26262)</w:t>
      </w: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□Required 需要 </w:t>
      </w:r>
      <w:r>
        <w:rPr>
          <w:rFonts w:cs="Times New Roman"/>
          <w:color w:val="auto"/>
          <w:sz w:val="22"/>
          <w:szCs w:val="22"/>
        </w:rPr>
        <w:sym w:font="Wingdings 2" w:char="0052"/>
      </w:r>
      <w:r>
        <w:rPr>
          <w:rFonts w:cs="Times New Roman"/>
          <w:color w:val="auto"/>
          <w:sz w:val="22"/>
          <w:szCs w:val="22"/>
        </w:rPr>
        <w:t xml:space="preserve">  No不符合功能安全标准(ISO26262) □</w:t>
      </w:r>
    </w:p>
    <w:p>
      <w:pPr>
        <w:rPr>
          <w:rFonts w:cs="Times New Roman"/>
        </w:rPr>
      </w:pPr>
    </w:p>
    <w:p>
      <w:pPr>
        <w:adjustRightInd w:val="0"/>
        <w:rPr>
          <w:rFonts w:cs="Times New Roman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tbl>
      <w:tblPr>
        <w:tblStyle w:val="13"/>
        <w:tblW w:w="0" w:type="auto"/>
        <w:tblInd w:w="9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批准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</w:tr>
    </w:tbl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发行日期</w:t>
      </w: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2021/0</w:t>
      </w:r>
      <w:r>
        <w:rPr>
          <w:rFonts w:hint="eastAsia" w:cs="Times New Roman"/>
          <w:color w:val="auto"/>
          <w:sz w:val="28"/>
          <w:szCs w:val="28"/>
          <w:lang w:val="en-US" w:eastAsia="zh-CN"/>
        </w:rPr>
        <w:t>7</w:t>
      </w:r>
      <w:r>
        <w:rPr>
          <w:rFonts w:cs="Times New Roman"/>
          <w:color w:val="auto"/>
          <w:sz w:val="28"/>
          <w:szCs w:val="28"/>
        </w:rPr>
        <w:t>/22</w:t>
      </w:r>
    </w:p>
    <w:p>
      <w:pPr>
        <w:adjustRightInd w:val="0"/>
        <w:jc w:val="center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发行单位</w:t>
      </w:r>
    </w:p>
    <w:p>
      <w:pPr>
        <w:adjustRightInd w:val="0"/>
        <w:jc w:val="center"/>
        <w:rPr>
          <w:rFonts w:cs="Times New Roman"/>
          <w:b/>
          <w:color w:val="0000FF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>变更历史</w:t>
      </w:r>
    </w:p>
    <w:tbl>
      <w:tblPr>
        <w:tblStyle w:val="1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058"/>
        <w:gridCol w:w="1252"/>
        <w:gridCol w:w="1326"/>
        <w:gridCol w:w="1054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审批日期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作者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35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新版</w:t>
            </w:r>
          </w:p>
        </w:tc>
        <w:tc>
          <w:tcPr>
            <w:tcW w:w="1252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326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54" w:type="dxa"/>
            <w:vMerge w:val="continue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923" w:type="dxa"/>
            <w:vMerge w:val="continue"/>
            <w:shd w:val="clear" w:color="auto" w:fill="CCECFF"/>
            <w:vAlign w:val="center"/>
          </w:tcPr>
          <w:p>
            <w:pPr>
              <w:spacing w:before="31" w:beforeLines="10" w:after="31" w:afterLines="10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--- </w:t>
            </w: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基础版本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V1.1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.1静态设计框图</w:t>
            </w:r>
          </w:p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.1.11速度解模糊流程</w:t>
            </w:r>
          </w:p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R-3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：修改2</w:t>
            </w:r>
            <w:r>
              <w:rPr>
                <w:rFonts w:cs="Times New Roman"/>
                <w:color w:val="auto"/>
                <w:sz w:val="20"/>
                <w:szCs w:val="20"/>
              </w:rPr>
              <w:t>.1组件约束</w:t>
            </w:r>
          </w:p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CR-4：修改3</w:t>
            </w:r>
            <w:r>
              <w:rPr>
                <w:rFonts w:cs="Times New Roman"/>
                <w:color w:val="auto"/>
                <w:sz w:val="20"/>
                <w:szCs w:val="20"/>
              </w:rPr>
              <w:t>.2动态组件设计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，</w:t>
            </w:r>
            <w:r>
              <w:rPr>
                <w:rFonts w:cs="Times New Roman"/>
                <w:color w:val="auto"/>
                <w:sz w:val="20"/>
                <w:szCs w:val="20"/>
              </w:rPr>
              <w:t>增加超时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处理</w:t>
            </w:r>
            <w:r>
              <w:rPr>
                <w:rFonts w:cs="Times New Roman"/>
                <w:color w:val="auto"/>
                <w:sz w:val="20"/>
                <w:szCs w:val="20"/>
              </w:rPr>
              <w:t>动态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1.2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hint="eastAsia"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R-1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.7动态组件设计描述</w:t>
            </w:r>
          </w:p>
        </w:tc>
      </w:tr>
    </w:tbl>
    <w:p/>
    <w:p/>
    <w:p/>
    <w:p/>
    <w:p/>
    <w:p/>
    <w:p/>
    <w:p>
      <w:pPr>
        <w:rPr>
          <w:rFonts w:hint="eastAsia" w:eastAsiaTheme="minorEastAsia"/>
        </w:rPr>
      </w:pPr>
    </w:p>
    <w:sdt>
      <w:sdtPr>
        <w:rPr>
          <w:rFonts w:ascii="Times New Roman" w:hAnsi="Times New Roman" w:eastAsia="宋体" w:cs="Arial"/>
          <w:color w:val="000000"/>
          <w:sz w:val="21"/>
          <w:szCs w:val="18"/>
          <w:lang w:val="zh-CN" w:eastAsia="ja-JP"/>
        </w:rPr>
        <w:id w:val="198989467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Arial"/>
          <w:b/>
          <w:bCs/>
          <w:color w:val="000000"/>
          <w:sz w:val="21"/>
          <w:szCs w:val="18"/>
          <w:lang w:val="zh-CN" w:eastAsia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_Toc29604 </w:instrText>
          </w:r>
          <w:r>
            <w:fldChar w:fldCharType="separate"/>
          </w:r>
          <w:r>
            <w:rPr>
              <w:rFonts w:hint="eastAsia"/>
            </w:rPr>
            <w:t>信号处理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_Toc29604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1 </w:t>
          </w:r>
          <w:r>
            <w:t>概要</w:t>
          </w:r>
          <w:r>
            <w:tab/>
          </w:r>
          <w:r>
            <w:fldChar w:fldCharType="begin"/>
          </w:r>
          <w:r>
            <w:instrText xml:space="preserve"> PAGEREF _Toc32019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_Toc30756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 xml:space="preserve">1.2 </w:t>
          </w:r>
          <w:r>
            <w:t>参考文件</w:t>
          </w:r>
          <w:r>
            <w:tab/>
          </w:r>
          <w:r>
            <w:fldChar w:fldCharType="begin"/>
          </w:r>
          <w:r>
            <w:instrText xml:space="preserve"> PAGEREF _Toc2505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MS Mincho"/>
            </w:rPr>
            <w:t xml:space="preserve">1.3 </w:t>
          </w:r>
          <w:r>
            <w:rPr>
              <w:rFonts w:hint="eastAsia"/>
            </w:rPr>
            <w:t>用语、缩略语等定义</w:t>
          </w:r>
          <w:r>
            <w:tab/>
          </w:r>
          <w:r>
            <w:fldChar w:fldCharType="begin"/>
          </w:r>
          <w:r>
            <w:instrText xml:space="preserve"> PAGEREF _Toc12675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 w:cs="微软雅黑"/>
              <w:i w:val="0"/>
            </w:rPr>
            <w:t xml:space="preserve">2 </w:t>
          </w:r>
          <w:r>
            <w:t>制约条件</w:t>
          </w:r>
          <w:r>
            <w:tab/>
          </w:r>
          <w:r>
            <w:fldChar w:fldCharType="begin"/>
          </w:r>
          <w:r>
            <w:instrText xml:space="preserve"> PAGEREF _Toc13512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fr-FR"/>
            </w:rPr>
            <w:t>组件约束</w:t>
          </w:r>
          <w:r>
            <w:tab/>
          </w:r>
          <w:r>
            <w:fldChar w:fldCharType="begin"/>
          </w:r>
          <w:r>
            <w:instrText xml:space="preserve"> PAGEREF _Toc19021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 </w:t>
          </w:r>
          <w:r>
            <w:t>软件</w:t>
          </w:r>
          <w:r>
            <w:rPr>
              <w:rFonts w:hint="eastAsia"/>
            </w:rPr>
            <w:t>组件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_Toc16304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组件静</w:t>
          </w:r>
          <w:r>
            <w:rPr>
              <w:rFonts w:hint="eastAsia"/>
            </w:rPr>
            <w:t>态设计</w:t>
          </w:r>
          <w:r>
            <w:tab/>
          </w:r>
          <w:r>
            <w:fldChar w:fldCharType="begin"/>
          </w:r>
          <w:r>
            <w:instrText xml:space="preserve"> PAGEREF _Toc16861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组件动态设计</w:t>
          </w:r>
          <w:r>
            <w:tab/>
          </w:r>
          <w:r>
            <w:fldChar w:fldCharType="begin"/>
          </w:r>
          <w:r>
            <w:instrText xml:space="preserve"> PAGEREF _Toc18372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3.2.1 </w:t>
          </w:r>
          <w:r>
            <w:rPr>
              <w:rFonts w:hint="eastAsia"/>
              <w:lang w:val="en-US" w:eastAsia="zh-CN"/>
            </w:rPr>
            <w:t>波形配置</w:t>
          </w:r>
          <w:r>
            <w:tab/>
          </w:r>
          <w:r>
            <w:fldChar w:fldCharType="begin"/>
          </w:r>
          <w:r>
            <w:instrText xml:space="preserve"> PAGEREF _Toc13943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3.2.2 </w:t>
          </w:r>
          <w:r>
            <w:rPr>
              <w:rFonts w:hint="eastAsia"/>
              <w:lang w:val="en-US" w:eastAsia="zh-CN"/>
            </w:rPr>
            <w:t>ADC数据采集</w:t>
          </w:r>
          <w:r>
            <w:tab/>
          </w:r>
          <w:r>
            <w:fldChar w:fldCharType="begin"/>
          </w:r>
          <w:r>
            <w:instrText xml:space="preserve"> PAGEREF _Toc14361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3.2.3 一维F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_Toc7475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3.2.4 二维F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_Toc30294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3.2.5 二维幅值矩阵</w:t>
          </w:r>
          <w:r>
            <w:tab/>
          </w:r>
          <w:r>
            <w:fldChar w:fldCharType="begin"/>
          </w:r>
          <w:r>
            <w:instrText xml:space="preserve"> PAGEREF _Toc15939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4 </w:t>
          </w:r>
          <w:r>
            <w:rPr>
              <w:rFonts w:hint="eastAsia"/>
            </w:rPr>
            <w:t>功能函数详述</w:t>
          </w:r>
          <w:r>
            <w:tab/>
          </w:r>
          <w:r>
            <w:fldChar w:fldCharType="begin"/>
          </w:r>
          <w:r>
            <w:instrText xml:space="preserve"> PAGEREF _Toc26220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配置ADCBUF驱动程序的函数</w:t>
          </w:r>
          <w:r>
            <w:tab/>
          </w:r>
          <w:r>
            <w:fldChar w:fldCharType="begin"/>
          </w:r>
          <w:r>
            <w:instrText xml:space="preserve"> PAGEREF _Toc16469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一维F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_Toc1246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二维F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_Toc9253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 二维幅值矩阵功能函数</w:t>
          </w:r>
          <w:r>
            <w:tab/>
          </w:r>
          <w:r>
            <w:fldChar w:fldCharType="begin"/>
          </w:r>
          <w:r>
            <w:instrText xml:space="preserve"> PAGEREF _Toc5278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2"/>
      </w:pPr>
      <w:bookmarkStart w:id="2" w:name="_Toc32019"/>
      <w:bookmarkStart w:id="3" w:name="_Toc49777906"/>
      <w:bookmarkStart w:id="4" w:name="_Toc49777998"/>
      <w:r>
        <w:t>概要</w:t>
      </w:r>
      <w:bookmarkEnd w:id="2"/>
      <w:bookmarkEnd w:id="3"/>
      <w:bookmarkEnd w:id="4"/>
    </w:p>
    <w:p>
      <w:pPr>
        <w:pStyle w:val="20"/>
      </w:pPr>
      <w:bookmarkStart w:id="5" w:name="_Toc30756"/>
      <w:bookmarkStart w:id="6" w:name="_Toc49777907"/>
      <w:bookmarkStart w:id="7" w:name="_Toc49777326"/>
      <w:bookmarkStart w:id="8" w:name="_Toc49777999"/>
      <w:r>
        <w:t>目的</w:t>
      </w:r>
      <w:bookmarkEnd w:id="5"/>
      <w:bookmarkEnd w:id="6"/>
      <w:bookmarkEnd w:id="7"/>
      <w:bookmarkEnd w:id="8"/>
    </w:p>
    <w:p>
      <w:r>
        <w:rPr>
          <w:rFonts w:hint="eastAsia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  <w:bookmarkStart w:id="9" w:name="_Toc163909459"/>
      <w:bookmarkStart w:id="10" w:name="_Toc163909413"/>
      <w:bookmarkStart w:id="11" w:name="_Toc163909535"/>
      <w:bookmarkStart w:id="12" w:name="_Toc163909607"/>
      <w:bookmarkStart w:id="13" w:name="_Toc49777908"/>
      <w:bookmarkStart w:id="14" w:name="_Toc49777327"/>
      <w:bookmarkStart w:id="15" w:name="_Toc49778000"/>
    </w:p>
    <w:p>
      <w:pPr>
        <w:adjustRightInd w:val="0"/>
        <w:rPr>
          <w:rFonts w:cs="Times New Roman"/>
          <w:color w:val="auto"/>
          <w:sz w:val="24"/>
          <w:szCs w:val="24"/>
        </w:rPr>
      </w:pPr>
    </w:p>
    <w:bookmarkEnd w:id="9"/>
    <w:bookmarkEnd w:id="10"/>
    <w:bookmarkEnd w:id="11"/>
    <w:bookmarkEnd w:id="12"/>
    <w:p>
      <w:pPr>
        <w:pStyle w:val="20"/>
        <w:rPr>
          <w:color w:val="auto"/>
          <w:szCs w:val="24"/>
        </w:rPr>
      </w:pPr>
      <w:bookmarkStart w:id="16" w:name="_Toc2505"/>
      <w:r>
        <w:t>参考文件</w:t>
      </w:r>
      <w:bookmarkEnd w:id="13"/>
      <w:bookmarkEnd w:id="14"/>
      <w:bookmarkEnd w:id="15"/>
      <w:bookmarkEnd w:id="16"/>
    </w:p>
    <w:tbl>
      <w:tblPr>
        <w:tblStyle w:val="13"/>
        <w:tblW w:w="77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86"/>
        <w:gridCol w:w="709"/>
        <w:gridCol w:w="196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90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bookmarkStart w:id="17" w:name="_Hlk39666417"/>
            <w:r>
              <w:rPr>
                <w:rFonts w:cs="Times New Roman"/>
                <w:color w:val="auto"/>
                <w:szCs w:val="21"/>
              </w:rPr>
              <w:t>编号</w:t>
            </w:r>
          </w:p>
        </w:tc>
        <w:tc>
          <w:tcPr>
            <w:tcW w:w="2286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参考文档</w:t>
            </w:r>
          </w:p>
        </w:tc>
        <w:tc>
          <w:tcPr>
            <w:tcW w:w="709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版本</w:t>
            </w:r>
          </w:p>
        </w:tc>
        <w:tc>
          <w:tcPr>
            <w:tcW w:w="1961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发行者</w:t>
            </w:r>
          </w:p>
        </w:tc>
        <w:tc>
          <w:tcPr>
            <w:tcW w:w="194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理由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系统架构文档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IWR68xxIndustrial Radar Technical Reference Manual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bookmarkEnd w:id="17"/>
    </w:tbl>
    <w:p>
      <w:pPr>
        <w:rPr>
          <w:rFonts w:eastAsia="MS Mincho" w:cs="Times New Roman"/>
        </w:rPr>
      </w:pPr>
    </w:p>
    <w:p>
      <w:pPr>
        <w:pStyle w:val="20"/>
        <w:rPr>
          <w:rFonts w:eastAsia="MS Mincho"/>
        </w:rPr>
      </w:pPr>
      <w:bookmarkStart w:id="18" w:name="_Toc12675"/>
      <w:r>
        <w:rPr>
          <w:rFonts w:hint="eastAsia"/>
        </w:rPr>
        <w:t>用语、缩略语等定义</w:t>
      </w:r>
      <w:bookmarkEnd w:id="18"/>
    </w:p>
    <w:tbl>
      <w:tblPr>
        <w:tblStyle w:val="13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39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hint="eastAsia" w:cs="Times New Roman"/>
                <w:color w:val="auto"/>
                <w:szCs w:val="21"/>
              </w:rPr>
              <w:t>编号</w:t>
            </w:r>
          </w:p>
        </w:tc>
        <w:tc>
          <w:tcPr>
            <w:tcW w:w="239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用语、缩略语</w:t>
            </w:r>
          </w:p>
        </w:tc>
        <w:tc>
          <w:tcPr>
            <w:tcW w:w="415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SPT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信号处理工具箱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CFAR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ADC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模数转换器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4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ADAS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高级驾驶员辅助系统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5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APP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6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SRAM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静态随机存取存储器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7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FLASH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闪速存储器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8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F</w:t>
            </w:r>
            <w:r>
              <w:rPr>
                <w:rFonts w:cs="Times New Roman" w:eastAsiaTheme="minorEastAsia"/>
                <w:sz w:val="20"/>
                <w:szCs w:val="20"/>
              </w:rPr>
              <w:t>FT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9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I</w:t>
            </w:r>
            <w:r>
              <w:rPr>
                <w:rFonts w:cs="Times New Roman" w:eastAsiaTheme="minorEastAsia"/>
                <w:sz w:val="20"/>
                <w:szCs w:val="20"/>
              </w:rPr>
              <w:t>D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R</w:t>
            </w:r>
            <w:r>
              <w:rPr>
                <w:rFonts w:cs="Times New Roman" w:eastAsiaTheme="minorEastAsia"/>
                <w:sz w:val="20"/>
                <w:szCs w:val="20"/>
              </w:rPr>
              <w:t>CS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雷达横截面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H</w:t>
            </w:r>
            <w:r>
              <w:rPr>
                <w:rFonts w:cs="Times New Roman" w:eastAsiaTheme="minorEastAsia"/>
                <w:sz w:val="20"/>
                <w:szCs w:val="20"/>
              </w:rPr>
              <w:t>IST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直方图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D</w:t>
            </w:r>
            <w:r>
              <w:rPr>
                <w:rFonts w:cs="Times New Roman" w:eastAsiaTheme="minorEastAsia"/>
                <w:sz w:val="20"/>
                <w:szCs w:val="20"/>
              </w:rPr>
              <w:t>ML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确定性最大似然算法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M</w:t>
            </w:r>
            <w:r>
              <w:rPr>
                <w:rFonts w:cs="Times New Roman" w:eastAsiaTheme="minorEastAsia"/>
                <w:sz w:val="20"/>
                <w:szCs w:val="20"/>
              </w:rPr>
              <w:t>MIC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单片式微波集成电路</w:t>
            </w:r>
          </w:p>
        </w:tc>
      </w:tr>
    </w:tbl>
    <w:p>
      <w:pPr>
        <w:pStyle w:val="5"/>
      </w:pPr>
      <w:bookmarkStart w:id="19" w:name="_Toc49777910"/>
      <w:bookmarkStart w:id="20" w:name="_Toc49777329"/>
      <w:bookmarkStart w:id="21" w:name="_Toc49778002"/>
    </w:p>
    <w:p>
      <w:pPr>
        <w:pStyle w:val="22"/>
        <w:ind w:left="562" w:hanging="562"/>
        <w:rPr>
          <w:rFonts w:ascii="微软雅黑" w:hAnsi="微软雅黑" w:eastAsia="微软雅黑" w:cs="微软雅黑"/>
        </w:rPr>
      </w:pPr>
      <w:bookmarkStart w:id="22" w:name="_Toc13512"/>
      <w:r>
        <w:t>制约条件</w:t>
      </w:r>
      <w:bookmarkEnd w:id="19"/>
      <w:bookmarkEnd w:id="20"/>
      <w:bookmarkEnd w:id="21"/>
      <w:bookmarkEnd w:id="22"/>
      <w:bookmarkStart w:id="23" w:name="_Ref161819605"/>
    </w:p>
    <w:p>
      <w:pPr>
        <w:pStyle w:val="20"/>
      </w:pPr>
      <w:bookmarkStart w:id="24" w:name="_Toc19021"/>
      <w:r>
        <w:rPr>
          <w:rFonts w:hint="eastAsia"/>
          <w:lang w:val="fr-FR"/>
        </w:rPr>
        <w:t>组件约束</w:t>
      </w:r>
      <w:bookmarkEnd w:id="24"/>
    </w:p>
    <w:p>
      <w:pPr>
        <w:rPr>
          <w:lang w:val="fr-FR"/>
        </w:rPr>
      </w:pPr>
      <w:r>
        <w:rPr>
          <w:rFonts w:hint="eastAsia"/>
          <w:lang w:val="fr-FR"/>
        </w:rPr>
        <w:t>软件设计和实现约束条件如下：</w:t>
      </w:r>
      <w:r>
        <w:rPr>
          <w:lang w:val="fr-FR"/>
        </w:rPr>
        <w:t xml:space="preserve"> </w:t>
      </w:r>
    </w:p>
    <w:p>
      <w:pPr>
        <w:numPr>
          <w:ilvl w:val="0"/>
          <w:numId w:val="9"/>
        </w:numPr>
        <w:adjustRightInd w:val="0"/>
        <w:rPr>
          <w:rFonts w:hint="eastAsia"/>
          <w:lang w:val="fr-FR"/>
        </w:rPr>
      </w:pPr>
      <w:r>
        <w:rPr>
          <w:rFonts w:hint="eastAsia"/>
          <w:lang w:val="fr-FR"/>
        </w:rPr>
        <w:t>供信号处理使用的</w:t>
      </w:r>
      <w:r>
        <w:rPr>
          <w:rFonts w:hint="eastAsia"/>
          <w:lang w:val="en-US" w:eastAsia="zh-CN"/>
        </w:rPr>
        <w:t>L2空间最大为256K, L3</w:t>
      </w:r>
      <w:r>
        <w:rPr>
          <w:lang w:val="fr-FR"/>
        </w:rPr>
        <w:t>空间大小最大为</w:t>
      </w:r>
      <w:r>
        <w:rPr>
          <w:rFonts w:hint="eastAsia"/>
          <w:lang w:val="fr-FR"/>
        </w:rPr>
        <w:t>7</w:t>
      </w:r>
      <w:r>
        <w:rPr>
          <w:lang w:val="fr-FR"/>
        </w:rPr>
        <w:t>68K</w:t>
      </w:r>
      <w:r>
        <w:rPr>
          <w:rFonts w:hint="eastAsia"/>
          <w:lang w:val="fr-FR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rFonts w:hint="eastAsia"/>
          <w:lang w:val="fr-FR"/>
        </w:rPr>
        <w:t>需要考虑运行时间，在能够输出最大目标个数的情况下，运算时间不得超出系统的调度时间；</w:t>
      </w:r>
    </w:p>
    <w:p>
      <w:pPr>
        <w:numPr>
          <w:ilvl w:val="0"/>
          <w:numId w:val="9"/>
        </w:numPr>
        <w:adjustRightInd w:val="0"/>
      </w:pPr>
      <w:r>
        <w:rPr>
          <w:lang w:val="fr-FR"/>
        </w:rPr>
        <w:t>需要考虑兼容性以及软件的可移植性</w:t>
      </w:r>
      <w:r>
        <w:rPr>
          <w:rFonts w:hint="eastAsia"/>
          <w:lang w:val="fr-FR"/>
        </w:rPr>
        <w:t>，</w:t>
      </w:r>
      <w:r>
        <w:rPr>
          <w:lang w:val="fr-FR"/>
        </w:rPr>
        <w:t>便于后续维护及开发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adjustRightInd w:val="0"/>
      </w:pPr>
      <w:r>
        <w:t>模块实现需要遵循MISRA C:2012规范</w:t>
      </w:r>
      <w:r>
        <w:rPr>
          <w:rFonts w:hint="eastAsia"/>
        </w:rPr>
        <w:t>。</w:t>
      </w: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bookmarkEnd w:id="23"/>
    <w:p>
      <w:pPr>
        <w:pStyle w:val="22"/>
        <w:ind w:left="562" w:hanging="562"/>
      </w:pPr>
      <w:bookmarkStart w:id="25" w:name="_Toc16304"/>
      <w:bookmarkStart w:id="26" w:name="_Toc49777912"/>
      <w:bookmarkStart w:id="27" w:name="_Toc49778004"/>
      <w:bookmarkStart w:id="28" w:name="_Toc49777331"/>
      <w:r>
        <w:t>软件</w:t>
      </w:r>
      <w:r>
        <w:rPr>
          <w:rFonts w:hint="eastAsia"/>
        </w:rPr>
        <w:t>组件</w:t>
      </w:r>
      <w:r>
        <w:t>设计</w:t>
      </w:r>
      <w:bookmarkEnd w:id="25"/>
      <w:bookmarkEnd w:id="26"/>
      <w:bookmarkEnd w:id="27"/>
      <w:bookmarkEnd w:id="28"/>
    </w:p>
    <w:p>
      <w:pPr>
        <w:pStyle w:val="20"/>
      </w:pPr>
      <w:bookmarkStart w:id="29" w:name="_Toc49777332"/>
      <w:bookmarkStart w:id="30" w:name="_Toc16861"/>
      <w:bookmarkStart w:id="31" w:name="_Toc49778005"/>
      <w:bookmarkStart w:id="32" w:name="_Toc49777913"/>
      <w:r>
        <w:t>组件静</w:t>
      </w:r>
      <w:r>
        <w:rPr>
          <w:rFonts w:hint="eastAsia"/>
        </w:rPr>
        <w:t>态设计</w:t>
      </w:r>
      <w:bookmarkEnd w:id="29"/>
      <w:bookmarkEnd w:id="30"/>
      <w:bookmarkEnd w:id="31"/>
      <w:bookmarkEnd w:id="32"/>
    </w:p>
    <w:p>
      <w:pPr>
        <w:pStyle w:val="5"/>
        <w:ind w:firstLine="420" w:firstLineChars="0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1DFFT</w:t>
      </w:r>
    </w:p>
    <w:p>
      <w:pPr>
        <w:pStyle w:val="5"/>
        <w:jc w:val="center"/>
      </w:pPr>
      <w:r>
        <w:drawing>
          <wp:inline distT="0" distB="0" distL="114300" distR="114300">
            <wp:extent cx="5268595" cy="977900"/>
            <wp:effectExtent l="0" t="0" r="8255" b="1270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2DFFT</w:t>
      </w:r>
    </w:p>
    <w:tbl>
      <w:tblPr>
        <w:tblStyle w:val="14"/>
        <w:tblW w:w="9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71" w:hRule="atLeast"/>
        </w:trPr>
        <w:tc>
          <w:tcPr>
            <w:tcW w:w="9748" w:type="dxa"/>
          </w:tcPr>
          <w:p>
            <w:pPr>
              <w:pStyle w:val="5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4350" cy="851535"/>
                  <wp:effectExtent l="0" t="0" r="0" b="571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8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2245" cy="392430"/>
                  <wp:effectExtent l="0" t="0" r="14605" b="762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both"/>
        <w:rPr>
          <w:rFonts w:hint="default"/>
          <w:lang w:val="en-US" w:eastAsia="zh-CN"/>
        </w:rPr>
      </w:pPr>
    </w:p>
    <w:p>
      <w:pPr>
        <w:pStyle w:val="35"/>
      </w:pPr>
      <w:r>
        <w:rPr>
          <w:rFonts w:hint="eastAsia"/>
        </w:rPr>
        <w:t>目标模块静态框图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43" w:name="_GoBack"/>
    </w:p>
    <w:bookmarkEnd w:id="43"/>
    <w:p>
      <w:pPr>
        <w:pStyle w:val="33"/>
      </w:pPr>
      <w:bookmarkStart w:id="33" w:name="_Toc13943"/>
      <w:r>
        <w:rPr>
          <w:rFonts w:hint="eastAsia"/>
          <w:lang w:val="en-US" w:eastAsia="zh-CN"/>
        </w:rPr>
        <w:t>配置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考虑到内存限制此次调试波形设置为1x1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sensorStop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flushCfg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dfeDataOutputMode 1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channelCfg 15 6 0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adcCfg 2 1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adcbufCfg -1 0 0 1 1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profileCfg 0 60.25 10 6 80 0 0 46.5 0 128 2000 0 0 40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chirpCfg 0 0 0 0 0 0 0 2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chirpCfg 1 1 0 0 0 0 0 4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chirpCfg 2 2 0 0 0 0 0 2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chirpCfg 3 3 0 0 0 0 0 4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frameCfg 0 3 128 0 20 1 0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lowPower 0 1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sensorStart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42"/>
        <w:gridCol w:w="2450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54" w:type="dxa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配置command</w:t>
            </w:r>
          </w:p>
        </w:tc>
        <w:tc>
          <w:tcPr>
            <w:tcW w:w="2242" w:type="dxa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Command details</w:t>
            </w:r>
          </w:p>
        </w:tc>
        <w:tc>
          <w:tcPr>
            <w:tcW w:w="2450" w:type="dxa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Command Parameters</w:t>
            </w:r>
          </w:p>
        </w:tc>
        <w:tc>
          <w:tcPr>
            <w:tcW w:w="1576" w:type="dxa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Usage in mmW demo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/xwr68xx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sensorStop</w:t>
            </w:r>
          </w:p>
        </w:tc>
        <w:tc>
          <w:tcPr>
            <w:tcW w:w="2242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flushCfg</w:t>
            </w:r>
          </w:p>
        </w:tc>
        <w:tc>
          <w:tcPr>
            <w:tcW w:w="2242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此命令应在“sensorStop”命令之后发出，以刷新旧配置并提供新配置。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dfeDataOutputMode 1</w:t>
            </w:r>
          </w:p>
        </w:tc>
        <w:tc>
          <w:tcPr>
            <w:tcW w:w="2242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此命令中的值不应更改 在 sensorStop 和</w:t>
            </w:r>
            <w:r>
              <w:rPr>
                <w:rFonts w:hint="eastAsia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sensorStart 之间。 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这是强制性命令。 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1 - frame based chirps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2 - continuous chirping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3 - advanced frame config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支持1 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channelCfg 15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0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&lt;rxChannelEn&gt;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接收天线掩码，例如对于 4 个天线，它是 0x1111b = 15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支持 4 个天线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&lt;txChannelEn&gt; 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发射天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掩码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可以使用位掩码 0x5（即 tx1 和 tx3）启用 2 个方位角天线。 方位角和仰角天线都可以使用位掩码 0x7（即 tx1、tx2 和 tx3）启用。 可以使用位掩码 0x3（即 tx1 和 tx2）启用 2 个方位角天线。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&lt;cascading&gt;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SoC 级联，不适用，设置为 0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adcCfg 2 1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&lt;numADCBits&gt;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1是14位字节2是16为字节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&lt;adcOutputFmt&gt;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0是real、1是complex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只支complex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adcbufCfg -1 0 0 1 1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&lt;subFrameIdx&gt;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子帧索引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legacy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模式设置为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-1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&lt;adcOutputFmt&gt;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ADCBUF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输出格式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0 - 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Complex,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1-Real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&lt;SampleSwap&gt;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ADCBUF IQ swap selection: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I in LSB, Q in MSB,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1-Q in LSB, I in MSB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只支持1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&lt;ChanInterleave&gt;</w:t>
            </w:r>
          </w:p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ADCBUF channel interleave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0 - interleaved(only supported for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XWR14xx),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1 - non-interleaved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只支持1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&lt;ChirpThreshold&gt;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用于 ADCBUF 缓冲区的 Chirp 阈值配置以触发 ping /pong 缓冲开关。有效值：0-8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xwr64xx/xwr68xx/xwr18xx：仅支持值 1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只支持1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profileCfg 0 60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48.5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31.6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0 0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120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0 128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000 0 0 40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profile Identifier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Legacy frame：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(dfeOutputMode=1)：可以是任何允许的值，但每个配置只支持一个有效的配置文件 Advanced frame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：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(dfeOutputMode=3)：可以是任何允许的值，但每个子帧仅支持一个配置文件。 然而，不同的子帧可以有不同的配置文件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&lt;起始频率&gt; 以 GHz 为单位的“频率启动”（允许浮动值） 例子： 77 61.38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请参阅上面显示的 chirp 图以了解各种配置文件参数和相互依赖的约束之间的关系。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&lt;空闲时间&gt; 以 u-sec 为单位的“空闲时间”（允许浮点值） 例子： 7 7.15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&lt;adcStartTime&gt; 以 u-sec 为单位的“ADC 有效开始时间”（允许浮点值） 例子： 7 7.34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&lt;rampEndTime&gt;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以 u-sec 为单位的“斜坡结束时间”（允许浮点值） 例子： 58 216.15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&lt;txOutPower&gt; tx 天线的 Tx 输出功率back-off代码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测试了“0”的值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&lt;txPhaseShifter&gt;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用于 tx 天线的 tx 移相器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测试了“0”的值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&lt;freqSlopeConst&gt; 以 MHz/usec 为单位的线性调频“频率斜率”（允许浮点值） 例子： 68 16.83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&lt;tx开始时间&gt; 以 u-sec 为单位的“TX 开始时间”（允许浮点值） 例子： 1 2.92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&lt;numAdcSamples&gt; 在“ADC 采样时间”期间收集的 ADC 样本数为 如上面的啁啾图所示示例： 256 224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&lt;digOutSampleRate&gt; 以 ksps 为单位的 ADC 采样频率。(&lt;numAdcSamples&gt; / &lt;digOutSampleRate&gt; = "ADC 采样时间") 例子： 5500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&lt;hpfCornerFreq1&gt; HPF1（高通滤波器 1）转角频率 0: 175 kHz 1：235KHz 2：350KHz 3：700KHz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具体的值根据数据手册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&lt;hpfCornerFreq2&gt; HPF2（高通滤波器 2）转角频率 0：350KHz 1：700KHz 2：1.4兆赫 3：2.8 兆赫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具体的值根据数据手册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&lt;rxGain&gt;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以 dB 为单位的 RX 增益与 RF 增益目标的 OR 值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具体的值根据数据手册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chirpCfg 0 0 0 0 0 0 0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 起始索引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根据 mmwavelin doxygen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chirp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结束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索引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根据 mmwavelin doxygen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配置文件标识符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；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应该匹配 profileCfg-&gt;profileId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 Hz 为单位的起始频率变化（允许浮点值）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 kHz/us 为单位的频率斜率变化（允许浮点值）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 u-sec 为单位的空闲时间变化（允许浮点值）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 u-sec 为单位的 ADC 开始时间变化（允许浮点值）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只支持0</w:t>
            </w:r>
          </w:p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tx 天线启用掩码 (Tx2,Tx1) 例如 (10)b = Tx2 启用，Tx1 禁用。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单个 chirp 应仅启用一个不同的 Tx 天线 (MIMO) 或应为所有 chirp 启用相同的 TX 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frameCfg 0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0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128 0 </w:t>
            </w: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0 1 0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dfeOutputMode 应设置为 1 以使用此命令。此命令中的值可以在 sensorStop 和 sensorStart 之间更改。 当 dfeOutputMode 设置为 1 时，这是一个强制性命令。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 起始索引 (0-511)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chirp 结束索引 (chirp start index-511)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number of loops (1 to 255)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大于等于4并且为4的倍数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帧数（有效范围是 0 到 65535，0 表示无限）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以毫秒为单位的帧周期（允许浮点值）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帧不应有超过 50% 的占空比（即活动线性调频时间应 &lt;= 帧周期的 50%）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触发选择 1：软件触发 2：硬件触发。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只支持软件触发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以毫秒为单位的帧触发延迟（允许浮点值）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254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lowPower 0 1</w:t>
            </w:r>
          </w:p>
        </w:tc>
        <w:tc>
          <w:tcPr>
            <w:tcW w:w="2242" w:type="dxa"/>
            <w:vMerge w:val="restart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&lt;don’t_care&gt;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设置为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254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42" w:type="dxa"/>
            <w:vMerge w:val="continue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ADC模式 0x00：常规ADC模式 0x01：低功耗 ADC 模式（xwr6xxx 设备不支持）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使用“0”或“1”的值（取决于 profileCfg- &gt;digOutSampleRate)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>sensorStart</w:t>
            </w:r>
          </w:p>
        </w:tc>
        <w:tc>
          <w:tcPr>
            <w:tcW w:w="2242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  <w:t>N/A</w:t>
            </w:r>
          </w:p>
        </w:tc>
        <w:tc>
          <w:tcPr>
            <w:tcW w:w="2450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default" w:ascii="Times New Roman" w:hAnsi="Times New Roman" w:eastAsia="宋体" w:cs="Arial"/>
                <w:color w:val="0000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/>
    <w:p/>
    <w:p>
      <w:pPr>
        <w:pStyle w:val="33"/>
      </w:pPr>
      <w:bookmarkStart w:id="34" w:name="_Toc14361"/>
      <w:r>
        <w:rPr>
          <w:rFonts w:hint="eastAsia"/>
          <w:lang w:val="en-US" w:eastAsia="zh-CN"/>
        </w:rPr>
        <w:t>ADC数据采集</w:t>
      </w:r>
      <w:bookmarkEnd w:id="3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ADCBuf是在DSS程序中进行的配置，因为它是C674x的外设。内存大小为32KB，如下图：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0815"/>
            <wp:effectExtent l="0" t="0" r="2540" b="6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ADCBuf驱动的配置以及启用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1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调用ADCBuf驱动</w:t>
      </w:r>
    </w:p>
    <w:p>
      <w:pPr>
        <w:numPr>
          <w:ilvl w:val="0"/>
          <w:numId w:val="10"/>
        </w:num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对adcBufParams进行赋值，完成参数初始化</w:t>
      </w:r>
    </w:p>
    <w:p>
      <w:pPr>
        <w:numPr>
          <w:ilvl w:val="0"/>
          <w:numId w:val="10"/>
        </w:num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开启天线接收并讲接受的数据储存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3"/>
      </w:pPr>
      <w:bookmarkStart w:id="35" w:name="_Toc7475"/>
      <w:r>
        <w:rPr>
          <w:rFonts w:hint="eastAsia"/>
        </w:rPr>
        <w:t>一维F</w:t>
      </w:r>
      <w:r>
        <w:t>FT</w:t>
      </w:r>
      <w:bookmarkEnd w:id="35"/>
    </w:p>
    <w:p>
      <w:pPr>
        <w:jc w:val="center"/>
        <w:rPr>
          <w:rFonts w:eastAsia="MS Mincho"/>
        </w:rPr>
      </w:pPr>
      <w:r>
        <w:drawing>
          <wp:inline distT="0" distB="0" distL="114300" distR="114300">
            <wp:extent cx="5268595" cy="977900"/>
            <wp:effectExtent l="0" t="0" r="8255" b="1270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hint="eastAsia"/>
        </w:rPr>
        <w:t>一维F</w:t>
      </w:r>
      <w:r>
        <w:t>FT处理流程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RangeProcDSP 有 3 个处理阶段：</w:t>
      </w:r>
      <w:r>
        <w:rPr>
          <w:rFonts w:hint="default"/>
          <w:lang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 xml:space="preserve">通过dataIn EDMA通道引入ADC数据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 xml:space="preserve">使用 DSPlib/mmwavelib 进行 FFT 处理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通过 dataOut EDMA 通道将 FFT 结果传输到雷达立方体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使用案例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无论 TX 天线的数量如何，距离 FFT 都需要 2 个输入 EDMA 通道和 2 个输出 EDMA 通道才能以</w:t>
      </w:r>
      <w:r>
        <w:rPr>
          <w:rFonts w:hint="eastAsia"/>
          <w:lang w:val="en-US" w:eastAsia="zh-CN"/>
        </w:rPr>
        <w:t>Ping Pang</w:t>
      </w:r>
      <w:r>
        <w:rPr>
          <w:rFonts w:hint="default"/>
          <w:lang w:eastAsia="zh-CN"/>
        </w:rPr>
        <w:t xml:space="preserve">方式工作。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Ping 输入通道将数据带入本地内存“adcDataIn”的 Ping 区域，pong 通道将数据带入 pong 区域。 FFT 后，对于 2 TX 天线，本地存储器“fftout1D”中的 ping 结果被复制到雷达立方体中的 TX1 区域。 Pong 结果被复制到雷达立方体中的 TX2 区域。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对于 3 TX 天线，ping 总是处理奇数 chirp 数据，pong 总是处理偶数 chirp 数据。 距离 FFT 结果以下列格式复制到雷达立方体： </w:t>
      </w:r>
      <w:r>
        <w:rPr>
          <w:rFonts w:hint="eastAsia"/>
          <w:lang w:eastAsia="zh-CN"/>
        </w:rPr>
        <w:drawing>
          <wp:inline distT="0" distB="0" distL="114300" distR="114300">
            <wp:extent cx="5268595" cy="2266315"/>
            <wp:effectExtent l="0" t="0" r="8255" b="635"/>
            <wp:docPr id="5" name="图片 5" descr="1D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F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pStyle w:val="33"/>
      </w:pPr>
      <w:bookmarkStart w:id="36" w:name="_Toc30294"/>
      <w:r>
        <w:rPr>
          <w:rFonts w:hint="eastAsia"/>
        </w:rPr>
        <w:t>二维F</w:t>
      </w:r>
      <w:r>
        <w:t>FT</w:t>
      </w:r>
      <w:bookmarkEnd w:id="36"/>
    </w:p>
    <w:p>
      <w:pPr>
        <w:jc w:val="center"/>
        <w:rPr>
          <w:rFonts w:eastAsia="MS Mincho"/>
        </w:rPr>
      </w:pPr>
      <w:r>
        <w:object>
          <v:shape id="_x0000_i1025" o:spt="75" type="#_x0000_t75" style="height:238.9pt;width:145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35"/>
      </w:pPr>
      <w:r>
        <w:rPr>
          <w:rFonts w:hint="eastAsia"/>
        </w:rPr>
        <w:t>二维F</w:t>
      </w:r>
      <w:r>
        <w:t>FT处理流程</w:t>
      </w:r>
    </w:p>
    <w:p>
      <w:pPr>
        <w:rPr>
          <w:rFonts w:eastAsiaTheme="minorEastAsia"/>
        </w:rPr>
      </w:pPr>
      <w:r>
        <w:rPr>
          <w:rFonts w:hint="eastAsia"/>
        </w:rPr>
        <w:t>如上图，二维F</w:t>
      </w:r>
      <w:r>
        <w:t>FT</w:t>
      </w:r>
      <w:r>
        <w:rPr>
          <w:rFonts w:hint="eastAsia"/>
        </w:rPr>
        <w:t>模块</w:t>
      </w:r>
      <w:r>
        <w:t>的输入为一维</w:t>
      </w:r>
      <w:r>
        <w:rPr>
          <w:rFonts w:hint="eastAsia"/>
        </w:rPr>
        <w:t>F</w:t>
      </w:r>
      <w:r>
        <w:t>FT的</w:t>
      </w:r>
      <w:r>
        <w:rPr>
          <w:rFonts w:hint="eastAsia"/>
        </w:rPr>
        <w:t>结果，输出为二维F</w:t>
      </w:r>
      <w:r>
        <w:t>FT的结果</w:t>
      </w:r>
      <w:r>
        <w:rPr>
          <w:rFonts w:hint="eastAsia"/>
        </w:rPr>
        <w:t>。</w:t>
      </w:r>
      <w:r>
        <w:t>二维</w:t>
      </w:r>
      <w:r>
        <w:rPr>
          <w:rFonts w:hint="eastAsia"/>
        </w:rPr>
        <w:t>F</w:t>
      </w:r>
      <w:r>
        <w:t>FT主要做速度维的傅里叶变换</w:t>
      </w:r>
      <w:r>
        <w:rPr>
          <w:rFonts w:hint="eastAsia"/>
        </w:rPr>
        <w:t>。首先读取一维F</w:t>
      </w:r>
      <w:r>
        <w:t>FT的结果</w:t>
      </w:r>
      <w:r>
        <w:rPr>
          <w:rFonts w:hint="eastAsia"/>
        </w:rPr>
        <w:t>，</w:t>
      </w:r>
      <w:r>
        <w:t>将数据转置为速度维数据存储在一起的格式</w:t>
      </w:r>
      <w:r>
        <w:rPr>
          <w:rFonts w:hint="eastAsia"/>
        </w:rPr>
        <w:t>，</w:t>
      </w:r>
      <w:r>
        <w:t>之后进行相应点数的</w:t>
      </w:r>
      <w:r>
        <w:rPr>
          <w:rFonts w:hint="eastAsia"/>
        </w:rPr>
        <w:t>F</w:t>
      </w:r>
      <w:r>
        <w:t>FT操作</w:t>
      </w:r>
      <w:r>
        <w:rPr>
          <w:rFonts w:hint="eastAsia"/>
        </w:rPr>
        <w:t>，</w:t>
      </w:r>
      <w:r>
        <w:t>最终得到二维</w:t>
      </w:r>
      <w:r>
        <w:rPr>
          <w:rFonts w:hint="eastAsia"/>
        </w:rPr>
        <w:t>F</w:t>
      </w:r>
      <w:r>
        <w:t>FT的结果并输出到</w:t>
      </w:r>
      <w:r>
        <w:rPr>
          <w:rFonts w:hint="eastAsia"/>
          <w:lang w:val="en-US" w:eastAsia="zh-CN"/>
        </w:rPr>
        <w:t>L3</w:t>
      </w:r>
      <w:r>
        <w:t>中存储</w:t>
      </w:r>
      <w:r>
        <w:rPr>
          <w:rFonts w:hint="eastAsia"/>
        </w:rPr>
        <w:t>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3"/>
      </w:pPr>
      <w:bookmarkStart w:id="37" w:name="_Toc15939"/>
      <w:r>
        <w:rPr>
          <w:rFonts w:hint="eastAsia"/>
        </w:rPr>
        <w:t>二维幅值矩阵</w:t>
      </w:r>
      <w:bookmarkEnd w:id="37"/>
    </w:p>
    <w:p>
      <w:pPr>
        <w:jc w:val="center"/>
        <w:rPr>
          <w:rFonts w:eastAsiaTheme="minorEastAsia"/>
        </w:rPr>
      </w:pPr>
      <w:r>
        <w:object>
          <v:shape id="_x0000_i1026" o:spt="75" type="#_x0000_t75" style="height:245.45pt;width:193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35"/>
      </w:pPr>
      <w:r>
        <w:t>二维幅值矩阵计算流程</w:t>
      </w:r>
    </w:p>
    <w:p>
      <w:r>
        <w:t>如上图</w:t>
      </w:r>
      <w:r>
        <w:rPr>
          <w:rFonts w:hint="eastAsia"/>
        </w:rPr>
        <w:t>，二维幅值矩阵的输入值为单个接收通道的二维F</w:t>
      </w:r>
      <w:r>
        <w:t>FT的结果</w:t>
      </w:r>
      <w:r>
        <w:rPr>
          <w:rFonts w:hint="eastAsia"/>
        </w:rPr>
        <w:t>，输出为单通道的二维幅值矩阵。</w:t>
      </w:r>
      <w:r>
        <w:t>其中只计算单个通道的二维幅值</w:t>
      </w:r>
      <w:r>
        <w:rPr>
          <w:rFonts w:hint="eastAsia"/>
        </w:rPr>
        <w:t>，</w:t>
      </w:r>
      <w:r>
        <w:t>最终得出单通道的二维幅值矩阵用以速度解模糊使用</w:t>
      </w:r>
      <w:r>
        <w:rPr>
          <w:rFonts w:hint="eastAsia"/>
        </w:rPr>
        <w:t>。</w:t>
      </w:r>
    </w:p>
    <w:p/>
    <w:p>
      <w:pPr>
        <w:pStyle w:val="22"/>
      </w:pPr>
      <w:bookmarkStart w:id="38" w:name="_Toc26220"/>
      <w:r>
        <w:rPr>
          <w:rFonts w:hint="eastAsia"/>
        </w:rPr>
        <w:t>功能函数详述</w:t>
      </w:r>
      <w:bookmarkEnd w:id="38"/>
    </w:p>
    <w:p>
      <w:pPr>
        <w:pStyle w:val="20"/>
      </w:pPr>
      <w:bookmarkStart w:id="39" w:name="_Toc16469"/>
      <w:r>
        <w:rPr>
          <w:rFonts w:hint="eastAsia"/>
        </w:rPr>
        <w:t>配置ADCBUF驱动程序的函数</w:t>
      </w:r>
      <w:bookmarkEnd w:id="39"/>
    </w:p>
    <w:tbl>
      <w:tblPr>
        <w:tblStyle w:val="14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MmwDemo_dssDataPathConfigAdcBuf</w:t>
            </w:r>
            <w:r>
              <w:rPr>
                <w:rFonts w:hint="eastAsia"/>
                <w:sz w:val="20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ADCBuf的数据格式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当前ADCBuf的格式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使能Rx channels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开启Rx天线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0x2100_0000</w:t>
            </w:r>
            <w:r>
              <w:rPr>
                <w:rFonts w:hint="eastAsia"/>
                <w:sz w:val="20"/>
              </w:rPr>
              <w:t xml:space="preserve"> – </w:t>
            </w:r>
            <w:r>
              <w:rPr>
                <w:rFonts w:hint="default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设置ping/pang阈值</w:t>
            </w:r>
          </w:p>
        </w:tc>
        <w:tc>
          <w:tcPr>
            <w:tcW w:w="2603" w:type="dxa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缓存大小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</w:tbl>
    <w:p>
      <w:pPr>
        <w:pStyle w:val="5"/>
      </w:pPr>
    </w:p>
    <w:p>
      <w:pPr>
        <w:pStyle w:val="20"/>
      </w:pPr>
      <w:bookmarkStart w:id="40" w:name="_Toc1246"/>
      <w:r>
        <w:rPr>
          <w:rFonts w:hint="eastAsia"/>
        </w:rPr>
        <w:t>一维F</w:t>
      </w:r>
      <w:r>
        <w:t>FT功能函数</w:t>
      </w:r>
      <w:bookmarkEnd w:id="40"/>
    </w:p>
    <w:tbl>
      <w:tblPr>
        <w:tblStyle w:val="14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MmwDemo_processChirp</w:t>
            </w:r>
            <w:r>
              <w:rPr>
                <w:rFonts w:hint="eastAsia"/>
                <w:sz w:val="20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原始数据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MIC采样通过总线传输到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RAM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ADC data Buffer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的地址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0x2100_0000</w:t>
            </w:r>
            <w:r>
              <w:rPr>
                <w:rFonts w:hint="eastAsia"/>
                <w:sz w:val="20"/>
              </w:rPr>
              <w:t xml:space="preserve"> – </w:t>
            </w:r>
            <w:r>
              <w:rPr>
                <w:rFonts w:hint="default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发射通道1的</w:t>
            </w:r>
            <w:r>
              <w:rPr>
                <w:rFonts w:hint="eastAsia"/>
                <w:sz w:val="20"/>
                <w:lang w:val="en-US" w:eastAsia="zh-CN"/>
              </w:rPr>
              <w:t>chirps</w:t>
            </w:r>
            <w:r>
              <w:rPr>
                <w:sz w:val="20"/>
              </w:rPr>
              <w:t>数据</w:t>
            </w:r>
            <w:r>
              <w:rPr>
                <w:rFonts w:hint="eastAsia"/>
                <w:sz w:val="20"/>
                <w:lang w:val="en-US" w:eastAsia="zh-CN"/>
              </w:rPr>
              <w:t>处理</w:t>
            </w:r>
            <w:r>
              <w:rPr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发射通道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  <w:r>
              <w:rPr>
                <w:rFonts w:hint="eastAsia"/>
                <w:sz w:val="20"/>
              </w:rPr>
              <w:t>的原始数据</w:t>
            </w:r>
            <w:r>
              <w:rPr>
                <w:rFonts w:hint="eastAsia"/>
                <w:sz w:val="20"/>
                <w:lang w:val="en-US" w:eastAsia="zh-CN"/>
              </w:rPr>
              <w:t>通过ping pang缓存EDMA数据传输</w:t>
            </w:r>
            <w:r>
              <w:rPr>
                <w:sz w:val="20"/>
              </w:rPr>
              <w:t>在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RAM</w:t>
            </w:r>
            <w:r>
              <w:rPr>
                <w:rFonts w:hint="eastAsia"/>
                <w:sz w:val="20"/>
                <w:lang w:val="en-US" w:eastAsia="zh-CN"/>
              </w:rPr>
              <w:t>(L2)</w:t>
            </w:r>
            <w:r>
              <w:rPr>
                <w:sz w:val="20"/>
              </w:rPr>
              <w:t>中</w:t>
            </w:r>
            <w:r>
              <w:rPr>
                <w:rFonts w:hint="eastAsia"/>
                <w:sz w:val="20"/>
              </w:rPr>
              <w:t>经过一维F</w:t>
            </w:r>
            <w:r>
              <w:rPr>
                <w:sz w:val="20"/>
              </w:rPr>
              <w:t>FT计算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0x007E_0000</w:t>
            </w:r>
            <w:r>
              <w:rPr>
                <w:rFonts w:hint="eastAsia"/>
                <w:sz w:val="20"/>
              </w:rPr>
              <w:t xml:space="preserve"> – </w:t>
            </w:r>
            <w:r>
              <w:rPr>
                <w:rFonts w:hint="default"/>
                <w:sz w:val="20"/>
              </w:rPr>
              <w:t>0x0081_FFFF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FT结果</w:t>
            </w:r>
            <w:r>
              <w:rPr>
                <w:rFonts w:hint="eastAsia"/>
                <w:sz w:val="20"/>
                <w:lang w:val="en-US" w:eastAsia="zh-CN"/>
              </w:rPr>
              <w:t>地址（L3）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default"/>
                <w:sz w:val="20"/>
              </w:rPr>
              <w:t>0x2000_0000</w:t>
            </w:r>
            <w:r>
              <w:rPr>
                <w:rFonts w:hint="eastAsia"/>
                <w:sz w:val="20"/>
                <w:lang w:val="en-US" w:eastAsia="zh-CN"/>
              </w:rPr>
              <w:t>-</w:t>
            </w:r>
            <w:r>
              <w:rPr>
                <w:rFonts w:hint="default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FT功能</w:t>
            </w:r>
          </w:p>
        </w:tc>
      </w:tr>
    </w:tbl>
    <w:p>
      <w:pPr>
        <w:pStyle w:val="17"/>
      </w:pPr>
      <w:r>
        <w:t>SptRangeFft</w:t>
      </w:r>
    </w:p>
    <w:p/>
    <w:p>
      <w:pPr>
        <w:pStyle w:val="20"/>
      </w:pPr>
      <w:bookmarkStart w:id="41" w:name="_Toc9253"/>
      <w:r>
        <w:rPr>
          <w:rFonts w:hint="eastAsia"/>
        </w:rPr>
        <w:t>二维F</w:t>
      </w:r>
      <w:r>
        <w:t>FT功能函数</w:t>
      </w:r>
      <w:bookmarkEnd w:id="41"/>
    </w:p>
    <w:tbl>
      <w:tblPr>
        <w:tblStyle w:val="14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MmwDemo_interFrameProcessing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FT数据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FT数据结果</w:t>
            </w:r>
            <w:r>
              <w:rPr>
                <w:rFonts w:hint="eastAsia"/>
                <w:sz w:val="20"/>
              </w:rPr>
              <w:t>在S</w:t>
            </w:r>
            <w:r>
              <w:rPr>
                <w:sz w:val="20"/>
              </w:rPr>
              <w:t>RAM</w:t>
            </w:r>
            <w:r>
              <w:rPr>
                <w:rFonts w:hint="eastAsia"/>
                <w:sz w:val="20"/>
                <w:lang w:val="en-US" w:eastAsia="zh-CN"/>
              </w:rPr>
              <w:t>(L3)</w:t>
            </w:r>
            <w:r>
              <w:rPr>
                <w:sz w:val="20"/>
              </w:rPr>
              <w:t>中的存放地址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0x2000_0000</w:t>
            </w:r>
            <w:r>
              <w:rPr>
                <w:rFonts w:hint="eastAsia"/>
                <w:sz w:val="20"/>
                <w:lang w:val="en-US" w:eastAsia="zh-CN"/>
              </w:rPr>
              <w:t>-</w:t>
            </w:r>
            <w:r>
              <w:rPr>
                <w:rFonts w:hint="default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二维F</w:t>
            </w:r>
            <w:r>
              <w:rPr>
                <w:sz w:val="20"/>
              </w:rPr>
              <w:t>FT数据地址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一维F</w:t>
            </w:r>
            <w:r>
              <w:rPr>
                <w:sz w:val="20"/>
              </w:rPr>
              <w:t>FT结果</w:t>
            </w:r>
            <w:r>
              <w:rPr>
                <w:rFonts w:hint="eastAsia"/>
                <w:sz w:val="20"/>
              </w:rPr>
              <w:t>经过二维F</w:t>
            </w:r>
            <w:r>
              <w:rPr>
                <w:sz w:val="20"/>
              </w:rPr>
              <w:t>FT计算得到的结果在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RAM</w:t>
            </w:r>
            <w:r>
              <w:rPr>
                <w:rFonts w:hint="eastAsia"/>
                <w:sz w:val="20"/>
                <w:lang w:val="en-US" w:eastAsia="zh-CN"/>
              </w:rPr>
              <w:t>(L3)</w:t>
            </w:r>
            <w:r>
              <w:rPr>
                <w:sz w:val="20"/>
              </w:rPr>
              <w:t>中的地址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0x2000_0000</w:t>
            </w:r>
            <w:r>
              <w:rPr>
                <w:rFonts w:hint="eastAsia"/>
                <w:sz w:val="20"/>
                <w:lang w:val="en-US" w:eastAsia="zh-CN"/>
              </w:rPr>
              <w:t>-</w:t>
            </w:r>
            <w:r>
              <w:rPr>
                <w:rFonts w:hint="default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二维F</w:t>
            </w:r>
            <w:r>
              <w:rPr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对一维F</w:t>
            </w:r>
            <w:r>
              <w:rPr>
                <w:sz w:val="20"/>
              </w:rPr>
              <w:t>FT结果</w:t>
            </w:r>
            <w:r>
              <w:rPr>
                <w:rFonts w:hint="eastAsia"/>
                <w:sz w:val="20"/>
              </w:rPr>
              <w:t>进行处理之后的二维F</w:t>
            </w:r>
            <w:r>
              <w:rPr>
                <w:sz w:val="20"/>
              </w:rPr>
              <w:t>FT结果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>
              <w:rPr>
                <w:rFonts w:hint="eastAsia"/>
                <w:sz w:val="20"/>
              </w:rPr>
              <w:t>--</w:t>
            </w:r>
            <w:r>
              <w:rPr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二维F</w:t>
            </w:r>
            <w:r>
              <w:rPr>
                <w:sz w:val="20"/>
              </w:rPr>
              <w:t>FT功能函数</w:t>
            </w:r>
          </w:p>
        </w:tc>
      </w:tr>
    </w:tbl>
    <w:p>
      <w:pPr>
        <w:pStyle w:val="17"/>
      </w:pPr>
      <w:r>
        <w:t>SptDopplerFft</w:t>
      </w:r>
    </w:p>
    <w:p/>
    <w:p/>
    <w:p/>
    <w:p>
      <w:pPr>
        <w:pStyle w:val="20"/>
      </w:pPr>
      <w:bookmarkStart w:id="42" w:name="_Toc5278"/>
      <w:r>
        <w:rPr>
          <w:rFonts w:hint="eastAsia"/>
        </w:rPr>
        <w:t>二维幅值矩阵功能函数</w:t>
      </w:r>
      <w:bookmarkEnd w:id="42"/>
    </w:p>
    <w:tbl>
      <w:tblPr>
        <w:tblStyle w:val="14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SptMagnitudeMatrixExport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二维F</w:t>
            </w:r>
            <w:r>
              <w:rPr>
                <w:sz w:val="20"/>
              </w:rPr>
              <w:t>FT结果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二维F</w:t>
            </w:r>
            <w:r>
              <w:rPr>
                <w:sz w:val="20"/>
              </w:rPr>
              <w:t>FT</w:t>
            </w:r>
            <w:r>
              <w:rPr>
                <w:rFonts w:hint="eastAsia"/>
                <w:sz w:val="20"/>
              </w:rPr>
              <w:t>结果的S</w:t>
            </w:r>
            <w:r>
              <w:rPr>
                <w:sz w:val="20"/>
              </w:rPr>
              <w:t>RAM地址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0x40000000 – 0x4017FFFF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幅值矩阵地址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对多通道的二维</w:t>
            </w: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FT进行非相参累积之后得到的幅值矩阵</w:t>
            </w:r>
            <w:r>
              <w:rPr>
                <w:rFonts w:hint="eastAsia"/>
                <w:sz w:val="20"/>
              </w:rPr>
              <w:t>在S</w:t>
            </w:r>
            <w:r>
              <w:rPr>
                <w:sz w:val="20"/>
              </w:rPr>
              <w:t>RAM中的存储地址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0x40000000 – 0x4017FFFF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teMrModeFrame,</w:t>
            </w:r>
          </w:p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teSrModeFrame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teReferenceChirp,</w:t>
            </w:r>
          </w:p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teBaseChirp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二维幅值矩阵结果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对二维F</w:t>
            </w:r>
            <w:r>
              <w:rPr>
                <w:sz w:val="20"/>
              </w:rPr>
              <w:t>FT结果</w:t>
            </w:r>
            <w:r>
              <w:rPr>
                <w:rFonts w:hint="eastAsia"/>
                <w:sz w:val="20"/>
              </w:rPr>
              <w:t>进行处理之后的二维幅值矩阵</w:t>
            </w:r>
            <w:r>
              <w:rPr>
                <w:sz w:val="20"/>
              </w:rPr>
              <w:t>结果</w:t>
            </w: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>
              <w:rPr>
                <w:rFonts w:hint="eastAsia"/>
                <w:sz w:val="20"/>
              </w:rPr>
              <w:t>--</w:t>
            </w:r>
            <w:r>
              <w:rPr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解模糊波形的幅值矩阵计算功能</w:t>
            </w:r>
          </w:p>
        </w:tc>
      </w:tr>
    </w:tbl>
    <w:p>
      <w:pPr>
        <w:pStyle w:val="17"/>
      </w:pPr>
      <w:r>
        <w:t>SptMagnitudeMatrixExport</w:t>
      </w:r>
    </w:p>
    <w:p>
      <w:pPr>
        <w:pStyle w:val="5"/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none" w:color="auto" w:sz="0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4860"/>
      <w:gridCol w:w="1477"/>
      <w:gridCol w:w="1015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40" w:hRule="atLeast"/>
      </w:trPr>
      <w:tc>
        <w:tcPr>
          <w:tcW w:w="136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restart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  <w:color w:val="0000FF"/>
              <w:sz w:val="24"/>
            </w:rPr>
          </w:pPr>
          <w:r>
            <w:rPr>
              <w:rFonts w:hint="eastAsia" w:ascii="MS UI Gothic" w:hAnsi="MS UI Gothic"/>
              <w:b/>
              <w:color w:val="auto"/>
              <w:szCs w:val="28"/>
            </w:rPr>
            <w:t>组件详细设计</w:t>
          </w: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b/>
              <w:sz w:val="24"/>
              <w:szCs w:val="24"/>
            </w:rPr>
          </w:pPr>
          <w:r>
            <w:rPr>
              <w:rFonts w:hint="eastAsia" w:ascii="MS UI Gothic" w:hAnsi="MS UI Gothic"/>
              <w:sz w:val="20"/>
              <w:szCs w:val="20"/>
            </w:rPr>
            <w:t>项目编号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5" w:hRule="atLeast"/>
      </w:trPr>
      <w:tc>
        <w:tcPr>
          <w:tcW w:w="1368" w:type="dxa"/>
          <w:vMerge w:val="continue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rPr>
              <w:b/>
              <w:sz w:val="32"/>
              <w:szCs w:val="32"/>
            </w:rPr>
          </w:pP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0"/>
              <w:szCs w:val="20"/>
            </w:rPr>
          </w:pPr>
          <w:r>
            <w:rPr>
              <w:rFonts w:hint="eastAsia" w:ascii="MS UI Gothic" w:hAnsi="MS UI Gothic"/>
              <w:sz w:val="20"/>
              <w:szCs w:val="20"/>
            </w:rPr>
            <w:t>文件编号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36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nil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both"/>
            <w:rPr>
              <w:szCs w:val="21"/>
            </w:rPr>
          </w:pPr>
        </w:p>
      </w:tc>
      <w:tc>
        <w:tcPr>
          <w:tcW w:w="1477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版本</w:t>
          </w:r>
        </w:p>
      </w:tc>
      <w:tc>
        <w:tcPr>
          <w:tcW w:w="1015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页</w:t>
          </w:r>
          <w:r>
            <w:rPr>
              <w:rFonts w:hint="eastAsia" w:ascii="MS UI Gothic" w:hAnsi="MS UI Gothic" w:eastAsia="MS UI Gothic"/>
              <w:sz w:val="24"/>
              <w:szCs w:val="24"/>
            </w:rPr>
            <w:t xml:space="preserve"> 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begin"/>
          </w:r>
          <w:r>
            <w:rPr>
              <w:rFonts w:ascii="MS UI Gothic" w:hAnsi="MS UI Gothic" w:eastAsia="MS UI Gothic"/>
              <w:sz w:val="24"/>
              <w:szCs w:val="24"/>
            </w:rPr>
            <w:instrText xml:space="preserve"> PAGE </w:instrTex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separate"/>
          </w:r>
          <w:r>
            <w:rPr>
              <w:rFonts w:ascii="MS UI Gothic" w:hAnsi="MS UI Gothic" w:eastAsia="MS UI Gothic"/>
              <w:sz w:val="24"/>
              <w:szCs w:val="24"/>
            </w:rPr>
            <w:t>21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end"/>
          </w:r>
        </w:p>
      </w:tc>
    </w:tr>
  </w:tbl>
  <w:p>
    <w:pPr>
      <w:spacing w:line="20" w:lineRule="exact"/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ACD1"/>
    <w:multiLevelType w:val="singleLevel"/>
    <w:tmpl w:val="BFFEA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701CEA"/>
    <w:multiLevelType w:val="singleLevel"/>
    <w:tmpl w:val="DB701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11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7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4">
    <w:nsid w:val="033B2F37"/>
    <w:multiLevelType w:val="multilevel"/>
    <w:tmpl w:val="033B2F37"/>
    <w:lvl w:ilvl="0" w:tentative="0">
      <w:start w:val="1"/>
      <w:numFmt w:val="decimal"/>
      <w:pStyle w:val="22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1" w:tentative="0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5">
    <w:nsid w:val="0DB92E80"/>
    <w:multiLevelType w:val="multilevel"/>
    <w:tmpl w:val="0DB92E80"/>
    <w:lvl w:ilvl="0" w:tentative="0">
      <w:start w:val="1"/>
      <w:numFmt w:val="decimal"/>
      <w:pStyle w:val="35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162E07C2"/>
    <w:multiLevelType w:val="multilevel"/>
    <w:tmpl w:val="162E07C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abstractNum w:abstractNumId="7">
    <w:nsid w:val="34FA288E"/>
    <w:multiLevelType w:val="multilevel"/>
    <w:tmpl w:val="34FA28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3AC569BD"/>
    <w:multiLevelType w:val="multilevel"/>
    <w:tmpl w:val="3AC569BD"/>
    <w:lvl w:ilvl="0" w:tentative="0">
      <w:start w:val="1"/>
      <w:numFmt w:val="decimal"/>
      <w:pStyle w:val="17"/>
      <w:lvlText w:val="表 %1 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D53F9"/>
    <w:multiLevelType w:val="multilevel"/>
    <w:tmpl w:val="7A7D53F9"/>
    <w:lvl w:ilvl="0" w:tentative="0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  <w:color w:val="00000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551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60"/>
    <w:rsid w:val="000224B6"/>
    <w:rsid w:val="00023F0B"/>
    <w:rsid w:val="000264A9"/>
    <w:rsid w:val="000508BD"/>
    <w:rsid w:val="00063D84"/>
    <w:rsid w:val="000770BC"/>
    <w:rsid w:val="00080469"/>
    <w:rsid w:val="0008138E"/>
    <w:rsid w:val="0008329D"/>
    <w:rsid w:val="000948EF"/>
    <w:rsid w:val="000A00A2"/>
    <w:rsid w:val="000D03DF"/>
    <w:rsid w:val="000E15E5"/>
    <w:rsid w:val="000F2AB6"/>
    <w:rsid w:val="0011395C"/>
    <w:rsid w:val="00117028"/>
    <w:rsid w:val="00123373"/>
    <w:rsid w:val="00123B82"/>
    <w:rsid w:val="00151D02"/>
    <w:rsid w:val="0015764E"/>
    <w:rsid w:val="00166463"/>
    <w:rsid w:val="001734E1"/>
    <w:rsid w:val="00175ECD"/>
    <w:rsid w:val="001767DC"/>
    <w:rsid w:val="00180342"/>
    <w:rsid w:val="00190A6D"/>
    <w:rsid w:val="00194600"/>
    <w:rsid w:val="0019659D"/>
    <w:rsid w:val="001A0698"/>
    <w:rsid w:val="001C1420"/>
    <w:rsid w:val="001D35BD"/>
    <w:rsid w:val="001D44CC"/>
    <w:rsid w:val="001D68B4"/>
    <w:rsid w:val="001E47B2"/>
    <w:rsid w:val="00217E2C"/>
    <w:rsid w:val="00236332"/>
    <w:rsid w:val="00237118"/>
    <w:rsid w:val="002503AC"/>
    <w:rsid w:val="00254364"/>
    <w:rsid w:val="002572E9"/>
    <w:rsid w:val="0025734E"/>
    <w:rsid w:val="00266542"/>
    <w:rsid w:val="00271BF0"/>
    <w:rsid w:val="00272CD4"/>
    <w:rsid w:val="002C5104"/>
    <w:rsid w:val="002C6C6A"/>
    <w:rsid w:val="002C780B"/>
    <w:rsid w:val="002D4481"/>
    <w:rsid w:val="002D5FFA"/>
    <w:rsid w:val="002E71FD"/>
    <w:rsid w:val="003022CC"/>
    <w:rsid w:val="00303F65"/>
    <w:rsid w:val="00304237"/>
    <w:rsid w:val="003068DE"/>
    <w:rsid w:val="00314B25"/>
    <w:rsid w:val="003169A2"/>
    <w:rsid w:val="0033695B"/>
    <w:rsid w:val="00337C3D"/>
    <w:rsid w:val="003475AE"/>
    <w:rsid w:val="00360107"/>
    <w:rsid w:val="00361BDE"/>
    <w:rsid w:val="00375B43"/>
    <w:rsid w:val="003851C5"/>
    <w:rsid w:val="00390860"/>
    <w:rsid w:val="00393367"/>
    <w:rsid w:val="00395BD7"/>
    <w:rsid w:val="003B42E2"/>
    <w:rsid w:val="003C64CE"/>
    <w:rsid w:val="003D078B"/>
    <w:rsid w:val="003E41B0"/>
    <w:rsid w:val="003E724B"/>
    <w:rsid w:val="003F3008"/>
    <w:rsid w:val="003F529A"/>
    <w:rsid w:val="00406641"/>
    <w:rsid w:val="004271A7"/>
    <w:rsid w:val="004304F5"/>
    <w:rsid w:val="00430522"/>
    <w:rsid w:val="00443F0B"/>
    <w:rsid w:val="00451468"/>
    <w:rsid w:val="00463EFB"/>
    <w:rsid w:val="0046472A"/>
    <w:rsid w:val="00480B5A"/>
    <w:rsid w:val="00495337"/>
    <w:rsid w:val="004A16A8"/>
    <w:rsid w:val="004A3042"/>
    <w:rsid w:val="004B7DF8"/>
    <w:rsid w:val="004C0661"/>
    <w:rsid w:val="004C0907"/>
    <w:rsid w:val="004C2A66"/>
    <w:rsid w:val="004D3234"/>
    <w:rsid w:val="004D71A5"/>
    <w:rsid w:val="004F1968"/>
    <w:rsid w:val="004F4D35"/>
    <w:rsid w:val="00501C26"/>
    <w:rsid w:val="00507FD1"/>
    <w:rsid w:val="005308EB"/>
    <w:rsid w:val="00540475"/>
    <w:rsid w:val="00543605"/>
    <w:rsid w:val="00547E17"/>
    <w:rsid w:val="00553DD9"/>
    <w:rsid w:val="005629D6"/>
    <w:rsid w:val="005633C8"/>
    <w:rsid w:val="005A1399"/>
    <w:rsid w:val="005A3EE0"/>
    <w:rsid w:val="005B4248"/>
    <w:rsid w:val="005C320E"/>
    <w:rsid w:val="005C3D55"/>
    <w:rsid w:val="005C4A45"/>
    <w:rsid w:val="005D257B"/>
    <w:rsid w:val="005D3E93"/>
    <w:rsid w:val="005D4319"/>
    <w:rsid w:val="005D72B6"/>
    <w:rsid w:val="005E08F3"/>
    <w:rsid w:val="00602EFC"/>
    <w:rsid w:val="0060721D"/>
    <w:rsid w:val="00607354"/>
    <w:rsid w:val="0060740D"/>
    <w:rsid w:val="00631D3B"/>
    <w:rsid w:val="00633283"/>
    <w:rsid w:val="00655829"/>
    <w:rsid w:val="006563FF"/>
    <w:rsid w:val="00666DA8"/>
    <w:rsid w:val="00670FB8"/>
    <w:rsid w:val="0068137C"/>
    <w:rsid w:val="0068164F"/>
    <w:rsid w:val="00687B4B"/>
    <w:rsid w:val="00687C66"/>
    <w:rsid w:val="00693A0A"/>
    <w:rsid w:val="00694C73"/>
    <w:rsid w:val="006A2231"/>
    <w:rsid w:val="006B2ACD"/>
    <w:rsid w:val="006B3E2F"/>
    <w:rsid w:val="006B7F81"/>
    <w:rsid w:val="006D7146"/>
    <w:rsid w:val="00701E64"/>
    <w:rsid w:val="00725F83"/>
    <w:rsid w:val="0074009B"/>
    <w:rsid w:val="00746AEE"/>
    <w:rsid w:val="007529C1"/>
    <w:rsid w:val="0076657F"/>
    <w:rsid w:val="00771391"/>
    <w:rsid w:val="007733FB"/>
    <w:rsid w:val="007765B6"/>
    <w:rsid w:val="00786D15"/>
    <w:rsid w:val="007B0472"/>
    <w:rsid w:val="007C02A5"/>
    <w:rsid w:val="007C14D2"/>
    <w:rsid w:val="007E017E"/>
    <w:rsid w:val="007E46C1"/>
    <w:rsid w:val="007E6FBB"/>
    <w:rsid w:val="007F723E"/>
    <w:rsid w:val="007F7BA7"/>
    <w:rsid w:val="00800A7E"/>
    <w:rsid w:val="00802DFC"/>
    <w:rsid w:val="00816243"/>
    <w:rsid w:val="00816E27"/>
    <w:rsid w:val="008255A2"/>
    <w:rsid w:val="008327CA"/>
    <w:rsid w:val="0083446E"/>
    <w:rsid w:val="00882307"/>
    <w:rsid w:val="008A5BA4"/>
    <w:rsid w:val="008A7D2E"/>
    <w:rsid w:val="008B78E6"/>
    <w:rsid w:val="008C044F"/>
    <w:rsid w:val="008E6E5D"/>
    <w:rsid w:val="00900262"/>
    <w:rsid w:val="009173A2"/>
    <w:rsid w:val="00917876"/>
    <w:rsid w:val="00930EB9"/>
    <w:rsid w:val="009413C7"/>
    <w:rsid w:val="009602F2"/>
    <w:rsid w:val="0096720B"/>
    <w:rsid w:val="009707ED"/>
    <w:rsid w:val="0098366C"/>
    <w:rsid w:val="00983C3B"/>
    <w:rsid w:val="00986D44"/>
    <w:rsid w:val="009B61DF"/>
    <w:rsid w:val="009B7729"/>
    <w:rsid w:val="009C165C"/>
    <w:rsid w:val="009C17CE"/>
    <w:rsid w:val="009C42C4"/>
    <w:rsid w:val="009E08FD"/>
    <w:rsid w:val="009E3833"/>
    <w:rsid w:val="009E4B2F"/>
    <w:rsid w:val="009E4C03"/>
    <w:rsid w:val="009E518C"/>
    <w:rsid w:val="009E5461"/>
    <w:rsid w:val="009E7A28"/>
    <w:rsid w:val="009F09D6"/>
    <w:rsid w:val="009F129F"/>
    <w:rsid w:val="009F2765"/>
    <w:rsid w:val="009F33F7"/>
    <w:rsid w:val="009F3455"/>
    <w:rsid w:val="00A06CDD"/>
    <w:rsid w:val="00A079D4"/>
    <w:rsid w:val="00A10C8D"/>
    <w:rsid w:val="00A11276"/>
    <w:rsid w:val="00A137DF"/>
    <w:rsid w:val="00A233B6"/>
    <w:rsid w:val="00A2362A"/>
    <w:rsid w:val="00A253E8"/>
    <w:rsid w:val="00A25D24"/>
    <w:rsid w:val="00A3772D"/>
    <w:rsid w:val="00A378C0"/>
    <w:rsid w:val="00A37D11"/>
    <w:rsid w:val="00A4236A"/>
    <w:rsid w:val="00A437AD"/>
    <w:rsid w:val="00A47C3E"/>
    <w:rsid w:val="00A5518B"/>
    <w:rsid w:val="00A61E91"/>
    <w:rsid w:val="00A66FD7"/>
    <w:rsid w:val="00A9330B"/>
    <w:rsid w:val="00AA521A"/>
    <w:rsid w:val="00AA59B4"/>
    <w:rsid w:val="00AA6414"/>
    <w:rsid w:val="00AB5C6E"/>
    <w:rsid w:val="00AB6A96"/>
    <w:rsid w:val="00AB6E69"/>
    <w:rsid w:val="00AB71CA"/>
    <w:rsid w:val="00AC1EF8"/>
    <w:rsid w:val="00AC3D2A"/>
    <w:rsid w:val="00AD266E"/>
    <w:rsid w:val="00AF173B"/>
    <w:rsid w:val="00AF3ACF"/>
    <w:rsid w:val="00AF460A"/>
    <w:rsid w:val="00AF5C7F"/>
    <w:rsid w:val="00B129D5"/>
    <w:rsid w:val="00B12CE4"/>
    <w:rsid w:val="00B279DA"/>
    <w:rsid w:val="00B36EF0"/>
    <w:rsid w:val="00B450C7"/>
    <w:rsid w:val="00B46872"/>
    <w:rsid w:val="00B60FEF"/>
    <w:rsid w:val="00B71C93"/>
    <w:rsid w:val="00B729D9"/>
    <w:rsid w:val="00B73F9A"/>
    <w:rsid w:val="00B806D9"/>
    <w:rsid w:val="00B81CBD"/>
    <w:rsid w:val="00B866D2"/>
    <w:rsid w:val="00B93064"/>
    <w:rsid w:val="00B944FA"/>
    <w:rsid w:val="00BB60FF"/>
    <w:rsid w:val="00BC1DB1"/>
    <w:rsid w:val="00BC28F9"/>
    <w:rsid w:val="00BE232B"/>
    <w:rsid w:val="00BF7951"/>
    <w:rsid w:val="00C0478B"/>
    <w:rsid w:val="00C07B4D"/>
    <w:rsid w:val="00C205D5"/>
    <w:rsid w:val="00C57864"/>
    <w:rsid w:val="00C60CC1"/>
    <w:rsid w:val="00C61F5A"/>
    <w:rsid w:val="00C62075"/>
    <w:rsid w:val="00C644B5"/>
    <w:rsid w:val="00C70976"/>
    <w:rsid w:val="00C7612D"/>
    <w:rsid w:val="00C845BD"/>
    <w:rsid w:val="00C9273A"/>
    <w:rsid w:val="00C93442"/>
    <w:rsid w:val="00CA1704"/>
    <w:rsid w:val="00CA1D20"/>
    <w:rsid w:val="00CA3420"/>
    <w:rsid w:val="00CE48F9"/>
    <w:rsid w:val="00CF1E1E"/>
    <w:rsid w:val="00CF274F"/>
    <w:rsid w:val="00D03362"/>
    <w:rsid w:val="00D04015"/>
    <w:rsid w:val="00D10EBC"/>
    <w:rsid w:val="00D24005"/>
    <w:rsid w:val="00D252B0"/>
    <w:rsid w:val="00D42ECA"/>
    <w:rsid w:val="00D432D5"/>
    <w:rsid w:val="00D50309"/>
    <w:rsid w:val="00D56430"/>
    <w:rsid w:val="00D73031"/>
    <w:rsid w:val="00D759AD"/>
    <w:rsid w:val="00D83CEB"/>
    <w:rsid w:val="00DA4A68"/>
    <w:rsid w:val="00DC0BF4"/>
    <w:rsid w:val="00DC68AB"/>
    <w:rsid w:val="00DD2849"/>
    <w:rsid w:val="00DE1DA7"/>
    <w:rsid w:val="00DE3F81"/>
    <w:rsid w:val="00E02C42"/>
    <w:rsid w:val="00E20074"/>
    <w:rsid w:val="00E21612"/>
    <w:rsid w:val="00E265DF"/>
    <w:rsid w:val="00E279F1"/>
    <w:rsid w:val="00E37934"/>
    <w:rsid w:val="00E41E38"/>
    <w:rsid w:val="00E47185"/>
    <w:rsid w:val="00E52A61"/>
    <w:rsid w:val="00E55800"/>
    <w:rsid w:val="00E55D97"/>
    <w:rsid w:val="00E73465"/>
    <w:rsid w:val="00E75582"/>
    <w:rsid w:val="00E86C91"/>
    <w:rsid w:val="00E9507C"/>
    <w:rsid w:val="00EB17E6"/>
    <w:rsid w:val="00EB6CBB"/>
    <w:rsid w:val="00EC1FFC"/>
    <w:rsid w:val="00EC67D4"/>
    <w:rsid w:val="00ED04D1"/>
    <w:rsid w:val="00ED33DF"/>
    <w:rsid w:val="00EE4BE2"/>
    <w:rsid w:val="00F00A73"/>
    <w:rsid w:val="00F03261"/>
    <w:rsid w:val="00F03BBD"/>
    <w:rsid w:val="00F125EC"/>
    <w:rsid w:val="00F12DD7"/>
    <w:rsid w:val="00F17B73"/>
    <w:rsid w:val="00F2363E"/>
    <w:rsid w:val="00F3393C"/>
    <w:rsid w:val="00F45075"/>
    <w:rsid w:val="00F53ABC"/>
    <w:rsid w:val="00F769A8"/>
    <w:rsid w:val="00F809B3"/>
    <w:rsid w:val="00F91DFC"/>
    <w:rsid w:val="00F91F11"/>
    <w:rsid w:val="00F92763"/>
    <w:rsid w:val="00F93175"/>
    <w:rsid w:val="00F949CE"/>
    <w:rsid w:val="00F96B43"/>
    <w:rsid w:val="00F97892"/>
    <w:rsid w:val="00F97B7A"/>
    <w:rsid w:val="00FC4F4F"/>
    <w:rsid w:val="00FC7DDD"/>
    <w:rsid w:val="00FD54F7"/>
    <w:rsid w:val="00FE5869"/>
    <w:rsid w:val="013255A1"/>
    <w:rsid w:val="01621CC3"/>
    <w:rsid w:val="01F82463"/>
    <w:rsid w:val="06FF621F"/>
    <w:rsid w:val="0705506A"/>
    <w:rsid w:val="074D1A0E"/>
    <w:rsid w:val="07F0714E"/>
    <w:rsid w:val="091F4188"/>
    <w:rsid w:val="0AB7152D"/>
    <w:rsid w:val="0AD93E42"/>
    <w:rsid w:val="0AFC7037"/>
    <w:rsid w:val="0B8F44E0"/>
    <w:rsid w:val="0CA33A81"/>
    <w:rsid w:val="0D7B0600"/>
    <w:rsid w:val="0E0D5C63"/>
    <w:rsid w:val="0E211ABD"/>
    <w:rsid w:val="0E273159"/>
    <w:rsid w:val="10115474"/>
    <w:rsid w:val="10A40D3D"/>
    <w:rsid w:val="10E322EF"/>
    <w:rsid w:val="11C1119D"/>
    <w:rsid w:val="1245157E"/>
    <w:rsid w:val="12B1301F"/>
    <w:rsid w:val="17237591"/>
    <w:rsid w:val="17C7343E"/>
    <w:rsid w:val="180D3FF5"/>
    <w:rsid w:val="19F212F8"/>
    <w:rsid w:val="1A33693B"/>
    <w:rsid w:val="1ADE19F5"/>
    <w:rsid w:val="1AF500D5"/>
    <w:rsid w:val="1D3D1877"/>
    <w:rsid w:val="214C08FC"/>
    <w:rsid w:val="21C71EB3"/>
    <w:rsid w:val="21E776ED"/>
    <w:rsid w:val="236C60C0"/>
    <w:rsid w:val="23F43473"/>
    <w:rsid w:val="24BC6121"/>
    <w:rsid w:val="24EE1C59"/>
    <w:rsid w:val="264802C3"/>
    <w:rsid w:val="28B05F87"/>
    <w:rsid w:val="2A86585E"/>
    <w:rsid w:val="2B4A6A63"/>
    <w:rsid w:val="2C414717"/>
    <w:rsid w:val="2C574AA6"/>
    <w:rsid w:val="2C7E0473"/>
    <w:rsid w:val="2DEB6EA9"/>
    <w:rsid w:val="2DF24A34"/>
    <w:rsid w:val="2E273426"/>
    <w:rsid w:val="2ECA4CC1"/>
    <w:rsid w:val="2EE87AF0"/>
    <w:rsid w:val="2F1C6B36"/>
    <w:rsid w:val="316C5EB5"/>
    <w:rsid w:val="31EA1781"/>
    <w:rsid w:val="327F64AC"/>
    <w:rsid w:val="33177A30"/>
    <w:rsid w:val="343D395D"/>
    <w:rsid w:val="3710583E"/>
    <w:rsid w:val="38334ECF"/>
    <w:rsid w:val="383603F0"/>
    <w:rsid w:val="396978B7"/>
    <w:rsid w:val="3A526D49"/>
    <w:rsid w:val="3A7053D6"/>
    <w:rsid w:val="3A8243AA"/>
    <w:rsid w:val="3BEF7BF0"/>
    <w:rsid w:val="3BF568A8"/>
    <w:rsid w:val="3C0A1991"/>
    <w:rsid w:val="3DA7116F"/>
    <w:rsid w:val="3E663B36"/>
    <w:rsid w:val="3EA65FF4"/>
    <w:rsid w:val="3F140217"/>
    <w:rsid w:val="42203FCC"/>
    <w:rsid w:val="42C07394"/>
    <w:rsid w:val="446F7323"/>
    <w:rsid w:val="448C0AE6"/>
    <w:rsid w:val="453B15CC"/>
    <w:rsid w:val="45DD59EC"/>
    <w:rsid w:val="46A0586D"/>
    <w:rsid w:val="473C160D"/>
    <w:rsid w:val="478F1802"/>
    <w:rsid w:val="47E32E73"/>
    <w:rsid w:val="48036FAE"/>
    <w:rsid w:val="4808260A"/>
    <w:rsid w:val="487A4D49"/>
    <w:rsid w:val="492058F6"/>
    <w:rsid w:val="49697C5B"/>
    <w:rsid w:val="49CA0AC5"/>
    <w:rsid w:val="49E47BFA"/>
    <w:rsid w:val="4A6750AC"/>
    <w:rsid w:val="4A8515D9"/>
    <w:rsid w:val="4AA96BB7"/>
    <w:rsid w:val="4AFF1906"/>
    <w:rsid w:val="4BF7654A"/>
    <w:rsid w:val="4C0575F5"/>
    <w:rsid w:val="4D793D57"/>
    <w:rsid w:val="4E2C411B"/>
    <w:rsid w:val="507C50FE"/>
    <w:rsid w:val="514D7C48"/>
    <w:rsid w:val="528479E1"/>
    <w:rsid w:val="53682B3F"/>
    <w:rsid w:val="53A560A2"/>
    <w:rsid w:val="53B37BD1"/>
    <w:rsid w:val="53DA4C09"/>
    <w:rsid w:val="54C42668"/>
    <w:rsid w:val="54CB5892"/>
    <w:rsid w:val="54E07C45"/>
    <w:rsid w:val="55132EC7"/>
    <w:rsid w:val="55315669"/>
    <w:rsid w:val="55527916"/>
    <w:rsid w:val="568F6DE0"/>
    <w:rsid w:val="57D0264A"/>
    <w:rsid w:val="57E034BD"/>
    <w:rsid w:val="5A892791"/>
    <w:rsid w:val="5C87627D"/>
    <w:rsid w:val="5D0E0D8F"/>
    <w:rsid w:val="5EA3342C"/>
    <w:rsid w:val="5EB719AD"/>
    <w:rsid w:val="5EE84FEE"/>
    <w:rsid w:val="5EED5413"/>
    <w:rsid w:val="5F887079"/>
    <w:rsid w:val="5F8C070A"/>
    <w:rsid w:val="604E5AEB"/>
    <w:rsid w:val="615B3774"/>
    <w:rsid w:val="64282B93"/>
    <w:rsid w:val="65F81D22"/>
    <w:rsid w:val="664559D6"/>
    <w:rsid w:val="67952E29"/>
    <w:rsid w:val="69CD1B5B"/>
    <w:rsid w:val="6A5264F1"/>
    <w:rsid w:val="6B042047"/>
    <w:rsid w:val="6BB7488B"/>
    <w:rsid w:val="6BD43A3E"/>
    <w:rsid w:val="6C4C2D6F"/>
    <w:rsid w:val="6C735115"/>
    <w:rsid w:val="6D124803"/>
    <w:rsid w:val="6F2861C8"/>
    <w:rsid w:val="6F40417A"/>
    <w:rsid w:val="6F6A3F7D"/>
    <w:rsid w:val="6F764DB5"/>
    <w:rsid w:val="6FDB6E77"/>
    <w:rsid w:val="701B7A72"/>
    <w:rsid w:val="703C22BD"/>
    <w:rsid w:val="717E2551"/>
    <w:rsid w:val="73FB31AF"/>
    <w:rsid w:val="741C7712"/>
    <w:rsid w:val="77843429"/>
    <w:rsid w:val="77B40670"/>
    <w:rsid w:val="781E5B1E"/>
    <w:rsid w:val="78C85565"/>
    <w:rsid w:val="79084990"/>
    <w:rsid w:val="79250DD4"/>
    <w:rsid w:val="7A166CE6"/>
    <w:rsid w:val="7B7366A2"/>
    <w:rsid w:val="7D153F10"/>
    <w:rsid w:val="7D1770A8"/>
    <w:rsid w:val="7DB734E0"/>
    <w:rsid w:val="7EA12B84"/>
    <w:rsid w:val="7F2E7492"/>
    <w:rsid w:val="7F5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</w:pPr>
    <w:rPr>
      <w:rFonts w:ascii="Times New Roman" w:hAnsi="Times New Roman" w:eastAsia="宋体" w:cs="Arial"/>
      <w:color w:val="000000"/>
      <w:kern w:val="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numPr>
        <w:ilvl w:val="0"/>
        <w:numId w:val="1"/>
      </w:numPr>
      <w:adjustRightInd w:val="0"/>
      <w:spacing w:before="312" w:beforeLines="100"/>
      <w:contextualSpacing/>
      <w:outlineLvl w:val="0"/>
    </w:pPr>
    <w:rPr>
      <w:rFonts w:cs="Times New Roman"/>
      <w:b/>
      <w:color w:val="000000" w:themeColor="text1"/>
      <w:sz w:val="36"/>
      <w:szCs w:val="24"/>
      <w:lang w:val="fr-F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iPriority w:val="0"/>
    <w:pPr>
      <w:numPr>
        <w:ilvl w:val="1"/>
        <w:numId w:val="2"/>
      </w:numPr>
      <w:adjustRightInd w:val="0"/>
      <w:outlineLvl w:val="1"/>
    </w:pPr>
    <w:rPr>
      <w:rFonts w:hAnsi="MS Gothic" w:cs="MS Gothic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next w:val="1"/>
    <w:semiHidden/>
    <w:qFormat/>
    <w:uiPriority w:val="0"/>
    <w:pPr>
      <w:numPr>
        <w:ilvl w:val="0"/>
        <w:numId w:val="3"/>
      </w:numPr>
    </w:pPr>
    <w:rPr>
      <w:color w:val="0000FF"/>
    </w:rPr>
  </w:style>
  <w:style w:type="paragraph" w:styleId="5">
    <w:name w:val="Body Text"/>
    <w:basedOn w:val="1"/>
    <w:link w:val="19"/>
    <w:unhideWhenUsed/>
    <w:qFormat/>
    <w:uiPriority w:val="99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List Bullet 5"/>
    <w:basedOn w:val="1"/>
    <w:semiHidden/>
    <w:qFormat/>
    <w:uiPriority w:val="0"/>
    <w:pPr>
      <w:widowControl/>
      <w:numPr>
        <w:ilvl w:val="0"/>
        <w:numId w:val="4"/>
      </w:numPr>
    </w:pPr>
    <w:rPr>
      <w:rFonts w:ascii="MS Gothic" w:hAnsi="Arial" w:eastAsia="MS Gothic"/>
      <w:sz w:val="28"/>
    </w:rPr>
  </w:style>
  <w:style w:type="paragraph" w:styleId="8">
    <w:name w:val="footer"/>
    <w:basedOn w:val="1"/>
    <w:link w:val="27"/>
    <w:unhideWhenUsed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List Number 5"/>
    <w:basedOn w:val="1"/>
    <w:semiHidden/>
    <w:qFormat/>
    <w:uiPriority w:val="0"/>
    <w:pPr>
      <w:widowControl/>
      <w:numPr>
        <w:ilvl w:val="0"/>
        <w:numId w:val="5"/>
      </w:numPr>
    </w:pPr>
    <w:rPr>
      <w:rFonts w:ascii="MS Gothic" w:hAnsi="Arial" w:eastAsia="MS Gothic"/>
      <w:sz w:val="28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snapToGrid w:val="0"/>
    </w:pPr>
    <w:rPr>
      <w:rFonts w:ascii="Century" w:hAnsi="Century" w:eastAsia="MS Mincho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表格"/>
    <w:basedOn w:val="5"/>
    <w:next w:val="1"/>
    <w:link w:val="18"/>
    <w:qFormat/>
    <w:uiPriority w:val="0"/>
    <w:pPr>
      <w:numPr>
        <w:ilvl w:val="0"/>
        <w:numId w:val="6"/>
      </w:numPr>
      <w:jc w:val="center"/>
    </w:pPr>
    <w:rPr>
      <w:b/>
    </w:rPr>
  </w:style>
  <w:style w:type="character" w:customStyle="1" w:styleId="18">
    <w:name w:val="表格 Char"/>
    <w:basedOn w:val="19"/>
    <w:link w:val="17"/>
    <w:qFormat/>
    <w:uiPriority w:val="0"/>
    <w:rPr>
      <w:rFonts w:ascii="Times New Roman" w:hAnsi="Times New Roman" w:eastAsia="宋体"/>
      <w:b/>
    </w:rPr>
  </w:style>
  <w:style w:type="character" w:customStyle="1" w:styleId="19">
    <w:name w:val="正文文本 Char"/>
    <w:basedOn w:val="15"/>
    <w:link w:val="5"/>
    <w:qFormat/>
    <w:uiPriority w:val="99"/>
  </w:style>
  <w:style w:type="paragraph" w:customStyle="1" w:styleId="20">
    <w:name w:val="二级标题"/>
    <w:basedOn w:val="5"/>
    <w:next w:val="5"/>
    <w:link w:val="21"/>
    <w:qFormat/>
    <w:uiPriority w:val="0"/>
    <w:pPr>
      <w:numPr>
        <w:ilvl w:val="1"/>
        <w:numId w:val="7"/>
      </w:numPr>
      <w:spacing w:after="0"/>
      <w:outlineLvl w:val="1"/>
    </w:pPr>
    <w:rPr>
      <w:b/>
      <w:sz w:val="24"/>
    </w:rPr>
  </w:style>
  <w:style w:type="character" w:customStyle="1" w:styleId="21">
    <w:name w:val="二级标题 Char"/>
    <w:basedOn w:val="19"/>
    <w:link w:val="20"/>
    <w:qFormat/>
    <w:uiPriority w:val="0"/>
    <w:rPr>
      <w:rFonts w:ascii="Times New Roman" w:hAnsi="Times New Roman" w:eastAsia="宋体" w:cs="Arial"/>
      <w:b/>
      <w:color w:val="000000"/>
      <w:kern w:val="0"/>
      <w:sz w:val="24"/>
      <w:szCs w:val="18"/>
    </w:rPr>
  </w:style>
  <w:style w:type="paragraph" w:customStyle="1" w:styleId="22">
    <w:name w:val="一级标题"/>
    <w:basedOn w:val="5"/>
    <w:next w:val="5"/>
    <w:link w:val="23"/>
    <w:qFormat/>
    <w:uiPriority w:val="0"/>
    <w:pPr>
      <w:numPr>
        <w:ilvl w:val="0"/>
        <w:numId w:val="7"/>
      </w:numPr>
      <w:spacing w:before="240" w:after="0"/>
      <w:outlineLvl w:val="0"/>
    </w:pPr>
    <w:rPr>
      <w:b/>
      <w:sz w:val="28"/>
    </w:rPr>
  </w:style>
  <w:style w:type="character" w:customStyle="1" w:styleId="23">
    <w:name w:val="一级标题 Char"/>
    <w:basedOn w:val="19"/>
    <w:link w:val="22"/>
    <w:qFormat/>
    <w:uiPriority w:val="0"/>
    <w:rPr>
      <w:rFonts w:ascii="Times New Roman" w:hAnsi="Times New Roman"/>
      <w:b/>
      <w:sz w:val="28"/>
    </w:rPr>
  </w:style>
  <w:style w:type="paragraph" w:customStyle="1" w:styleId="24">
    <w:name w:val="题目"/>
    <w:basedOn w:val="1"/>
    <w:next w:val="5"/>
    <w:link w:val="25"/>
    <w:qFormat/>
    <w:uiPriority w:val="0"/>
    <w:pPr>
      <w:snapToGrid/>
      <w:jc w:val="center"/>
      <w:outlineLvl w:val="0"/>
    </w:pPr>
    <w:rPr>
      <w:rFonts w:cstheme="minorBidi"/>
      <w:b/>
      <w:color w:val="auto"/>
      <w:kern w:val="2"/>
      <w:sz w:val="44"/>
      <w:szCs w:val="22"/>
    </w:rPr>
  </w:style>
  <w:style w:type="character" w:customStyle="1" w:styleId="25">
    <w:name w:val="题目 Char"/>
    <w:basedOn w:val="15"/>
    <w:link w:val="24"/>
    <w:qFormat/>
    <w:uiPriority w:val="0"/>
    <w:rPr>
      <w:rFonts w:ascii="Times New Roman" w:hAnsi="Times New Roman" w:eastAsia="宋体"/>
      <w:b/>
      <w:sz w:val="44"/>
    </w:rPr>
  </w:style>
  <w:style w:type="character" w:customStyle="1" w:styleId="26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7">
    <w:name w:val="页脚 Char"/>
    <w:basedOn w:val="15"/>
    <w:link w:val="8"/>
    <w:qFormat/>
    <w:uiPriority w:val="99"/>
    <w:rPr>
      <w:sz w:val="18"/>
      <w:szCs w:val="18"/>
    </w:rPr>
  </w:style>
  <w:style w:type="paragraph" w:customStyle="1" w:styleId="28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29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color w:val="000000" w:themeColor="text1"/>
      <w:kern w:val="0"/>
      <w:sz w:val="36"/>
      <w:szCs w:val="24"/>
      <w:lang w:val="fr-FR"/>
      <w14:textFill>
        <w14:solidFill>
          <w14:schemeClr w14:val="tx1"/>
        </w14:solidFill>
      </w14:textFill>
    </w:rPr>
  </w:style>
  <w:style w:type="character" w:customStyle="1" w:styleId="30">
    <w:name w:val="标题 2 Char"/>
    <w:basedOn w:val="15"/>
    <w:link w:val="3"/>
    <w:qFormat/>
    <w:uiPriority w:val="0"/>
    <w:rPr>
      <w:rFonts w:ascii="MS Gothic" w:hAnsi="MS Gothic" w:eastAsia="MS Gothic" w:cs="MS Gothic"/>
      <w:b/>
      <w:color w:val="000000" w:themeColor="text1"/>
      <w:kern w:val="0"/>
      <w:sz w:val="32"/>
      <w:szCs w:val="18"/>
      <w14:textFill>
        <w14:solidFill>
          <w14:schemeClr w14:val="tx1"/>
        </w14:solidFill>
      </w14:textFill>
    </w:rPr>
  </w:style>
  <w:style w:type="paragraph" w:customStyle="1" w:styleId="31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adjustRightInd/>
      <w:snapToGrid/>
      <w:spacing w:before="240" w:beforeLines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val="en-US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三级标题"/>
    <w:basedOn w:val="20"/>
    <w:next w:val="1"/>
    <w:link w:val="34"/>
    <w:qFormat/>
    <w:uiPriority w:val="0"/>
    <w:pPr>
      <w:numPr>
        <w:ilvl w:val="2"/>
      </w:numPr>
      <w:outlineLvl w:val="2"/>
    </w:pPr>
  </w:style>
  <w:style w:type="character" w:customStyle="1" w:styleId="34">
    <w:name w:val="三级标题 Char"/>
    <w:basedOn w:val="21"/>
    <w:link w:val="33"/>
    <w:qFormat/>
    <w:uiPriority w:val="0"/>
    <w:rPr>
      <w:rFonts w:ascii="Times New Roman" w:hAnsi="Times New Roman" w:eastAsia="宋体" w:cs="Arial"/>
      <w:color w:val="000000"/>
      <w:kern w:val="0"/>
      <w:sz w:val="24"/>
      <w:szCs w:val="18"/>
      <w:lang w:eastAsia="ja-JP"/>
    </w:rPr>
  </w:style>
  <w:style w:type="paragraph" w:customStyle="1" w:styleId="35">
    <w:name w:val="图例"/>
    <w:basedOn w:val="17"/>
    <w:next w:val="1"/>
    <w:link w:val="36"/>
    <w:qFormat/>
    <w:uiPriority w:val="0"/>
    <w:pPr>
      <w:numPr>
        <w:ilvl w:val="0"/>
        <w:numId w:val="8"/>
      </w:numPr>
    </w:pPr>
    <w:rPr>
      <w:rFonts w:ascii="Arial" w:hAnsi="Arial" w:cs="微软雅黑"/>
    </w:rPr>
  </w:style>
  <w:style w:type="character" w:customStyle="1" w:styleId="36">
    <w:name w:val="图例 Char"/>
    <w:basedOn w:val="18"/>
    <w:link w:val="35"/>
    <w:qFormat/>
    <w:uiPriority w:val="0"/>
    <w:rPr>
      <w:rFonts w:ascii="Arial" w:hAnsi="Arial" w:eastAsia="宋体" w:cs="微软雅黑"/>
      <w:color w:val="000000"/>
      <w:kern w:val="0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package" Target="embeddings/Microsoft_Visio___2.vsdx"/><Relationship Id="rId11" Type="http://schemas.openxmlformats.org/officeDocument/2006/relationships/image" Target="media/image6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F8AE3-FE85-412F-BBA2-3EC3B3AEDA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48</Pages>
  <Words>3039</Words>
  <Characters>17324</Characters>
  <Lines>144</Lines>
  <Paragraphs>40</Paragraphs>
  <TotalTime>1</TotalTime>
  <ScaleCrop>false</ScaleCrop>
  <LinksUpToDate>false</LinksUpToDate>
  <CharactersWithSpaces>20323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2020-08-31T07:04:00Z</dcterms:created>
  <dc:creator>董栋栋</dc:creator>
  <cp:lastModifiedBy>Impossible de la solitud</cp:lastModifiedBy>
  <dcterms:modified xsi:type="dcterms:W3CDTF">2021-07-22T07:34:34Z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6EC14388DBB04E63AD6CF7E9551F29BE</vt:lpwstr>
  </property>
</Properties>
</file>