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rPr>
          <w:rFonts w:cs="Times New Roman"/>
        </w:rPr>
      </w:pPr>
    </w:p>
    <w:p>
      <w:pPr>
        <w:pStyle w:val="27"/>
      </w:pPr>
      <w:bookmarkStart w:id="0" w:name="_Ref161819603"/>
      <w:bookmarkEnd w:id="0"/>
      <w:bookmarkStart w:id="1" w:name="_Toc29978"/>
      <w:r>
        <w:rPr>
          <w:rFonts w:hint="eastAsia"/>
        </w:rPr>
        <w:t>信号处理</w:t>
      </w:r>
      <w:r>
        <w:t>详细设计</w:t>
      </w:r>
      <w:bookmarkEnd w:id="1"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文件编号</w:t>
      </w:r>
    </w:p>
    <w:p>
      <w:pPr>
        <w:adjustRightInd w:val="0"/>
        <w:rPr>
          <w:rFonts w:cs="Times New Roman"/>
          <w:color w:val="auto"/>
          <w:sz w:val="20"/>
          <w:szCs w:val="20"/>
        </w:rPr>
      </w:pPr>
    </w:p>
    <w:p>
      <w:pPr>
        <w:adjustRightInd w:val="0"/>
        <w:rPr>
          <w:rFonts w:cs="Times New Roman"/>
          <w:color w:val="auto"/>
          <w:sz w:val="20"/>
          <w:szCs w:val="20"/>
        </w:rPr>
      </w:pPr>
    </w:p>
    <w:p>
      <w:pPr>
        <w:adjustRightInd w:val="0"/>
        <w:rPr>
          <w:rFonts w:cs="Times New Roman"/>
          <w:color w:val="auto"/>
          <w:sz w:val="20"/>
          <w:szCs w:val="20"/>
        </w:rPr>
      </w:pPr>
    </w:p>
    <w:p>
      <w:pPr>
        <w:adjustRightInd w:val="0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>本模板的使用建立在假设用户已经基本了解了“软件开发指引（独立文件）”的内容的基础上。在使用本模板时出现关于其用法的问题，请参考“软件开发指引”相关章节</w:t>
      </w:r>
    </w:p>
    <w:p>
      <w:pPr>
        <w:rPr>
          <w:rFonts w:cs="Times New Roman"/>
          <w:color w:val="auto"/>
        </w:rPr>
      </w:pPr>
    </w:p>
    <w:p>
      <w:pPr>
        <w:adjustRightInd w:val="0"/>
        <w:rPr>
          <w:rFonts w:cs="Times New Roman"/>
          <w:color w:val="auto"/>
        </w:rPr>
      </w:pPr>
    </w:p>
    <w:p>
      <w:pPr>
        <w:adjustRightInd w:val="0"/>
        <w:jc w:val="center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Compliant with Functional safety Standard (ISO26262)</w:t>
      </w:r>
    </w:p>
    <w:p>
      <w:pPr>
        <w:adjustRightInd w:val="0"/>
        <w:jc w:val="center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□Required 需要 </w:t>
      </w:r>
      <w:r>
        <w:rPr>
          <w:rFonts w:cs="Times New Roman"/>
          <w:color w:val="auto"/>
          <w:sz w:val="22"/>
          <w:szCs w:val="22"/>
        </w:rPr>
        <w:sym w:font="Wingdings 2" w:char="0052"/>
      </w:r>
      <w:r>
        <w:rPr>
          <w:rFonts w:cs="Times New Roman"/>
          <w:color w:val="auto"/>
          <w:sz w:val="22"/>
          <w:szCs w:val="22"/>
        </w:rPr>
        <w:t xml:space="preserve">  No不符合功能安全标准(ISO26262) □</w:t>
      </w:r>
    </w:p>
    <w:p>
      <w:pPr>
        <w:rPr>
          <w:rFonts w:cs="Times New Roman"/>
        </w:rPr>
      </w:pPr>
    </w:p>
    <w:p>
      <w:pPr>
        <w:adjustRightInd w:val="0"/>
        <w:rPr>
          <w:rFonts w:cs="Times New Roman"/>
          <w:sz w:val="20"/>
          <w:szCs w:val="20"/>
        </w:rPr>
      </w:pPr>
    </w:p>
    <w:p>
      <w:pPr>
        <w:adjustRightInd w:val="0"/>
        <w:rPr>
          <w:rFonts w:cs="Times New Roman"/>
          <w:color w:val="auto"/>
          <w:sz w:val="20"/>
          <w:szCs w:val="20"/>
        </w:rPr>
      </w:pPr>
    </w:p>
    <w:tbl>
      <w:tblPr>
        <w:tblStyle w:val="15"/>
        <w:tblW w:w="0" w:type="auto"/>
        <w:tblInd w:w="9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1774"/>
        <w:gridCol w:w="1774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批准</w:t>
            </w: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审核</w:t>
            </w: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审核</w:t>
            </w: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编制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</w:tc>
        <w:tc>
          <w:tcPr>
            <w:tcW w:w="177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</w:rPr>
            </w:pPr>
          </w:p>
        </w:tc>
      </w:tr>
    </w:tbl>
    <w:p>
      <w:pPr>
        <w:adjustRightInd w:val="0"/>
        <w:rPr>
          <w:rFonts w:cs="Times New Roman"/>
          <w:color w:val="auto"/>
        </w:rPr>
      </w:pPr>
    </w:p>
    <w:p>
      <w:pPr>
        <w:adjustRightInd w:val="0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发行日期</w:t>
      </w:r>
    </w:p>
    <w:p>
      <w:pPr>
        <w:adjustRightInd w:val="0"/>
        <w:jc w:val="center"/>
        <w:rPr>
          <w:rFonts w:hint="eastAsia" w:eastAsia="宋体" w:cs="Times New Roman"/>
          <w:color w:val="auto"/>
          <w:lang w:eastAsia="zh-CN"/>
        </w:rPr>
      </w:pPr>
      <w:r>
        <w:rPr>
          <w:rFonts w:cs="Times New Roman"/>
          <w:color w:val="auto"/>
          <w:sz w:val="28"/>
          <w:szCs w:val="28"/>
        </w:rPr>
        <w:t>2021/0</w:t>
      </w:r>
      <w:r>
        <w:rPr>
          <w:rFonts w:hint="eastAsia" w:cs="Times New Roman"/>
          <w:color w:val="auto"/>
          <w:sz w:val="28"/>
          <w:szCs w:val="28"/>
        </w:rPr>
        <w:t>7</w:t>
      </w:r>
      <w:r>
        <w:rPr>
          <w:rFonts w:cs="Times New Roman"/>
          <w:color w:val="auto"/>
          <w:sz w:val="28"/>
          <w:szCs w:val="28"/>
        </w:rPr>
        <w:t>/2</w:t>
      </w:r>
      <w:r>
        <w:rPr>
          <w:rFonts w:hint="eastAsia" w:cs="Times New Roman"/>
          <w:color w:val="auto"/>
          <w:sz w:val="28"/>
          <w:szCs w:val="28"/>
          <w:lang w:val="en-US" w:eastAsia="zh-CN"/>
        </w:rPr>
        <w:t>3</w:t>
      </w:r>
    </w:p>
    <w:p>
      <w:pPr>
        <w:adjustRightInd w:val="0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发行单位</w:t>
      </w:r>
    </w:p>
    <w:p>
      <w:pPr>
        <w:adjustRightInd w:val="0"/>
        <w:jc w:val="center"/>
        <w:rPr>
          <w:rFonts w:cs="Times New Roman"/>
          <w:b/>
          <w:color w:val="0000FF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adjustRightInd w:val="0"/>
        <w:jc w:val="center"/>
        <w:rPr>
          <w:rFonts w:hint="eastAsia" w:eastAsia="宋体" w:cs="Times New Roman"/>
          <w:color w:val="auto"/>
          <w:sz w:val="28"/>
          <w:szCs w:val="28"/>
          <w:lang w:val="en-US" w:eastAsia="zh-CN"/>
        </w:rPr>
      </w:pPr>
      <w:r>
        <w:rPr>
          <w:rFonts w:cs="Times New Roman"/>
          <w:b/>
          <w:color w:val="auto"/>
          <w:sz w:val="28"/>
          <w:szCs w:val="28"/>
        </w:rPr>
        <w:t>变更历</w:t>
      </w:r>
      <w:r>
        <w:rPr>
          <w:rFonts w:hint="eastAsia" w:cs="Times New Roman"/>
          <w:b/>
          <w:color w:val="auto"/>
          <w:sz w:val="28"/>
          <w:szCs w:val="28"/>
          <w:lang w:val="en-US" w:eastAsia="zh-CN"/>
        </w:rPr>
        <w:t>史</w:t>
      </w:r>
    </w:p>
    <w:tbl>
      <w:tblPr>
        <w:tblStyle w:val="15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058"/>
        <w:gridCol w:w="1252"/>
        <w:gridCol w:w="1326"/>
        <w:gridCol w:w="1054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2193" w:type="dxa"/>
            <w:gridSpan w:val="2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版本</w:t>
            </w:r>
          </w:p>
        </w:tc>
        <w:tc>
          <w:tcPr>
            <w:tcW w:w="1252" w:type="dxa"/>
            <w:vMerge w:val="restart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审批日期</w:t>
            </w:r>
          </w:p>
        </w:tc>
        <w:tc>
          <w:tcPr>
            <w:tcW w:w="1326" w:type="dxa"/>
            <w:vMerge w:val="restart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作者</w:t>
            </w:r>
          </w:p>
        </w:tc>
        <w:tc>
          <w:tcPr>
            <w:tcW w:w="1054" w:type="dxa"/>
            <w:vMerge w:val="restart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审核人</w:t>
            </w:r>
          </w:p>
        </w:tc>
        <w:tc>
          <w:tcPr>
            <w:tcW w:w="2923" w:type="dxa"/>
            <w:vMerge w:val="restart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135" w:type="dxa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当前</w:t>
            </w:r>
          </w:p>
        </w:tc>
        <w:tc>
          <w:tcPr>
            <w:tcW w:w="1058" w:type="dxa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新版</w:t>
            </w:r>
          </w:p>
        </w:tc>
        <w:tc>
          <w:tcPr>
            <w:tcW w:w="1252" w:type="dxa"/>
            <w:vMerge w:val="continue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326" w:type="dxa"/>
            <w:vMerge w:val="continue"/>
            <w:shd w:val="clear" w:color="auto" w:fill="CCECFF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1054" w:type="dxa"/>
            <w:vMerge w:val="continue"/>
            <w:shd w:val="clear" w:color="auto" w:fill="CCECFF"/>
            <w:vAlign w:val="center"/>
          </w:tcPr>
          <w:p>
            <w:pPr>
              <w:adjustRightInd w:val="0"/>
              <w:spacing w:before="31" w:beforeLines="10" w:after="31" w:afterLines="10"/>
              <w:jc w:val="center"/>
              <w:rPr>
                <w:rFonts w:cs="Times New Roman"/>
                <w:color w:val="auto"/>
                <w:sz w:val="22"/>
                <w:szCs w:val="22"/>
              </w:rPr>
            </w:pPr>
          </w:p>
        </w:tc>
        <w:tc>
          <w:tcPr>
            <w:tcW w:w="2923" w:type="dxa"/>
            <w:vMerge w:val="continue"/>
            <w:shd w:val="clear" w:color="auto" w:fill="CCECFF"/>
            <w:vAlign w:val="center"/>
          </w:tcPr>
          <w:p>
            <w:pPr>
              <w:spacing w:before="31" w:beforeLines="10" w:after="31" w:afterLines="10"/>
              <w:rPr>
                <w:rFonts w:cs="Times New Roman"/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5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 xml:space="preserve"> --- </w:t>
            </w:r>
          </w:p>
        </w:tc>
        <w:tc>
          <w:tcPr>
            <w:tcW w:w="1058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V</w:t>
            </w:r>
            <w:r>
              <w:rPr>
                <w:rFonts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125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32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2923" w:type="dxa"/>
            <w:vAlign w:val="center"/>
          </w:tcPr>
          <w:p>
            <w:pPr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基础版本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35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058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V1.1</w:t>
            </w:r>
          </w:p>
        </w:tc>
        <w:tc>
          <w:tcPr>
            <w:tcW w:w="125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32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054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2923" w:type="dxa"/>
            <w:vAlign w:val="center"/>
          </w:tcPr>
          <w:p>
            <w:pPr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C</w:t>
            </w:r>
            <w:r>
              <w:rPr>
                <w:rFonts w:cs="Times New Roman"/>
                <w:color w:val="auto"/>
                <w:sz w:val="20"/>
                <w:szCs w:val="20"/>
              </w:rPr>
              <w:t>R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-</w:t>
            </w:r>
            <w:r>
              <w:rPr>
                <w:rFonts w:cs="Times New Roman"/>
                <w:color w:val="auto"/>
                <w:sz w:val="20"/>
                <w:szCs w:val="20"/>
              </w:rPr>
              <w:t>1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：</w:t>
            </w:r>
            <w:r>
              <w:rPr>
                <w:rFonts w:cs="Times New Roman"/>
                <w:color w:val="auto"/>
                <w:sz w:val="20"/>
                <w:szCs w:val="20"/>
              </w:rPr>
              <w:t>修改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3</w:t>
            </w:r>
            <w:r>
              <w:rPr>
                <w:rFonts w:cs="Times New Roman"/>
                <w:color w:val="auto"/>
                <w:sz w:val="20"/>
                <w:szCs w:val="20"/>
              </w:rPr>
              <w:t>.1静态设计框图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C</w:t>
            </w:r>
            <w:r>
              <w:rPr>
                <w:rFonts w:cs="Times New Roman"/>
                <w:color w:val="auto"/>
                <w:sz w:val="20"/>
                <w:szCs w:val="20"/>
              </w:rPr>
              <w:t>R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-</w:t>
            </w:r>
            <w:r>
              <w:rPr>
                <w:rFonts w:hint="eastAsia" w:cs="Times New Roman"/>
                <w:color w:val="auto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：</w:t>
            </w:r>
            <w:r>
              <w:rPr>
                <w:rFonts w:cs="Times New Roman"/>
                <w:color w:val="auto"/>
                <w:sz w:val="20"/>
                <w:szCs w:val="20"/>
              </w:rPr>
              <w:t>修改</w:t>
            </w:r>
            <w:r>
              <w:rPr>
                <w:rFonts w:hint="eastAsia"/>
              </w:rPr>
              <w:t>用语、缩略语定义</w:t>
            </w:r>
          </w:p>
          <w:p>
            <w:pPr>
              <w:rPr>
                <w:rFonts w:hint="default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C</w:t>
            </w:r>
            <w:r>
              <w:rPr>
                <w:rFonts w:cs="Times New Roman"/>
                <w:color w:val="auto"/>
                <w:sz w:val="20"/>
                <w:szCs w:val="20"/>
              </w:rPr>
              <w:t>R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-</w:t>
            </w:r>
            <w:r>
              <w:rPr>
                <w:rFonts w:hint="eastAsia" w:cs="Times New Roman"/>
                <w:color w:val="auto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：</w:t>
            </w:r>
            <w:r>
              <w:rPr>
                <w:rFonts w:cs="Times New Roman"/>
                <w:color w:val="auto"/>
                <w:sz w:val="20"/>
                <w:szCs w:val="20"/>
              </w:rPr>
              <w:t>修改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3</w:t>
            </w:r>
            <w:r>
              <w:rPr>
                <w:rFonts w:cs="Times New Roman"/>
                <w:color w:val="auto"/>
                <w:sz w:val="20"/>
                <w:szCs w:val="20"/>
              </w:rPr>
              <w:t>.1.</w:t>
            </w:r>
            <w:r>
              <w:rPr>
                <w:rFonts w:hint="eastAsia" w:cs="Times New Roman"/>
                <w:color w:val="auto"/>
                <w:sz w:val="20"/>
                <w:szCs w:val="20"/>
                <w:lang w:val="en-US" w:eastAsia="zh-CN"/>
              </w:rPr>
              <w:t>2 ADC静态框图</w:t>
            </w:r>
          </w:p>
          <w:p>
            <w:pPr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C</w:t>
            </w:r>
            <w:r>
              <w:rPr>
                <w:rFonts w:cs="Times New Roman"/>
                <w:color w:val="auto"/>
                <w:sz w:val="20"/>
                <w:szCs w:val="20"/>
              </w:rPr>
              <w:t>R-</w:t>
            </w:r>
            <w:r>
              <w:rPr>
                <w:rFonts w:hint="eastAsia" w:cs="Times New Roman"/>
                <w:color w:val="auto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：修改2</w:t>
            </w:r>
            <w:r>
              <w:rPr>
                <w:rFonts w:cs="Times New Roman"/>
                <w:color w:val="auto"/>
                <w:sz w:val="20"/>
                <w:szCs w:val="20"/>
              </w:rPr>
              <w:t>.1组件约束</w:t>
            </w:r>
          </w:p>
          <w:p>
            <w:pPr>
              <w:rPr>
                <w:rFonts w:hint="eastAsia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C</w:t>
            </w:r>
            <w:r>
              <w:rPr>
                <w:rFonts w:cs="Times New Roman"/>
                <w:color w:val="auto"/>
                <w:sz w:val="20"/>
                <w:szCs w:val="20"/>
              </w:rPr>
              <w:t>R-</w:t>
            </w:r>
            <w:r>
              <w:rPr>
                <w:rFonts w:hint="eastAsia" w:cs="Times New Roman"/>
                <w:color w:val="auto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：修改</w:t>
            </w:r>
            <w:r>
              <w:rPr>
                <w:rFonts w:hint="eastAsia" w:cs="Times New Roman"/>
                <w:color w:val="auto"/>
                <w:sz w:val="20"/>
                <w:szCs w:val="20"/>
                <w:lang w:val="en-US" w:eastAsia="zh-CN"/>
              </w:rPr>
              <w:t>3.1.1波形</w:t>
            </w:r>
          </w:p>
          <w:p>
            <w:pPr>
              <w:rPr>
                <w:rFonts w:hint="default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C</w:t>
            </w:r>
            <w:r>
              <w:rPr>
                <w:rFonts w:cs="Times New Roman"/>
                <w:color w:val="auto"/>
                <w:sz w:val="20"/>
                <w:szCs w:val="20"/>
              </w:rPr>
              <w:t>R-</w:t>
            </w:r>
            <w:r>
              <w:rPr>
                <w:rFonts w:hint="eastAsia" w:cs="Times New Roman"/>
                <w:color w:val="auto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cs="Times New Roman"/>
                <w:color w:val="auto"/>
                <w:sz w:val="20"/>
                <w:szCs w:val="20"/>
              </w:rPr>
              <w:t>：修改</w:t>
            </w:r>
            <w:r>
              <w:rPr>
                <w:rFonts w:hint="eastAsia" w:cs="Times New Roman"/>
                <w:color w:val="auto"/>
                <w:sz w:val="20"/>
                <w:szCs w:val="20"/>
                <w:lang w:val="en-US" w:eastAsia="zh-CN"/>
              </w:rPr>
              <w:t>3.1 2DFFT静态图</w:t>
            </w:r>
          </w:p>
        </w:tc>
      </w:tr>
    </w:tbl>
    <w:p/>
    <w:p/>
    <w:p/>
    <w:p/>
    <w:p/>
    <w:p/>
    <w:p/>
    <w:p/>
    <w:p/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sdt>
      <w:sdtPr>
        <w:rPr>
          <w:rFonts w:ascii="Times New Roman" w:hAnsi="Times New Roman" w:eastAsia="宋体" w:cs="Arial"/>
          <w:color w:val="000000"/>
          <w:sz w:val="21"/>
          <w:szCs w:val="18"/>
          <w:lang w:val="zh-CN" w:eastAsia="ja-JP"/>
        </w:rPr>
        <w:id w:val="198989467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Arial"/>
          <w:b/>
          <w:bCs/>
          <w:color w:val="000000"/>
          <w:sz w:val="21"/>
          <w:szCs w:val="18"/>
          <w:lang w:val="zh-CN" w:eastAsia="zh-CN"/>
        </w:rPr>
      </w:sdtEndPr>
      <w:sdtContent>
        <w:p>
          <w:pPr>
            <w:pStyle w:val="34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_Toc29978 </w:instrText>
          </w:r>
          <w:r>
            <w:fldChar w:fldCharType="separate"/>
          </w:r>
          <w:r>
            <w:rPr>
              <w:rFonts w:hint="eastAsia"/>
            </w:rPr>
            <w:t>信号处理</w:t>
          </w:r>
          <w:r>
            <w:t>详细设计</w:t>
          </w:r>
          <w:r>
            <w:tab/>
          </w:r>
          <w:r>
            <w:fldChar w:fldCharType="begin"/>
          </w:r>
          <w:r>
            <w:instrText xml:space="preserve"> PAGEREF _Toc29978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1 </w:t>
          </w:r>
          <w:r>
            <w:t>概要</w:t>
          </w:r>
          <w:r>
            <w:tab/>
          </w:r>
          <w:r>
            <w:fldChar w:fldCharType="begin"/>
          </w:r>
          <w:r>
            <w:instrText xml:space="preserve"> PAGEREF _Toc3005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1.1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_Toc17852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4"/>
            </w:rPr>
            <w:t xml:space="preserve">1.2 </w:t>
          </w:r>
          <w:r>
            <w:t>参考文件</w:t>
          </w:r>
          <w:r>
            <w:tab/>
          </w:r>
          <w:r>
            <w:fldChar w:fldCharType="begin"/>
          </w:r>
          <w:r>
            <w:instrText xml:space="preserve"> PAGEREF _Toc7162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eastAsia="MS Mincho"/>
            </w:rPr>
            <w:t xml:space="preserve">1.3 </w:t>
          </w:r>
          <w:r>
            <w:rPr>
              <w:rFonts w:hint="eastAsia"/>
            </w:rPr>
            <w:t>用语、缩略语等定义</w:t>
          </w:r>
          <w:r>
            <w:tab/>
          </w:r>
          <w:r>
            <w:fldChar w:fldCharType="begin"/>
          </w:r>
          <w:r>
            <w:instrText xml:space="preserve"> PAGEREF _Toc21182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宋体" w:cs="微软雅黑"/>
              <w:i w:val="0"/>
            </w:rPr>
            <w:t xml:space="preserve">2 </w:t>
          </w:r>
          <w:r>
            <w:t>制约条件</w:t>
          </w:r>
          <w:r>
            <w:tab/>
          </w:r>
          <w:r>
            <w:fldChar w:fldCharType="begin"/>
          </w:r>
          <w:r>
            <w:instrText xml:space="preserve"> PAGEREF _Toc28525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 </w:t>
          </w:r>
          <w:r>
            <w:rPr>
              <w:rFonts w:hint="eastAsia"/>
              <w:lang w:val="fr-FR"/>
            </w:rPr>
            <w:t>组件约束</w:t>
          </w:r>
          <w:r>
            <w:tab/>
          </w:r>
          <w:r>
            <w:fldChar w:fldCharType="begin"/>
          </w:r>
          <w:r>
            <w:instrText xml:space="preserve"> PAGEREF _Toc20001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3 </w:t>
          </w:r>
          <w:r>
            <w:t>软件</w:t>
          </w:r>
          <w:r>
            <w:rPr>
              <w:rFonts w:hint="eastAsia"/>
            </w:rPr>
            <w:t>组件</w:t>
          </w:r>
          <w:r>
            <w:t>设计</w:t>
          </w:r>
          <w:r>
            <w:tab/>
          </w:r>
          <w:r>
            <w:fldChar w:fldCharType="begin"/>
          </w:r>
          <w:r>
            <w:instrText xml:space="preserve"> PAGEREF _Toc27823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t>组件静</w:t>
          </w:r>
          <w:r>
            <w:rPr>
              <w:rFonts w:hint="eastAsia"/>
            </w:rPr>
            <w:t>态设计</w:t>
          </w:r>
          <w:r>
            <w:tab/>
          </w:r>
          <w:r>
            <w:fldChar w:fldCharType="begin"/>
          </w:r>
          <w:r>
            <w:instrText xml:space="preserve"> PAGEREF _Toc5684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3.1.1 波形配置</w:t>
          </w:r>
          <w:r>
            <w:tab/>
          </w:r>
          <w:r>
            <w:fldChar w:fldCharType="begin"/>
          </w:r>
          <w:r>
            <w:instrText xml:space="preserve"> PAGEREF _Toc10892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3.1.2 ADC数据采集</w:t>
          </w:r>
          <w:r>
            <w:tab/>
          </w:r>
          <w:r>
            <w:fldChar w:fldCharType="begin"/>
          </w:r>
          <w:r>
            <w:instrText xml:space="preserve"> PAGEREF _Toc6525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3.1.3 一维F</w:t>
          </w:r>
          <w:r>
            <w:t>FT</w:t>
          </w:r>
          <w:r>
            <w:tab/>
          </w:r>
          <w:r>
            <w:fldChar w:fldCharType="begin"/>
          </w:r>
          <w:r>
            <w:instrText xml:space="preserve"> PAGEREF _Toc27825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3.1.4 二维F</w:t>
          </w:r>
          <w:r>
            <w:t>FT</w:t>
          </w:r>
          <w:r>
            <w:tab/>
          </w:r>
          <w:r>
            <w:fldChar w:fldCharType="begin"/>
          </w:r>
          <w:r>
            <w:instrText xml:space="preserve"> PAGEREF _Toc26413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3.1.5 二维幅值矩阵</w:t>
          </w:r>
          <w:r>
            <w:tab/>
          </w:r>
          <w:r>
            <w:fldChar w:fldCharType="begin"/>
          </w:r>
          <w:r>
            <w:instrText xml:space="preserve"> PAGEREF _Toc24283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4 </w:t>
          </w:r>
          <w:r>
            <w:rPr>
              <w:rFonts w:hint="eastAsia"/>
            </w:rPr>
            <w:t>功能函数详述</w:t>
          </w:r>
          <w:r>
            <w:tab/>
          </w:r>
          <w:r>
            <w:fldChar w:fldCharType="begin"/>
          </w:r>
          <w:r>
            <w:instrText xml:space="preserve"> PAGEREF _Toc14366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 配置ADCBUF驱动程序的函数</w:t>
          </w:r>
          <w:r>
            <w:tab/>
          </w:r>
          <w:r>
            <w:fldChar w:fldCharType="begin"/>
          </w:r>
          <w:r>
            <w:instrText xml:space="preserve"> PAGEREF _Toc19043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 一维F</w:t>
          </w:r>
          <w:r>
            <w:t>FT功能函数</w:t>
          </w:r>
          <w:r>
            <w:tab/>
          </w:r>
          <w:r>
            <w:fldChar w:fldCharType="begin"/>
          </w:r>
          <w:r>
            <w:instrText xml:space="preserve"> PAGEREF _Toc23702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4.3 二维F</w:t>
          </w:r>
          <w:r>
            <w:t>FT功能函数</w:t>
          </w:r>
          <w:r>
            <w:tab/>
          </w:r>
          <w:r>
            <w:fldChar w:fldCharType="begin"/>
          </w:r>
          <w:r>
            <w:instrText xml:space="preserve"> PAGEREF _Toc8549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4.4 二维幅值矩阵功能函数</w:t>
          </w:r>
          <w:r>
            <w:tab/>
          </w:r>
          <w:r>
            <w:fldChar w:fldCharType="begin"/>
          </w:r>
          <w:r>
            <w:instrText xml:space="preserve"> PAGEREF _Toc7539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="MS Mincho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25"/>
      </w:pPr>
      <w:bookmarkStart w:id="2" w:name="_Toc49777906"/>
      <w:bookmarkStart w:id="3" w:name="_Toc49777998"/>
      <w:bookmarkStart w:id="4" w:name="_Toc3005"/>
      <w:r>
        <w:t>概要</w:t>
      </w:r>
      <w:bookmarkEnd w:id="2"/>
      <w:bookmarkEnd w:id="3"/>
      <w:bookmarkEnd w:id="4"/>
    </w:p>
    <w:p>
      <w:pPr>
        <w:pStyle w:val="23"/>
      </w:pPr>
      <w:bookmarkStart w:id="5" w:name="_Toc49777907"/>
      <w:bookmarkStart w:id="6" w:name="_Toc17852"/>
      <w:bookmarkStart w:id="7" w:name="_Toc49777999"/>
      <w:bookmarkStart w:id="8" w:name="_Toc49777326"/>
      <w:r>
        <w:t>目的</w:t>
      </w:r>
      <w:bookmarkEnd w:id="5"/>
      <w:bookmarkEnd w:id="6"/>
      <w:bookmarkEnd w:id="7"/>
      <w:bookmarkEnd w:id="8"/>
    </w:p>
    <w:p>
      <w:r>
        <w:rPr>
          <w:rFonts w:hint="eastAsia"/>
        </w:rPr>
        <w:t>本详细设计说明书编写的目的是为了说明程序模块的设计考虑，包括程序描述、输入/输出、算法和流程逻辑等，为软件编程和系统维护提供基础。本说明书的预期读者为系统设计人员、软件开发人员、软件测试人员和项目评审人员。</w:t>
      </w:r>
      <w:bookmarkStart w:id="9" w:name="_Toc163909535"/>
      <w:bookmarkStart w:id="10" w:name="_Toc163909459"/>
      <w:bookmarkStart w:id="11" w:name="_Toc163909413"/>
      <w:bookmarkStart w:id="12" w:name="_Toc163909607"/>
      <w:bookmarkStart w:id="13" w:name="_Toc49777908"/>
      <w:bookmarkStart w:id="14" w:name="_Toc49777327"/>
      <w:bookmarkStart w:id="15" w:name="_Toc49778000"/>
    </w:p>
    <w:p>
      <w:pPr>
        <w:adjustRightInd w:val="0"/>
        <w:rPr>
          <w:rFonts w:cs="Times New Roman"/>
          <w:color w:val="auto"/>
          <w:sz w:val="24"/>
          <w:szCs w:val="24"/>
        </w:rPr>
      </w:pPr>
    </w:p>
    <w:bookmarkEnd w:id="9"/>
    <w:bookmarkEnd w:id="10"/>
    <w:bookmarkEnd w:id="11"/>
    <w:bookmarkEnd w:id="12"/>
    <w:p>
      <w:pPr>
        <w:pStyle w:val="23"/>
        <w:rPr>
          <w:color w:val="auto"/>
          <w:szCs w:val="24"/>
        </w:rPr>
      </w:pPr>
      <w:bookmarkStart w:id="16" w:name="_Toc7162"/>
      <w:r>
        <w:t>参考文件</w:t>
      </w:r>
      <w:bookmarkEnd w:id="13"/>
      <w:bookmarkEnd w:id="14"/>
      <w:bookmarkEnd w:id="15"/>
      <w:bookmarkEnd w:id="16"/>
    </w:p>
    <w:tbl>
      <w:tblPr>
        <w:tblStyle w:val="15"/>
        <w:tblW w:w="77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406"/>
        <w:gridCol w:w="589"/>
        <w:gridCol w:w="1961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900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bookmarkStart w:id="17" w:name="_Hlk39666417"/>
            <w:r>
              <w:rPr>
                <w:rFonts w:cs="Times New Roman"/>
                <w:color w:val="auto"/>
                <w:szCs w:val="21"/>
              </w:rPr>
              <w:t>编号</w:t>
            </w:r>
          </w:p>
        </w:tc>
        <w:tc>
          <w:tcPr>
            <w:tcW w:w="2406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参考文档</w:t>
            </w:r>
          </w:p>
        </w:tc>
        <w:tc>
          <w:tcPr>
            <w:tcW w:w="589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版本</w:t>
            </w:r>
          </w:p>
        </w:tc>
        <w:tc>
          <w:tcPr>
            <w:tcW w:w="1961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发行者</w:t>
            </w:r>
          </w:p>
        </w:tc>
        <w:tc>
          <w:tcPr>
            <w:tcW w:w="1940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900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240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mmwave_sdk_user_guide</w:t>
            </w:r>
          </w:p>
        </w:tc>
        <w:tc>
          <w:tcPr>
            <w:tcW w:w="589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961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940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900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2406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IWR68xxIndustrial Radar Technical Reference Manual</w:t>
            </w:r>
          </w:p>
        </w:tc>
        <w:tc>
          <w:tcPr>
            <w:tcW w:w="589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961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940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900" w:type="dxa"/>
            <w:vAlign w:val="center"/>
          </w:tcPr>
          <w:p>
            <w:pPr>
              <w:adjustRightInd w:val="0"/>
              <w:jc w:val="center"/>
              <w:rPr>
                <w:rFonts w:hint="eastAsia" w:eastAsia="宋体" w:cs="Times New Roman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406" w:type="dxa"/>
            <w:vAlign w:val="center"/>
          </w:tcPr>
          <w:p>
            <w:pPr>
              <w:adjustRightInd w:val="0"/>
              <w:jc w:val="center"/>
              <w:rPr>
                <w:rFonts w:hint="eastAsia" w:cs="Times New Roman"/>
                <w:color w:val="auto"/>
                <w:sz w:val="20"/>
                <w:szCs w:val="20"/>
              </w:rPr>
            </w:pPr>
            <w:r>
              <w:rPr>
                <w:rFonts w:hint="eastAsia" w:cs="Times New Roman"/>
                <w:color w:val="auto"/>
                <w:sz w:val="20"/>
                <w:szCs w:val="20"/>
              </w:rPr>
              <w:t>iwr6843</w:t>
            </w:r>
          </w:p>
        </w:tc>
        <w:tc>
          <w:tcPr>
            <w:tcW w:w="589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961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  <w:tc>
          <w:tcPr>
            <w:tcW w:w="1940" w:type="dxa"/>
            <w:vAlign w:val="center"/>
          </w:tcPr>
          <w:p>
            <w:pPr>
              <w:adjustRightInd w:val="0"/>
              <w:rPr>
                <w:rFonts w:cs="Times New Roman"/>
                <w:color w:val="auto"/>
                <w:sz w:val="20"/>
                <w:szCs w:val="20"/>
              </w:rPr>
            </w:pPr>
          </w:p>
        </w:tc>
      </w:tr>
      <w:bookmarkEnd w:id="17"/>
    </w:tbl>
    <w:p>
      <w:pPr>
        <w:rPr>
          <w:rFonts w:eastAsia="MS Mincho" w:cs="Times New Roman"/>
        </w:rPr>
      </w:pPr>
    </w:p>
    <w:p>
      <w:pPr>
        <w:pStyle w:val="23"/>
        <w:rPr>
          <w:rFonts w:eastAsia="MS Mincho"/>
        </w:rPr>
      </w:pPr>
      <w:bookmarkStart w:id="18" w:name="_Toc21182"/>
      <w:r>
        <w:rPr>
          <w:rFonts w:hint="eastAsia"/>
        </w:rPr>
        <w:t>用语、缩略语等定义</w:t>
      </w:r>
      <w:bookmarkEnd w:id="18"/>
    </w:p>
    <w:tbl>
      <w:tblPr>
        <w:tblStyle w:val="15"/>
        <w:tblW w:w="75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2393"/>
        <w:gridCol w:w="4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962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hint="eastAsia" w:cs="Times New Roman"/>
                <w:color w:val="auto"/>
                <w:szCs w:val="21"/>
              </w:rPr>
              <w:t>编号</w:t>
            </w:r>
          </w:p>
        </w:tc>
        <w:tc>
          <w:tcPr>
            <w:tcW w:w="2393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用语、缩略语</w:t>
            </w:r>
          </w:p>
        </w:tc>
        <w:tc>
          <w:tcPr>
            <w:tcW w:w="4153" w:type="dxa"/>
            <w:shd w:val="clear" w:color="auto" w:fill="CCECFF"/>
            <w:vAlign w:val="center"/>
          </w:tcPr>
          <w:p>
            <w:pPr>
              <w:adjustRightInd w:val="0"/>
              <w:jc w:val="center"/>
              <w:rPr>
                <w:rFonts w:cs="Times New Roman"/>
                <w:color w:val="auto"/>
                <w:szCs w:val="21"/>
              </w:rPr>
            </w:pPr>
            <w:r>
              <w:rPr>
                <w:rFonts w:cs="Times New Roman"/>
                <w:color w:val="auto"/>
                <w:szCs w:val="21"/>
              </w:rPr>
              <w:t>含义、定义和正式名称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1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SoC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系统级芯片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2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CFAR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恒虚警率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3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EDMA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快速数据交换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4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BSS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Business support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5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MSS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Management support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6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DSS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Decision Support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7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ADC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数模转换器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8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FFT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傅里叶变换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9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TDM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时分复用技术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Ping-pong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数据缓冲的手段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Front End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前端多指声频系统中的信号源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MIMO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多进多出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62" w:type="dxa"/>
            <w:vAlign w:val="center"/>
          </w:tcPr>
          <w:p>
            <w:pPr>
              <w:adjustRightInd w:val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39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MMIC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rPr>
                <w:rFonts w:hint="eastAsia" w:cs="Times New Roman"/>
                <w:sz w:val="20"/>
                <w:szCs w:val="20"/>
              </w:rPr>
            </w:pPr>
            <w:r>
              <w:rPr>
                <w:rFonts w:hint="eastAsia" w:cs="Times New Roman"/>
                <w:sz w:val="20"/>
                <w:szCs w:val="20"/>
              </w:rPr>
              <w:t>单片式微波集成电路</w:t>
            </w:r>
          </w:p>
        </w:tc>
      </w:tr>
    </w:tbl>
    <w:p>
      <w:pPr>
        <w:pStyle w:val="6"/>
      </w:pPr>
      <w:bookmarkStart w:id="19" w:name="_Toc49777910"/>
      <w:bookmarkStart w:id="20" w:name="_Toc49777329"/>
      <w:bookmarkStart w:id="21" w:name="_Toc49778002"/>
    </w:p>
    <w:p>
      <w:pPr>
        <w:pStyle w:val="25"/>
        <w:ind w:left="562" w:hanging="562"/>
        <w:rPr>
          <w:rFonts w:ascii="微软雅黑" w:hAnsi="微软雅黑" w:eastAsia="微软雅黑" w:cs="微软雅黑"/>
        </w:rPr>
      </w:pPr>
      <w:bookmarkStart w:id="22" w:name="_Toc28525"/>
      <w:r>
        <w:t>制约条件</w:t>
      </w:r>
      <w:bookmarkEnd w:id="19"/>
      <w:bookmarkEnd w:id="20"/>
      <w:bookmarkEnd w:id="21"/>
      <w:bookmarkEnd w:id="22"/>
      <w:bookmarkStart w:id="23" w:name="_Ref161819605"/>
    </w:p>
    <w:p>
      <w:pPr>
        <w:pStyle w:val="23"/>
      </w:pPr>
      <w:bookmarkStart w:id="24" w:name="_Toc20001"/>
      <w:r>
        <w:rPr>
          <w:rFonts w:hint="eastAsia"/>
          <w:lang w:val="fr-FR"/>
        </w:rPr>
        <w:t>组件约束</w:t>
      </w:r>
      <w:bookmarkEnd w:id="24"/>
    </w:p>
    <w:p>
      <w:pPr>
        <w:rPr>
          <w:lang w:val="fr-FR"/>
        </w:rPr>
      </w:pPr>
      <w:r>
        <w:rPr>
          <w:rFonts w:hint="eastAsia"/>
          <w:lang w:val="fr-FR"/>
        </w:rPr>
        <w:t>软件设计和实现约束条件如下：</w:t>
      </w:r>
      <w:r>
        <w:rPr>
          <w:lang w:val="fr-FR"/>
        </w:rPr>
        <w:t xml:space="preserve"> </w:t>
      </w:r>
    </w:p>
    <w:p>
      <w:pPr>
        <w:numPr>
          <w:ilvl w:val="0"/>
          <w:numId w:val="9"/>
        </w:numPr>
        <w:adjustRightInd w:val="0"/>
        <w:rPr>
          <w:lang w:val="fr-FR"/>
        </w:rPr>
      </w:pPr>
      <w:r>
        <w:rPr>
          <w:rFonts w:hint="eastAsia"/>
          <w:lang w:val="fr-FR"/>
        </w:rPr>
        <w:t>供信号处理使用的</w:t>
      </w:r>
      <w:r>
        <w:rPr>
          <w:rFonts w:hint="eastAsia"/>
        </w:rPr>
        <w:t>L2空间最大为256K, L3</w:t>
      </w:r>
      <w:r>
        <w:rPr>
          <w:lang w:val="fr-FR"/>
        </w:rPr>
        <w:t>空间大小最大为</w:t>
      </w:r>
      <w:r>
        <w:rPr>
          <w:rFonts w:hint="eastAsia"/>
          <w:lang w:val="fr-FR"/>
        </w:rPr>
        <w:t>7</w:t>
      </w:r>
      <w:r>
        <w:rPr>
          <w:lang w:val="fr-FR"/>
        </w:rPr>
        <w:t>68K</w:t>
      </w:r>
      <w:r>
        <w:rPr>
          <w:rFonts w:hint="eastAsia"/>
          <w:lang w:val="fr-FR"/>
        </w:rPr>
        <w:t>；</w:t>
      </w:r>
    </w:p>
    <w:p>
      <w:pPr>
        <w:numPr>
          <w:ilvl w:val="0"/>
          <w:numId w:val="9"/>
        </w:numPr>
        <w:adjustRightInd w:val="0"/>
      </w:pPr>
      <w:r>
        <w:rPr>
          <w:lang w:val="fr-FR"/>
        </w:rPr>
        <w:t>需要考虑兼容性以及软件的可移植性</w:t>
      </w:r>
      <w:r>
        <w:rPr>
          <w:rFonts w:hint="eastAsia"/>
          <w:lang w:val="fr-FR"/>
        </w:rPr>
        <w:t>，</w:t>
      </w:r>
      <w:r>
        <w:rPr>
          <w:lang w:val="fr-FR"/>
        </w:rPr>
        <w:t>便于后续维护及开发</w:t>
      </w:r>
      <w:r>
        <w:rPr>
          <w:rFonts w:hint="eastAsia"/>
        </w:rPr>
        <w:t>；</w:t>
      </w:r>
    </w:p>
    <w:p>
      <w:pPr>
        <w:numPr>
          <w:ilvl w:val="0"/>
          <w:numId w:val="9"/>
        </w:numPr>
        <w:adjustRightInd w:val="0"/>
      </w:pPr>
      <w:r>
        <w:t>模块实现需要遵循MISRA C:2012规范</w:t>
      </w:r>
      <w:r>
        <w:rPr>
          <w:rFonts w:hint="eastAsia"/>
        </w:rPr>
        <w:t>。</w:t>
      </w: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</w:pPr>
    </w:p>
    <w:p>
      <w:pPr>
        <w:adjustRightInd w:val="0"/>
        <w:rPr>
          <w:rFonts w:hint="eastAsia" w:eastAsia="宋体"/>
          <w:lang w:val="en-US" w:eastAsia="zh-CN"/>
        </w:rPr>
      </w:pPr>
    </w:p>
    <w:bookmarkEnd w:id="23"/>
    <w:p>
      <w:pPr>
        <w:pStyle w:val="25"/>
        <w:ind w:left="562" w:hanging="562"/>
      </w:pPr>
      <w:bookmarkStart w:id="25" w:name="_Toc49777912"/>
      <w:bookmarkStart w:id="26" w:name="_Toc27823"/>
      <w:bookmarkStart w:id="27" w:name="_Toc49778004"/>
      <w:bookmarkStart w:id="28" w:name="_Toc49777331"/>
      <w:r>
        <w:t>软件</w:t>
      </w:r>
      <w:r>
        <w:rPr>
          <w:rFonts w:hint="eastAsia"/>
        </w:rPr>
        <w:t>组件</w:t>
      </w:r>
      <w:r>
        <w:t>设计</w:t>
      </w:r>
      <w:bookmarkEnd w:id="25"/>
      <w:bookmarkEnd w:id="26"/>
      <w:bookmarkEnd w:id="27"/>
      <w:bookmarkEnd w:id="28"/>
    </w:p>
    <w:p>
      <w:pPr>
        <w:pStyle w:val="23"/>
      </w:pPr>
      <w:bookmarkStart w:id="29" w:name="_Toc49777332"/>
      <w:bookmarkStart w:id="30" w:name="_Toc5684"/>
      <w:bookmarkStart w:id="31" w:name="_Toc49778005"/>
      <w:bookmarkStart w:id="32" w:name="_Toc49777913"/>
      <w:r>
        <w:t>组件静</w:t>
      </w:r>
      <w:r>
        <w:rPr>
          <w:rFonts w:hint="eastAsia"/>
        </w:rPr>
        <w:t>态设计</w:t>
      </w:r>
      <w:bookmarkEnd w:id="29"/>
      <w:bookmarkEnd w:id="30"/>
      <w:bookmarkEnd w:id="31"/>
      <w:bookmarkEnd w:id="32"/>
    </w:p>
    <w:p>
      <w:pPr>
        <w:pStyle w:val="6"/>
      </w:pPr>
    </w:p>
    <w:p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ADC &amp; 1DFFT</w:t>
      </w:r>
    </w:p>
    <w:p>
      <w:pPr>
        <w:pStyle w:val="6"/>
      </w:pPr>
      <w:r>
        <w:drawing>
          <wp:inline distT="0" distB="0" distL="114300" distR="114300">
            <wp:extent cx="5268595" cy="977900"/>
            <wp:effectExtent l="0" t="0" r="8255" b="1270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2DFFT</w:t>
      </w:r>
    </w:p>
    <w:p>
      <w:pPr>
        <w:pStyle w:val="6"/>
      </w:pPr>
      <w:r>
        <w:drawing>
          <wp:inline distT="0" distB="0" distL="114300" distR="114300">
            <wp:extent cx="5261610" cy="933450"/>
            <wp:effectExtent l="0" t="0" r="1524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rPr>
          <w:rFonts w:hint="eastAsia"/>
          <w:lang w:val="en-US" w:eastAsia="zh-CN"/>
        </w:rPr>
      </w:pPr>
      <w:r>
        <w:rPr>
          <w:rFonts w:hint="eastAsia"/>
        </w:rPr>
        <w:t>目标模块静态框</w:t>
      </w:r>
      <w:r>
        <w:rPr>
          <w:rFonts w:hint="eastAsia"/>
          <w:lang w:val="en-US" w:eastAsia="zh-CN"/>
        </w:rPr>
        <w:t>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6"/>
      </w:pPr>
      <w:bookmarkStart w:id="33" w:name="_Toc10892"/>
      <w:r>
        <w:rPr>
          <w:rFonts w:hint="eastAsia"/>
        </w:rPr>
        <w:t>波形配置</w:t>
      </w:r>
      <w:bookmarkEnd w:id="33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考虑到内存限制此次调试波形设置为</w:t>
      </w:r>
      <w:r>
        <w:rPr>
          <w:rFonts w:hint="eastAsia"/>
          <w:lang w:val="en-US" w:eastAsia="zh-CN"/>
        </w:rPr>
        <w:t>1发4收，当前波形如下：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522" w:type="dxa"/>
          </w:tcPr>
          <w:p>
            <w:pPr>
              <w:rPr>
                <w:rFonts w:ascii="Century" w:hAnsi="Century" w:eastAsia="MS Mincho"/>
              </w:rPr>
            </w:pPr>
            <w:r>
              <w:rPr>
                <w:rFonts w:ascii="Century" w:hAnsi="Century" w:eastAsia="MS Mincho"/>
                <w:sz w:val="18"/>
              </w:rPr>
              <w:t>sensorStop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8522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flushCfg</w:t>
            </w:r>
            <w:r>
              <w:rPr>
                <w:rFonts w:hint="eastAsia" w:ascii="Century" w:hAnsi="Century" w:eastAsia="MS Mincho"/>
                <w:sz w:val="18"/>
              </w:rPr>
              <w:br w:type="textWrapping"/>
            </w:r>
            <w:r>
              <w:rPr>
                <w:rFonts w:hint="eastAsia" w:ascii="Century" w:hAnsi="Century"/>
                <w:color w:val="FF0000"/>
                <w:sz w:val="18"/>
                <w:lang w:val="en-US" w:eastAsia="zh-CN"/>
              </w:rPr>
              <w:t>Ex:</w:t>
            </w:r>
            <w:r>
              <w:rPr>
                <w:rFonts w:ascii="Century" w:hAnsi="Century" w:eastAsia="MS Mincho"/>
                <w:sz w:val="18"/>
              </w:rPr>
              <w:t>刷新旧配置并提供新配置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522" w:type="dxa"/>
          </w:tcPr>
          <w:p>
            <w:pPr>
              <w:rPr>
                <w:rFonts w:hint="eastAsia"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dfeDataOutputMode 1</w:t>
            </w:r>
          </w:p>
          <w:p>
            <w:pPr>
              <w:rPr>
                <w:rFonts w:hint="eastAsia" w:ascii="Century" w:hAnsi="Century" w:eastAsia="MS Mincho"/>
                <w:sz w:val="18"/>
              </w:rPr>
            </w:pPr>
            <w:r>
              <w:rPr>
                <w:rFonts w:hint="eastAsia" w:ascii="Century" w:hAnsi="Century"/>
                <w:color w:val="FF0000"/>
                <w:sz w:val="18"/>
                <w:lang w:val="en-US" w:eastAsia="zh-CN"/>
              </w:rPr>
              <w:t>Ex: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基于帧的chirp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522" w:type="dxa"/>
          </w:tcPr>
          <w:p>
            <w:pPr>
              <w:rPr>
                <w:rFonts w:hint="default" w:ascii="Century" w:hAnsi="Century" w:eastAsia="宋体"/>
                <w:sz w:val="18"/>
                <w:lang w:val="en-US" w:eastAsia="zh-CN"/>
              </w:rPr>
            </w:pPr>
            <w:r>
              <w:rPr>
                <w:rFonts w:hint="eastAsia" w:ascii="Century" w:hAnsi="Century" w:eastAsia="MS Mincho"/>
                <w:sz w:val="18"/>
              </w:rPr>
              <w:t xml:space="preserve">channelCfg 15 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1</w:t>
            </w:r>
            <w:r>
              <w:rPr>
                <w:rFonts w:hint="eastAsia" w:ascii="Century" w:hAnsi="Century" w:eastAsia="MS Mincho"/>
                <w:sz w:val="18"/>
              </w:rPr>
              <w:t xml:space="preserve"> 0</w:t>
            </w:r>
            <w:r>
              <w:rPr>
                <w:rFonts w:hint="eastAsia" w:ascii="Century" w:hAnsi="Century" w:eastAsia="MS Mincho"/>
                <w:sz w:val="18"/>
              </w:rPr>
              <w:br w:type="textWrapping"/>
            </w:r>
            <w:r>
              <w:rPr>
                <w:rFonts w:hint="eastAsia" w:ascii="Century" w:hAnsi="Century"/>
                <w:color w:val="FF0000"/>
                <w:sz w:val="18"/>
                <w:lang w:val="en-US" w:eastAsia="zh-CN"/>
              </w:rPr>
              <w:t>Ex: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通道配置为4收、1发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522" w:type="dxa"/>
          </w:tcPr>
          <w:p>
            <w:pPr>
              <w:rPr>
                <w:rFonts w:hint="default" w:ascii="Century" w:hAnsi="Century" w:eastAsia="宋体"/>
                <w:sz w:val="18"/>
                <w:lang w:val="en-US" w:eastAsia="zh-CN"/>
              </w:rPr>
            </w:pPr>
            <w:r>
              <w:rPr>
                <w:rFonts w:hint="eastAsia" w:ascii="Century" w:hAnsi="Century" w:eastAsia="MS Mincho"/>
                <w:sz w:val="18"/>
              </w:rPr>
              <w:t>adcCfg 2 1</w:t>
            </w:r>
            <w:r>
              <w:rPr>
                <w:rFonts w:hint="eastAsia" w:ascii="Century" w:hAnsi="Century" w:eastAsia="MS Mincho"/>
                <w:sz w:val="18"/>
              </w:rPr>
              <w:br w:type="textWrapping"/>
            </w:r>
            <w:r>
              <w:rPr>
                <w:rFonts w:hint="eastAsia" w:ascii="Century" w:hAnsi="Century"/>
                <w:color w:val="FF0000"/>
                <w:sz w:val="18"/>
                <w:lang w:val="en-US" w:eastAsia="zh-CN"/>
              </w:rPr>
              <w:t>Ex: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adc数据格式为16b、复数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522" w:type="dxa"/>
          </w:tcPr>
          <w:p>
            <w:pPr>
              <w:rPr>
                <w:rFonts w:hint="default" w:ascii="Century" w:hAnsi="Century" w:eastAsia="宋体"/>
                <w:sz w:val="18"/>
                <w:lang w:val="en-US" w:eastAsia="zh-CN"/>
              </w:rPr>
            </w:pPr>
            <w:r>
              <w:rPr>
                <w:rFonts w:hint="eastAsia" w:ascii="Century" w:hAnsi="Century" w:eastAsia="MS Mincho"/>
                <w:sz w:val="18"/>
              </w:rPr>
              <w:t>adcbufCfg -1 0 0 1 1</w:t>
            </w:r>
            <w:r>
              <w:rPr>
                <w:rFonts w:hint="eastAsia" w:ascii="Century" w:hAnsi="Century" w:eastAsia="MS Mincho"/>
                <w:sz w:val="18"/>
              </w:rPr>
              <w:br w:type="textWrapping"/>
            </w:r>
            <w:r>
              <w:rPr>
                <w:rFonts w:hint="eastAsia" w:ascii="Century" w:hAnsi="Century"/>
                <w:color w:val="FF0000"/>
                <w:sz w:val="18"/>
                <w:lang w:val="en-US" w:eastAsia="zh-CN"/>
              </w:rPr>
              <w:t>Ex:</w:t>
            </w:r>
            <w:r>
              <w:rPr>
                <w:rFonts w:hint="eastAsia" w:ascii="Century" w:hAnsi="Century" w:eastAsia="MS Mincho"/>
                <w:sz w:val="18"/>
              </w:rPr>
              <w:t>设置</w:t>
            </w:r>
            <w:r>
              <w:rPr>
                <w:rFonts w:ascii="Century" w:hAnsi="Century" w:eastAsia="MS Mincho"/>
                <w:sz w:val="18"/>
              </w:rPr>
              <w:t>legacy</w:t>
            </w:r>
            <w:r>
              <w:rPr>
                <w:rFonts w:hint="eastAsia" w:ascii="Century" w:hAnsi="Century" w:eastAsia="MS Mincho"/>
                <w:sz w:val="18"/>
              </w:rPr>
              <w:t>模式</w:t>
            </w:r>
            <w:r>
              <w:rPr>
                <w:rFonts w:hint="eastAsia" w:ascii="Century" w:hAnsi="Century"/>
                <w:sz w:val="18"/>
                <w:lang w:eastAsia="zh-CN"/>
              </w:rPr>
              <w:t>、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输出为复数、低位为复数高位为实数、数据为不交叉的、</w:t>
            </w:r>
            <w:r>
              <w:rPr>
                <w:rFonts w:ascii="Century" w:hAnsi="Century" w:eastAsia="MS Mincho"/>
                <w:sz w:val="18"/>
              </w:rPr>
              <w:t>Chirp 阈值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522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 xml:space="preserve">profileCfg 0 60 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48.5</w:t>
            </w:r>
            <w:r>
              <w:rPr>
                <w:rFonts w:hint="eastAsia" w:ascii="Century" w:hAnsi="Century" w:eastAsia="MS Mincho"/>
                <w:sz w:val="18"/>
              </w:rPr>
              <w:t xml:space="preserve"> 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5</w:t>
            </w:r>
            <w:r>
              <w:rPr>
                <w:rFonts w:hint="eastAsia" w:ascii="Century" w:hAnsi="Century" w:eastAsia="MS Mincho"/>
                <w:sz w:val="18"/>
              </w:rPr>
              <w:t xml:space="preserve"> 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31.6</w:t>
            </w:r>
            <w:r>
              <w:rPr>
                <w:rFonts w:hint="eastAsia" w:ascii="Century" w:hAnsi="Century" w:eastAsia="MS Mincho"/>
                <w:sz w:val="18"/>
              </w:rPr>
              <w:t xml:space="preserve"> 0 0 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120</w:t>
            </w:r>
            <w:r>
              <w:rPr>
                <w:rFonts w:hint="eastAsia" w:ascii="Century" w:hAnsi="Century" w:eastAsia="MS Mincho"/>
                <w:sz w:val="18"/>
              </w:rPr>
              <w:t xml:space="preserve"> 0 128 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5</w:t>
            </w:r>
            <w:r>
              <w:rPr>
                <w:rFonts w:hint="eastAsia" w:ascii="Century" w:hAnsi="Century" w:eastAsia="MS Mincho"/>
                <w:sz w:val="18"/>
              </w:rPr>
              <w:t>000 0 0 40</w:t>
            </w:r>
            <w:r>
              <w:rPr>
                <w:rFonts w:hint="eastAsia" w:ascii="Century" w:hAnsi="Century" w:eastAsia="MS Mincho"/>
                <w:sz w:val="18"/>
              </w:rPr>
              <w:br w:type="textWrapping"/>
            </w:r>
            <w:r>
              <w:rPr>
                <w:rFonts w:hint="eastAsia" w:ascii="Century" w:hAnsi="Century"/>
                <w:color w:val="FF0000"/>
                <w:sz w:val="18"/>
                <w:lang w:val="en-US" w:eastAsia="zh-CN"/>
              </w:rPr>
              <w:t>Ex:</w:t>
            </w:r>
            <w:r>
              <w:rPr>
                <w:rFonts w:hint="eastAsia" w:ascii="Century" w:hAnsi="Century" w:eastAsia="MS Mincho"/>
                <w:sz w:val="18"/>
              </w:rPr>
              <w:t>、起始频率为60GHz、空闲时间为48.5u、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ADC</w:t>
            </w:r>
            <w:r>
              <w:rPr>
                <w:rFonts w:hint="eastAsia" w:ascii="Century" w:hAnsi="Century" w:eastAsia="MS Mincho"/>
                <w:sz w:val="18"/>
              </w:rPr>
              <w:t>起始时间为5u、斜坡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结束</w:t>
            </w:r>
            <w:r>
              <w:rPr>
                <w:rFonts w:hint="eastAsia" w:ascii="Century" w:hAnsi="Century" w:eastAsia="MS Mincho"/>
                <w:sz w:val="18"/>
              </w:rPr>
              <w:t>时间为31.6u、Tx输出功率为0、Tx移相器为0、频率斜率为120、Tx开始时间为0u、Adc采样数为128、采样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频率</w:t>
            </w:r>
            <w:r>
              <w:rPr>
                <w:rFonts w:hint="eastAsia" w:ascii="Century" w:hAnsi="Century" w:eastAsia="MS Mincho"/>
                <w:sz w:val="18"/>
              </w:rPr>
              <w:t>为5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0</w:t>
            </w:r>
            <w:r>
              <w:rPr>
                <w:rFonts w:hint="eastAsia" w:ascii="Century" w:hAnsi="Century" w:eastAsia="MS Mincho"/>
                <w:sz w:val="18"/>
              </w:rPr>
              <w:t>00、（高通录波器1）转角频率为175kHz、（高通录波器2）转角频率为350kHz、Rx与Rf增益目标OR为40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522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 xml:space="preserve">chirpCfg 0 0 0 0 0 0 0 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1</w:t>
            </w:r>
            <w:r>
              <w:rPr>
                <w:rFonts w:hint="eastAsia" w:ascii="Century" w:hAnsi="Century" w:eastAsia="MS Mincho"/>
                <w:sz w:val="18"/>
              </w:rPr>
              <w:br w:type="textWrapping"/>
            </w:r>
            <w:r>
              <w:rPr>
                <w:rFonts w:hint="eastAsia" w:ascii="Century" w:hAnsi="Century"/>
                <w:color w:val="FF0000"/>
                <w:sz w:val="18"/>
                <w:lang w:val="en-US" w:eastAsia="zh-CN"/>
              </w:rPr>
              <w:t>Ex:</w:t>
            </w:r>
            <w:r>
              <w:rPr>
                <w:rFonts w:hint="eastAsia" w:ascii="Century" w:hAnsi="Century" w:eastAsia="MS Mincho"/>
                <w:sz w:val="18"/>
              </w:rPr>
              <w:t>chirp起始索引0、chirp结束索引0、配置文件标识符、起始频率变化0、单位斜率变化0、空闲时间0、ADC开始时间变化0、打开Tx1天线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522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 xml:space="preserve">frameCfg 0 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0</w:t>
            </w:r>
            <w:r>
              <w:rPr>
                <w:rFonts w:hint="eastAsia" w:ascii="Century" w:hAnsi="Century" w:eastAsia="MS Mincho"/>
                <w:sz w:val="18"/>
              </w:rPr>
              <w:t xml:space="preserve"> 128 0 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5</w:t>
            </w:r>
            <w:r>
              <w:rPr>
                <w:rFonts w:hint="eastAsia" w:ascii="Century" w:hAnsi="Century" w:eastAsia="MS Mincho"/>
                <w:sz w:val="18"/>
              </w:rPr>
              <w:t>0 1 0</w:t>
            </w:r>
            <w:r>
              <w:rPr>
                <w:rFonts w:hint="eastAsia" w:ascii="Century" w:hAnsi="Century" w:eastAsia="MS Mincho"/>
                <w:sz w:val="18"/>
              </w:rPr>
              <w:br w:type="textWrapping"/>
            </w:r>
            <w:r>
              <w:rPr>
                <w:rFonts w:hint="eastAsia" w:ascii="Century" w:hAnsi="Century"/>
                <w:color w:val="FF0000"/>
                <w:sz w:val="18"/>
                <w:lang w:val="en-US" w:eastAsia="zh-CN"/>
              </w:rPr>
              <w:t>Ex:</w:t>
            </w:r>
            <w:r>
              <w:rPr>
                <w:rFonts w:hint="eastAsia" w:ascii="Century" w:hAnsi="Century" w:eastAsia="MS Mincho"/>
                <w:sz w:val="18"/>
              </w:rPr>
              <w:t>chirp 起始索引0、chirp 结束索引0、loops为128、帧数为无限、帧周期为50ms、软件触发、帧触发延迟为0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522" w:type="dxa"/>
          </w:tcPr>
          <w:p>
            <w:pPr>
              <w:rPr>
                <w:rFonts w:hint="default" w:ascii="Century" w:hAnsi="Century" w:eastAsia="宋体"/>
                <w:sz w:val="18"/>
                <w:lang w:val="en-US" w:eastAsia="zh-CN"/>
              </w:rPr>
            </w:pPr>
            <w:r>
              <w:rPr>
                <w:rFonts w:hint="eastAsia" w:ascii="Century" w:hAnsi="Century" w:eastAsia="MS Mincho"/>
                <w:sz w:val="18"/>
              </w:rPr>
              <w:t>lowPower 0 1</w:t>
            </w:r>
            <w:r>
              <w:rPr>
                <w:rFonts w:hint="eastAsia" w:ascii="Century" w:hAnsi="Century" w:eastAsia="MS Mincho"/>
                <w:sz w:val="18"/>
              </w:rPr>
              <w:br w:type="textWrapping"/>
            </w:r>
            <w:r>
              <w:rPr>
                <w:rFonts w:hint="eastAsia" w:ascii="Century" w:hAnsi="Century"/>
                <w:color w:val="FF0000"/>
                <w:sz w:val="18"/>
                <w:lang w:val="en-US" w:eastAsia="zh-CN"/>
              </w:rPr>
              <w:t>Ex:</w:t>
            </w:r>
            <w:r>
              <w:rPr>
                <w:rFonts w:hint="eastAsia" w:ascii="Century" w:hAnsi="Century"/>
                <w:sz w:val="18"/>
                <w:lang w:val="en-US" w:eastAsia="zh-CN"/>
              </w:rPr>
              <w:t>Adc模式为低功耗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522" w:type="dxa"/>
          </w:tcPr>
          <w:p>
            <w:pPr>
              <w:rPr>
                <w:rFonts w:ascii="Century" w:hAnsi="Century" w:eastAsia="MS Mincho"/>
                <w:sz w:val="18"/>
              </w:rPr>
            </w:pPr>
            <w:r>
              <w:rPr>
                <w:rFonts w:hint="eastAsia" w:ascii="Century" w:hAnsi="Century" w:eastAsia="MS Mincho"/>
                <w:sz w:val="18"/>
              </w:rPr>
              <w:t>sensorStart</w:t>
            </w:r>
          </w:p>
        </w:tc>
      </w:tr>
    </w:tbl>
    <w:p/>
    <w:p>
      <w:pPr>
        <w:pStyle w:val="36"/>
      </w:pPr>
      <w:bookmarkStart w:id="34" w:name="_Toc6525"/>
      <w:r>
        <w:rPr>
          <w:rFonts w:hint="eastAsia"/>
        </w:rPr>
        <w:t>ADC数据采集</w:t>
      </w:r>
      <w:bookmarkEnd w:id="34"/>
    </w:p>
    <w:p/>
    <w:p>
      <w:pPr>
        <w:ind w:left="420" w:leftChars="0" w:firstLine="420" w:firstLineChars="0"/>
      </w:pPr>
      <w:r>
        <w:drawing>
          <wp:inline distT="0" distB="0" distL="114300" distR="114300">
            <wp:extent cx="2604135" cy="2673350"/>
            <wp:effectExtent l="0" t="0" r="5715" b="1270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ADCBuf是在DSS程序中进行的配置，因为它是C674x的外设。内存大小为32KB，如下图：</w:t>
      </w:r>
    </w:p>
    <w:p>
      <w:r>
        <w:drawing>
          <wp:inline distT="0" distB="0" distL="114300" distR="114300">
            <wp:extent cx="5274310" cy="170815"/>
            <wp:effectExtent l="0" t="0" r="2540" b="635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Arial" w:hAnsi="Arial"/>
          <w:color w:val="4D4D4D"/>
          <w:sz w:val="24"/>
          <w:szCs w:val="24"/>
          <w:shd w:val="clear" w:color="auto" w:fill="FFFFFF"/>
        </w:rPr>
      </w:pPr>
      <w:r>
        <w:rPr>
          <w:rFonts w:ascii="Arial" w:hAnsi="Arial" w:eastAsia="Arial"/>
          <w:color w:val="4D4D4D"/>
          <w:sz w:val="24"/>
          <w:szCs w:val="24"/>
          <w:shd w:val="clear" w:color="auto" w:fill="FFFFFF"/>
        </w:rPr>
        <w:t>ADCBuf驱动的配置以及启用</w:t>
      </w:r>
      <w:r>
        <w:rPr>
          <w:rFonts w:hint="eastAsia" w:ascii="Arial" w:hAnsi="Arial"/>
          <w:color w:val="4D4D4D"/>
          <w:sz w:val="24"/>
          <w:szCs w:val="24"/>
          <w:shd w:val="clear" w:color="auto" w:fill="FFFFFF"/>
        </w:rPr>
        <w:t>：</w:t>
      </w:r>
    </w:p>
    <w:p>
      <w:pPr>
        <w:numPr>
          <w:ilvl w:val="0"/>
          <w:numId w:val="10"/>
        </w:numPr>
        <w:ind w:firstLine="420"/>
        <w:rPr>
          <w:rFonts w:ascii="Arial" w:hAnsi="Arial" w:eastAsia="Arial"/>
          <w:color w:val="4D4D4D"/>
          <w:sz w:val="24"/>
          <w:szCs w:val="24"/>
          <w:shd w:val="clear" w:color="auto" w:fill="FFFFFF"/>
        </w:rPr>
      </w:pPr>
      <w:r>
        <w:rPr>
          <w:rFonts w:ascii="Arial" w:hAnsi="Arial" w:eastAsia="Arial"/>
          <w:color w:val="4D4D4D"/>
          <w:sz w:val="24"/>
          <w:szCs w:val="24"/>
          <w:shd w:val="clear" w:color="auto" w:fill="FFFFFF"/>
        </w:rPr>
        <w:t>调用ADCBuf驱动</w:t>
      </w:r>
    </w:p>
    <w:p>
      <w:pPr>
        <w:numPr>
          <w:ilvl w:val="0"/>
          <w:numId w:val="10"/>
        </w:numPr>
        <w:ind w:firstLine="420"/>
        <w:rPr>
          <w:rFonts w:ascii="Arial" w:hAnsi="Arial" w:eastAsia="Arial"/>
          <w:color w:val="4D4D4D"/>
          <w:sz w:val="24"/>
          <w:szCs w:val="24"/>
          <w:shd w:val="clear" w:color="auto" w:fill="FFFFFF"/>
        </w:rPr>
      </w:pPr>
      <w:r>
        <w:rPr>
          <w:rFonts w:ascii="Arial" w:hAnsi="Arial" w:eastAsia="Arial"/>
          <w:color w:val="4D4D4D"/>
          <w:sz w:val="24"/>
          <w:szCs w:val="24"/>
          <w:shd w:val="clear" w:color="auto" w:fill="FFFFFF"/>
        </w:rPr>
        <w:t>对adcBufParams进行赋值，完成参数初始化</w:t>
      </w:r>
    </w:p>
    <w:p>
      <w:pPr>
        <w:numPr>
          <w:ilvl w:val="0"/>
          <w:numId w:val="10"/>
        </w:numPr>
        <w:ind w:firstLine="420"/>
      </w:pPr>
      <w:r>
        <w:rPr>
          <w:rFonts w:hint="eastAsia" w:ascii="Arial" w:hAnsi="Arial" w:eastAsia="Arial"/>
          <w:color w:val="4D4D4D"/>
          <w:sz w:val="24"/>
          <w:szCs w:val="24"/>
          <w:shd w:val="clear" w:color="auto" w:fill="FFFFFF"/>
        </w:rPr>
        <w:t>开启天线接收并讲接受的数据储存</w:t>
      </w:r>
      <w:r>
        <w:rPr>
          <w:rFonts w:hint="eastAsia" w:ascii="Arial" w:hAnsi="Arial"/>
          <w:color w:val="4D4D4D"/>
          <w:sz w:val="24"/>
          <w:szCs w:val="24"/>
          <w:shd w:val="clear" w:color="auto" w:fill="FFFFFF"/>
          <w:lang w:eastAsia="zh-CN"/>
        </w:rPr>
        <w:t>（</w:t>
      </w:r>
      <w:r>
        <w:rPr>
          <w:rFonts w:hint="eastAsia" w:ascii="Arial" w:hAnsi="Arial"/>
          <w:color w:val="4D4D4D"/>
          <w:sz w:val="24"/>
          <w:szCs w:val="24"/>
          <w:shd w:val="clear" w:color="auto" w:fill="FFFFFF"/>
          <w:lang w:val="en-US" w:eastAsia="zh-CN"/>
        </w:rPr>
        <w:t>32KB ADC Buffer</w:t>
      </w:r>
      <w:r>
        <w:rPr>
          <w:rFonts w:hint="eastAsia" w:ascii="Arial" w:hAnsi="Arial"/>
          <w:color w:val="4D4D4D"/>
          <w:sz w:val="24"/>
          <w:szCs w:val="24"/>
          <w:shd w:val="clear" w:color="auto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napToGrid w:val="0"/>
        <w:rPr>
          <w:rFonts w:hint="eastAsia" w:ascii="Arial" w:hAnsi="Arial"/>
          <w:color w:val="4D4D4D"/>
          <w:sz w:val="24"/>
          <w:szCs w:val="24"/>
          <w:shd w:val="clear" w:color="auto" w:fill="FFFFFF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napToGrid w:val="0"/>
        <w:rPr>
          <w:rFonts w:hint="eastAsia" w:ascii="Arial" w:hAnsi="Arial"/>
          <w:color w:val="4D4D4D"/>
          <w:sz w:val="24"/>
          <w:szCs w:val="24"/>
          <w:shd w:val="clear" w:color="auto" w:fill="FFFFFF"/>
          <w:lang w:eastAsia="zh-CN"/>
        </w:rPr>
      </w:pPr>
    </w:p>
    <w:p>
      <w:pPr>
        <w:pStyle w:val="36"/>
      </w:pPr>
      <w:bookmarkStart w:id="35" w:name="_Toc27825"/>
      <w:r>
        <w:rPr>
          <w:rFonts w:hint="eastAsia"/>
        </w:rPr>
        <w:t>一维F</w:t>
      </w:r>
      <w:r>
        <w:t>FT</w:t>
      </w:r>
      <w:bookmarkEnd w:id="35"/>
    </w:p>
    <w:p>
      <w:pPr>
        <w:jc w:val="center"/>
        <w:rPr>
          <w:rFonts w:eastAsia="MS Mincho"/>
        </w:rPr>
      </w:pPr>
    </w:p>
    <w:p>
      <w:pPr>
        <w:pStyle w:val="38"/>
      </w:pPr>
      <w:r>
        <w:rPr>
          <w:rFonts w:hint="eastAsia"/>
        </w:rPr>
        <w:t>一维F</w:t>
      </w:r>
      <w:r>
        <w:t>FT处理流程</w:t>
      </w:r>
    </w:p>
    <w:p>
      <w:r>
        <w:rPr>
          <w:rFonts w:hint="eastAsia"/>
        </w:rPr>
        <w:t>RangeProcDSP 有 3 个处理阶段：</w:t>
      </w:r>
      <w:r>
        <w:t xml:space="preserve"> </w:t>
      </w:r>
    </w:p>
    <w:p>
      <w:pPr>
        <w:ind w:firstLine="420"/>
      </w:pPr>
      <w:r>
        <w:rPr>
          <w:rFonts w:hint="eastAsia"/>
        </w:rPr>
        <w:t>1.</w:t>
      </w:r>
      <w:r>
        <w:t xml:space="preserve">通过dataIn EDMA通道引入ADC数据 </w:t>
      </w:r>
    </w:p>
    <w:p>
      <w:pPr>
        <w:ind w:firstLine="420"/>
      </w:pPr>
      <w:r>
        <w:rPr>
          <w:rFonts w:hint="eastAsia"/>
        </w:rPr>
        <w:t>2.</w:t>
      </w:r>
      <w:r>
        <w:t xml:space="preserve">使用 DSPlib/mmwavelib 进行 FFT 处理 </w:t>
      </w:r>
    </w:p>
    <w:p>
      <w:pPr>
        <w:ind w:firstLine="420"/>
      </w:pPr>
      <w:r>
        <w:rPr>
          <w:rFonts w:hint="eastAsia"/>
        </w:rPr>
        <w:t>3.</w:t>
      </w:r>
      <w:r>
        <w:t>通过 dataOut EDMA 通道将 FFT 结果传输到雷达立方体</w:t>
      </w:r>
    </w:p>
    <w:p/>
    <w:p>
      <w:r>
        <w:t>使用案例</w:t>
      </w:r>
      <w:r>
        <w:rPr>
          <w:rFonts w:hint="eastAsia"/>
        </w:rPr>
        <w:t>:</w:t>
      </w:r>
    </w:p>
    <w:p>
      <w:pPr>
        <w:ind w:firstLine="420"/>
      </w:pPr>
      <w:r>
        <w:t>无论 TX 天线的数量如何，距离 FFT 都需要 2 个输入 EDMA 通道和 2 个输出 EDMA 通道才能以</w:t>
      </w:r>
      <w:r>
        <w:rPr>
          <w:rFonts w:hint="eastAsia"/>
        </w:rPr>
        <w:t>Ping Pang</w:t>
      </w:r>
      <w:r>
        <w:t xml:space="preserve">方式工作。 </w:t>
      </w:r>
    </w:p>
    <w:p>
      <w:pPr>
        <w:ind w:firstLine="420"/>
      </w:pPr>
      <w:r>
        <w:t xml:space="preserve">Ping 输入通道将数据带入本地内存“adcDataIn”的 Ping 区域，pong 通道将数据带入 pong 区域。 FFT 后，对于 2 TX 天线，本地存储器“fftout1D”中的 ping 结果被复制到雷达立方体中的 TX1 区域。 Pong 结果被复制到雷达立方体中的 TX2 区域。 </w:t>
      </w:r>
    </w:p>
    <w:p>
      <w:pPr>
        <w:ind w:firstLine="420"/>
        <w:rPr>
          <w:rFonts w:hint="eastAsia"/>
        </w:rPr>
      </w:pPr>
      <w:r>
        <w:t xml:space="preserve">对于 3 TX 天线，ping 总是处理奇数 chirp 数据，pong 总是处理偶数 chirp 数据。 距离 FFT 结果以下列格式复制到雷达立方体： </w:t>
      </w:r>
      <w:bookmarkStart w:id="43" w:name="_GoBack"/>
      <w:r>
        <w:rPr>
          <w:rFonts w:hint="eastAsia"/>
        </w:rPr>
        <w:drawing>
          <wp:inline distT="0" distB="0" distL="114300" distR="114300">
            <wp:extent cx="5492115" cy="2990215"/>
            <wp:effectExtent l="0" t="0" r="13335" b="635"/>
            <wp:docPr id="5" name="图片 5" descr="1DF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DFF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6"/>
      </w:pPr>
      <w:bookmarkStart w:id="36" w:name="_Toc26413"/>
      <w:r>
        <w:rPr>
          <w:rFonts w:hint="eastAsia"/>
        </w:rPr>
        <w:t>二维F</w:t>
      </w:r>
      <w:r>
        <w:t>FT</w:t>
      </w:r>
      <w:bookmarkEnd w:id="36"/>
    </w:p>
    <w:p>
      <w:pPr>
        <w:jc w:val="center"/>
      </w:pPr>
      <w:r>
        <w:object>
          <v:shape id="_x0000_i1025" o:spt="75" type="#_x0000_t75" style="height:225.1pt;width:145.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>
      <w:pPr>
        <w:jc w:val="center"/>
      </w:pPr>
    </w:p>
    <w:p>
      <w:pPr>
        <w:pStyle w:val="38"/>
      </w:pPr>
      <w:r>
        <w:rPr>
          <w:rFonts w:hint="eastAsia"/>
        </w:rPr>
        <w:t>二维F</w:t>
      </w:r>
      <w:r>
        <w:t>FT处理流程</w:t>
      </w:r>
    </w:p>
    <w:p/>
    <w:p>
      <w:pPr>
        <w:rPr>
          <w:rFonts w:eastAsiaTheme="minorEastAsia"/>
        </w:rPr>
      </w:pPr>
      <w:r>
        <w:rPr>
          <w:rFonts w:hint="eastAsia"/>
        </w:rPr>
        <w:t>如上图，二维F</w:t>
      </w:r>
      <w:r>
        <w:t>FT</w:t>
      </w:r>
      <w:r>
        <w:rPr>
          <w:rFonts w:hint="eastAsia"/>
        </w:rPr>
        <w:t>模块</w:t>
      </w:r>
      <w:r>
        <w:t>的输入为一维</w:t>
      </w:r>
      <w:r>
        <w:rPr>
          <w:rFonts w:hint="eastAsia"/>
        </w:rPr>
        <w:t>F</w:t>
      </w:r>
      <w:r>
        <w:t>FT的</w:t>
      </w:r>
      <w:r>
        <w:rPr>
          <w:rFonts w:hint="eastAsia"/>
        </w:rPr>
        <w:t>结果，输出为二维F</w:t>
      </w:r>
      <w:r>
        <w:t>FT的结果</w:t>
      </w:r>
      <w:r>
        <w:rPr>
          <w:rFonts w:hint="eastAsia"/>
        </w:rPr>
        <w:t>。</w:t>
      </w:r>
      <w:r>
        <w:t>二维</w:t>
      </w:r>
      <w:r>
        <w:rPr>
          <w:rFonts w:hint="eastAsia"/>
        </w:rPr>
        <w:t>F</w:t>
      </w:r>
      <w:r>
        <w:t>FT主要做速度维的傅里叶变换</w:t>
      </w:r>
      <w:r>
        <w:rPr>
          <w:rFonts w:hint="eastAsia"/>
        </w:rPr>
        <w:t>。首先读取一维F</w:t>
      </w:r>
      <w:r>
        <w:t>FT的结果</w:t>
      </w:r>
      <w:r>
        <w:rPr>
          <w:rFonts w:hint="eastAsia"/>
        </w:rPr>
        <w:t>，</w:t>
      </w:r>
      <w:r>
        <w:t>将数据转置为速度维数据存储在一起的格式</w:t>
      </w:r>
      <w:r>
        <w:rPr>
          <w:rFonts w:hint="eastAsia"/>
        </w:rPr>
        <w:t>，</w:t>
      </w:r>
      <w:r>
        <w:t>之后进行相应点数的</w:t>
      </w:r>
      <w:r>
        <w:rPr>
          <w:rFonts w:hint="eastAsia"/>
        </w:rPr>
        <w:t>F</w:t>
      </w:r>
      <w:r>
        <w:t>FT操作</w:t>
      </w:r>
      <w:r>
        <w:rPr>
          <w:rFonts w:hint="eastAsia"/>
        </w:rPr>
        <w:t>，</w:t>
      </w:r>
      <w:r>
        <w:t>最终得到二维</w:t>
      </w:r>
      <w:r>
        <w:rPr>
          <w:rFonts w:hint="eastAsia"/>
        </w:rPr>
        <w:t>F</w:t>
      </w:r>
      <w:r>
        <w:t>FT的结果并输出到</w:t>
      </w:r>
      <w:r>
        <w:rPr>
          <w:rFonts w:hint="eastAsia"/>
        </w:rPr>
        <w:t>L3</w:t>
      </w:r>
      <w:r>
        <w:t>中存储</w:t>
      </w:r>
      <w:r>
        <w:rPr>
          <w:rFonts w:hint="eastAsia"/>
        </w:rPr>
        <w:t>。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36"/>
        <w:rPr>
          <w:rFonts w:hint="eastAsia"/>
        </w:rPr>
      </w:pPr>
      <w:bookmarkStart w:id="37" w:name="_Toc24283"/>
      <w:r>
        <w:rPr>
          <w:rFonts w:hint="eastAsia"/>
        </w:rPr>
        <w:t>二维幅值矩阵</w:t>
      </w:r>
      <w:bookmarkEnd w:id="37"/>
    </w:p>
    <w:p>
      <w:pPr>
        <w:rPr>
          <w:rFonts w:hint="eastAsia"/>
        </w:rPr>
      </w:pPr>
    </w:p>
    <w:p>
      <w:pPr>
        <w:jc w:val="center"/>
      </w:pPr>
      <w:r>
        <w:object>
          <v:shape id="_x0000_i1026" o:spt="75" type="#_x0000_t75" style="height:236.5pt;width:193.4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2">
            <o:LockedField>false</o:LockedField>
          </o:OLEObject>
        </w:object>
      </w:r>
    </w:p>
    <w:p>
      <w:pPr>
        <w:jc w:val="center"/>
      </w:pPr>
    </w:p>
    <w:p>
      <w:pPr>
        <w:pStyle w:val="38"/>
      </w:pPr>
      <w:r>
        <w:t>二维幅值矩阵计算流程</w:t>
      </w:r>
    </w:p>
    <w:p/>
    <w:p>
      <w:pPr>
        <w:rPr>
          <w:rFonts w:hint="eastAsia"/>
        </w:rPr>
      </w:pPr>
      <w:r>
        <w:t>如上图</w:t>
      </w:r>
      <w:r>
        <w:rPr>
          <w:rFonts w:hint="eastAsia"/>
        </w:rPr>
        <w:t>，二维幅值矩阵的输入值为单个接收通道的二维F</w:t>
      </w:r>
      <w:r>
        <w:t>FT的结果</w:t>
      </w:r>
      <w:r>
        <w:rPr>
          <w:rFonts w:hint="eastAsia"/>
        </w:rPr>
        <w:t>，输出为单通道的二维幅值矩阵。</w:t>
      </w:r>
      <w:r>
        <w:t>其中只计算单个通道的二维幅值</w:t>
      </w:r>
      <w:r>
        <w:rPr>
          <w:rFonts w:hint="eastAsia"/>
        </w:rPr>
        <w:t>，</w:t>
      </w:r>
      <w:r>
        <w:t>最终得出单通道的二维幅值矩阵用以速度解模糊使用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5"/>
      </w:pPr>
      <w:bookmarkStart w:id="38" w:name="_Toc14366"/>
      <w:r>
        <w:rPr>
          <w:rFonts w:hint="eastAsia"/>
        </w:rPr>
        <w:t>功能函数详述</w:t>
      </w:r>
      <w:bookmarkEnd w:id="38"/>
    </w:p>
    <w:p>
      <w:pPr>
        <w:pStyle w:val="23"/>
      </w:pPr>
      <w:bookmarkStart w:id="39" w:name="_Toc19043"/>
      <w:r>
        <w:rPr>
          <w:rFonts w:hint="eastAsia"/>
        </w:rPr>
        <w:t>配置ADCBUF驱动程序的函数</w:t>
      </w:r>
      <w:bookmarkEnd w:id="39"/>
    </w:p>
    <w:tbl>
      <w:tblPr>
        <w:tblStyle w:val="16"/>
        <w:tblW w:w="76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641"/>
        <w:gridCol w:w="2603"/>
        <w:gridCol w:w="996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功能名称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MmwDemo_dssDataPathConfigAdcBuf()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Arial" w:hAnsi="Arial" w:eastAsia="Arial"/>
                <w:color w:val="4D4D4D"/>
                <w:sz w:val="24"/>
                <w:szCs w:val="24"/>
                <w:shd w:val="clear" w:color="auto" w:fill="FFFFFF"/>
              </w:rPr>
              <w:t>ADCBuf的数据格式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当前ADCBuf的格式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使能Rx channels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开启Rx天线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0x2100_0000</w:t>
            </w:r>
            <w:r>
              <w:rPr>
                <w:rFonts w:hint="eastAsia" w:ascii="Century" w:hAnsi="Century" w:eastAsia="MS Mincho"/>
                <w:sz w:val="20"/>
              </w:rPr>
              <w:t xml:space="preserve"> – </w:t>
            </w:r>
            <w:r>
              <w:rPr>
                <w:rFonts w:ascii="Century" w:hAnsi="Century" w:eastAsia="MS Mincho"/>
                <w:sz w:val="20"/>
              </w:rPr>
              <w:t>0x2100_7FFC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设置ping/pang阈值</w:t>
            </w:r>
          </w:p>
        </w:tc>
        <w:tc>
          <w:tcPr>
            <w:tcW w:w="2603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缓存大小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hint="eastAsia" w:ascii="Century" w:hAnsi="Century" w:eastAsia="MS Mincho" w:cs="Arial"/>
                <w:color w:val="000000"/>
                <w:sz w:val="20"/>
                <w:szCs w:val="18"/>
                <w:lang w:val="en-US" w:eastAsia="zh-CN" w:bidi="ar-SA"/>
              </w:rPr>
            </w:pPr>
            <w:r>
              <w:rPr>
                <w:rFonts w:hint="eastAsia" w:ascii="Century" w:hAnsi="Century" w:eastAsia="MS Mincho"/>
                <w:sz w:val="20"/>
              </w:rPr>
              <w:t>解释</w:t>
            </w:r>
          </w:p>
        </w:tc>
        <w:tc>
          <w:tcPr>
            <w:tcW w:w="1641" w:type="dxa"/>
            <w:vAlign w:val="center"/>
          </w:tcPr>
          <w:p>
            <w:pPr>
              <w:pStyle w:val="6"/>
              <w:jc w:val="center"/>
              <w:rPr>
                <w:rFonts w:hint="eastAsia" w:ascii="Century" w:hAnsi="Century" w:eastAsia="MS Mincho" w:cs="Arial"/>
                <w:color w:val="000000"/>
                <w:sz w:val="20"/>
                <w:szCs w:val="18"/>
                <w:lang w:val="en-US" w:eastAsia="zh-CN" w:bidi="ar-SA"/>
              </w:rPr>
            </w:pPr>
          </w:p>
        </w:tc>
        <w:tc>
          <w:tcPr>
            <w:tcW w:w="5295" w:type="dxa"/>
            <w:gridSpan w:val="3"/>
            <w:vAlign w:val="center"/>
          </w:tcPr>
          <w:p>
            <w:pPr>
              <w:pStyle w:val="6"/>
              <w:jc w:val="center"/>
              <w:rPr>
                <w:rFonts w:hint="default" w:ascii="Century" w:hAnsi="Century" w:eastAsia="宋体"/>
                <w:sz w:val="20"/>
                <w:lang w:val="en-US" w:eastAsia="zh-CN"/>
              </w:rPr>
            </w:pPr>
            <w:r>
              <w:rPr>
                <w:rFonts w:hint="eastAsia" w:ascii="Century" w:hAnsi="Century"/>
                <w:sz w:val="20"/>
                <w:lang w:val="en-US" w:eastAsia="zh-CN"/>
              </w:rPr>
              <w:t>ADC数据采集函数</w:t>
            </w:r>
          </w:p>
        </w:tc>
      </w:tr>
    </w:tbl>
    <w:p>
      <w:pPr>
        <w:pStyle w:val="6"/>
      </w:pPr>
    </w:p>
    <w:p>
      <w:pPr>
        <w:pStyle w:val="23"/>
      </w:pPr>
      <w:bookmarkStart w:id="40" w:name="_Toc23702"/>
      <w:r>
        <w:rPr>
          <w:rFonts w:hint="eastAsia"/>
        </w:rPr>
        <w:t>一维F</w:t>
      </w:r>
      <w:r>
        <w:t>FT功能函数</w:t>
      </w:r>
      <w:bookmarkEnd w:id="40"/>
    </w:p>
    <w:tbl>
      <w:tblPr>
        <w:tblStyle w:val="16"/>
        <w:tblW w:w="76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641"/>
        <w:gridCol w:w="2603"/>
        <w:gridCol w:w="996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功能名称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MmwDemo_processChirp()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原始数据</w:t>
            </w:r>
            <w:r>
              <w:rPr>
                <w:rFonts w:hint="eastAsia" w:ascii="Century" w:hAnsi="Century" w:eastAsia="MS Mincho"/>
                <w:sz w:val="20"/>
              </w:rPr>
              <w:t>地址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M</w:t>
            </w:r>
            <w:r>
              <w:rPr>
                <w:rFonts w:ascii="Century" w:hAnsi="Century" w:eastAsia="MS Mincho"/>
                <w:sz w:val="20"/>
              </w:rPr>
              <w:t>MIC采样通过总线传输到</w:t>
            </w:r>
            <w:r>
              <w:rPr>
                <w:rFonts w:hint="eastAsia" w:ascii="Century" w:hAnsi="Century" w:eastAsia="MS Mincho"/>
                <w:sz w:val="20"/>
              </w:rPr>
              <w:t>S</w:t>
            </w:r>
            <w:r>
              <w:rPr>
                <w:rFonts w:ascii="Century" w:hAnsi="Century" w:eastAsia="MS Mincho"/>
                <w:sz w:val="20"/>
              </w:rPr>
              <w:t>RAM</w:t>
            </w:r>
            <w:r>
              <w:rPr>
                <w:rFonts w:hint="eastAsia" w:ascii="Century" w:hAnsi="Century" w:eastAsia="MS Mincho"/>
                <w:sz w:val="20"/>
              </w:rPr>
              <w:t>（ADC data Buffer）</w:t>
            </w:r>
            <w:r>
              <w:rPr>
                <w:rFonts w:ascii="Century" w:hAnsi="Century" w:eastAsia="MS Mincho"/>
                <w:sz w:val="20"/>
              </w:rPr>
              <w:t>的地址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0x2100_0000</w:t>
            </w:r>
            <w:r>
              <w:rPr>
                <w:rFonts w:hint="eastAsia" w:ascii="Century" w:hAnsi="Century" w:eastAsia="MS Mincho"/>
                <w:sz w:val="20"/>
              </w:rPr>
              <w:t xml:space="preserve"> – </w:t>
            </w:r>
            <w:r>
              <w:rPr>
                <w:rFonts w:ascii="Century" w:hAnsi="Century" w:eastAsia="MS Mincho"/>
                <w:sz w:val="20"/>
              </w:rPr>
              <w:t>0x2100_7FFC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发射通道1的chirps</w:t>
            </w:r>
            <w:r>
              <w:rPr>
                <w:rFonts w:ascii="Century" w:hAnsi="Century" w:eastAsia="MS Mincho"/>
                <w:sz w:val="20"/>
              </w:rPr>
              <w:t>数据</w:t>
            </w:r>
            <w:r>
              <w:rPr>
                <w:rFonts w:hint="eastAsia" w:ascii="Century" w:hAnsi="Century" w:eastAsia="MS Mincho"/>
                <w:sz w:val="20"/>
              </w:rPr>
              <w:t>处理</w:t>
            </w:r>
            <w:r>
              <w:rPr>
                <w:rFonts w:ascii="Century" w:hAnsi="Century" w:eastAsia="MS Mincho"/>
                <w:sz w:val="20"/>
              </w:rPr>
              <w:t>地址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发射通道1的原始数据通过ping pang缓存EDMA数据传输</w:t>
            </w:r>
            <w:r>
              <w:rPr>
                <w:rFonts w:ascii="Century" w:hAnsi="Century" w:eastAsia="MS Mincho"/>
                <w:sz w:val="20"/>
              </w:rPr>
              <w:t>在</w:t>
            </w:r>
            <w:r>
              <w:rPr>
                <w:rFonts w:hint="eastAsia" w:ascii="Century" w:hAnsi="Century" w:eastAsia="MS Mincho"/>
                <w:sz w:val="20"/>
              </w:rPr>
              <w:t>S</w:t>
            </w:r>
            <w:r>
              <w:rPr>
                <w:rFonts w:ascii="Century" w:hAnsi="Century" w:eastAsia="MS Mincho"/>
                <w:sz w:val="20"/>
              </w:rPr>
              <w:t>RAM</w:t>
            </w:r>
            <w:r>
              <w:rPr>
                <w:rFonts w:hint="eastAsia" w:ascii="Century" w:hAnsi="Century" w:eastAsia="MS Mincho"/>
                <w:sz w:val="20"/>
              </w:rPr>
              <w:t>(L2)</w:t>
            </w:r>
            <w:r>
              <w:rPr>
                <w:rFonts w:ascii="Century" w:hAnsi="Century" w:eastAsia="MS Mincho"/>
                <w:sz w:val="20"/>
              </w:rPr>
              <w:t>中</w:t>
            </w:r>
            <w:r>
              <w:rPr>
                <w:rFonts w:hint="eastAsia" w:ascii="Century" w:hAnsi="Century" w:eastAsia="MS Mincho"/>
                <w:sz w:val="20"/>
              </w:rPr>
              <w:t>经过一维F</w:t>
            </w:r>
            <w:r>
              <w:rPr>
                <w:rFonts w:ascii="Century" w:hAnsi="Century" w:eastAsia="MS Mincho"/>
                <w:sz w:val="20"/>
              </w:rPr>
              <w:t>FT计算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0x007E_0000</w:t>
            </w:r>
            <w:r>
              <w:rPr>
                <w:rFonts w:hint="eastAsia" w:ascii="Century" w:hAnsi="Century" w:eastAsia="MS Mincho"/>
                <w:sz w:val="20"/>
              </w:rPr>
              <w:t xml:space="preserve"> – </w:t>
            </w:r>
            <w:r>
              <w:rPr>
                <w:rFonts w:ascii="Century" w:hAnsi="Century" w:eastAsia="MS Mincho"/>
                <w:sz w:val="20"/>
              </w:rPr>
              <w:t>0x0081_FFFF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帧类型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当前帧的制式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波形类型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波形的用途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输出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一维F</w:t>
            </w:r>
            <w:r>
              <w:rPr>
                <w:rFonts w:ascii="Century" w:hAnsi="Century" w:eastAsia="MS Mincho"/>
                <w:sz w:val="20"/>
              </w:rPr>
              <w:t>FT结果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一维F</w:t>
            </w:r>
            <w:r>
              <w:rPr>
                <w:rFonts w:ascii="Century" w:hAnsi="Century" w:eastAsia="MS Mincho"/>
                <w:sz w:val="20"/>
              </w:rPr>
              <w:t>FT结果</w:t>
            </w:r>
            <w:r>
              <w:rPr>
                <w:rFonts w:hint="eastAsia" w:ascii="Century" w:hAnsi="Century" w:eastAsia="MS Mincho"/>
                <w:sz w:val="20"/>
              </w:rPr>
              <w:t>地址（L3）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0x2000_0000</w:t>
            </w:r>
            <w:r>
              <w:rPr>
                <w:rFonts w:hint="eastAsia" w:ascii="Century" w:hAnsi="Century" w:eastAsia="MS Mincho"/>
                <w:sz w:val="20"/>
              </w:rPr>
              <w:t>-</w:t>
            </w:r>
            <w:r>
              <w:rPr>
                <w:rFonts w:ascii="Century" w:hAnsi="Century" w:eastAsia="MS Mincho"/>
                <w:sz w:val="20"/>
              </w:rPr>
              <w:t>0x201F_FFFF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解释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一维F</w:t>
            </w:r>
            <w:r>
              <w:rPr>
                <w:rFonts w:ascii="Century" w:hAnsi="Century" w:eastAsia="MS Mincho"/>
                <w:sz w:val="20"/>
              </w:rPr>
              <w:t>FT功能函数</w:t>
            </w:r>
          </w:p>
        </w:tc>
      </w:tr>
    </w:tbl>
    <w:p/>
    <w:p/>
    <w:p>
      <w:pPr>
        <w:pStyle w:val="23"/>
      </w:pPr>
      <w:bookmarkStart w:id="41" w:name="_Toc8549"/>
      <w:r>
        <w:rPr>
          <w:rFonts w:hint="eastAsia"/>
        </w:rPr>
        <w:t>二维F</w:t>
      </w:r>
      <w:r>
        <w:t>FT功能函数</w:t>
      </w:r>
      <w:bookmarkEnd w:id="41"/>
    </w:p>
    <w:tbl>
      <w:tblPr>
        <w:tblStyle w:val="16"/>
        <w:tblW w:w="76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641"/>
        <w:gridCol w:w="2603"/>
        <w:gridCol w:w="996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功能名称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MmwDemo_interFrameProcessing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一维F</w:t>
            </w:r>
            <w:r>
              <w:rPr>
                <w:rFonts w:ascii="Century" w:hAnsi="Century" w:eastAsia="MS Mincho"/>
                <w:sz w:val="20"/>
              </w:rPr>
              <w:t>FT数据</w:t>
            </w:r>
            <w:r>
              <w:rPr>
                <w:rFonts w:hint="eastAsia" w:ascii="Century" w:hAnsi="Century" w:eastAsia="MS Mincho"/>
                <w:sz w:val="20"/>
              </w:rPr>
              <w:t>地址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一维F</w:t>
            </w:r>
            <w:r>
              <w:rPr>
                <w:rFonts w:ascii="Century" w:hAnsi="Century" w:eastAsia="MS Mincho"/>
                <w:sz w:val="20"/>
              </w:rPr>
              <w:t>FT数据结果</w:t>
            </w:r>
            <w:r>
              <w:rPr>
                <w:rFonts w:hint="eastAsia" w:ascii="Century" w:hAnsi="Century" w:eastAsia="MS Mincho"/>
                <w:sz w:val="20"/>
              </w:rPr>
              <w:t>在S</w:t>
            </w:r>
            <w:r>
              <w:rPr>
                <w:rFonts w:ascii="Century" w:hAnsi="Century" w:eastAsia="MS Mincho"/>
                <w:sz w:val="20"/>
              </w:rPr>
              <w:t>RAM</w:t>
            </w:r>
            <w:r>
              <w:rPr>
                <w:rFonts w:hint="eastAsia" w:ascii="Century" w:hAnsi="Century" w:eastAsia="MS Mincho"/>
                <w:sz w:val="20"/>
              </w:rPr>
              <w:t>(L3)</w:t>
            </w:r>
            <w:r>
              <w:rPr>
                <w:rFonts w:ascii="Century" w:hAnsi="Century" w:eastAsia="MS Mincho"/>
                <w:sz w:val="20"/>
              </w:rPr>
              <w:t>中的存放地址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0x2000_0000</w:t>
            </w:r>
            <w:r>
              <w:rPr>
                <w:rFonts w:hint="eastAsia" w:ascii="Century" w:hAnsi="Century" w:eastAsia="MS Mincho"/>
                <w:sz w:val="20"/>
              </w:rPr>
              <w:t>-</w:t>
            </w:r>
            <w:r>
              <w:rPr>
                <w:rFonts w:ascii="Century" w:hAnsi="Century" w:eastAsia="MS Mincho"/>
                <w:sz w:val="20"/>
              </w:rPr>
              <w:t>0x201F_FFFF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二维F</w:t>
            </w:r>
            <w:r>
              <w:rPr>
                <w:rFonts w:ascii="Century" w:hAnsi="Century" w:eastAsia="MS Mincho"/>
                <w:sz w:val="20"/>
              </w:rPr>
              <w:t>FT数据地址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一维F</w:t>
            </w:r>
            <w:r>
              <w:rPr>
                <w:rFonts w:ascii="Century" w:hAnsi="Century" w:eastAsia="MS Mincho"/>
                <w:sz w:val="20"/>
              </w:rPr>
              <w:t>FT结果</w:t>
            </w:r>
            <w:r>
              <w:rPr>
                <w:rFonts w:hint="eastAsia" w:ascii="Century" w:hAnsi="Century" w:eastAsia="MS Mincho"/>
                <w:sz w:val="20"/>
              </w:rPr>
              <w:t>经过二维F</w:t>
            </w:r>
            <w:r>
              <w:rPr>
                <w:rFonts w:ascii="Century" w:hAnsi="Century" w:eastAsia="MS Mincho"/>
                <w:sz w:val="20"/>
              </w:rPr>
              <w:t>FT计算得到的结果在</w:t>
            </w:r>
            <w:r>
              <w:rPr>
                <w:rFonts w:hint="eastAsia" w:ascii="Century" w:hAnsi="Century" w:eastAsia="MS Mincho"/>
                <w:sz w:val="20"/>
              </w:rPr>
              <w:t>S</w:t>
            </w:r>
            <w:r>
              <w:rPr>
                <w:rFonts w:ascii="Century" w:hAnsi="Century" w:eastAsia="MS Mincho"/>
                <w:sz w:val="20"/>
              </w:rPr>
              <w:t>RAM</w:t>
            </w:r>
            <w:r>
              <w:rPr>
                <w:rFonts w:hint="eastAsia" w:ascii="Century" w:hAnsi="Century" w:eastAsia="MS Mincho"/>
                <w:sz w:val="20"/>
              </w:rPr>
              <w:t>(L3)</w:t>
            </w:r>
            <w:r>
              <w:rPr>
                <w:rFonts w:ascii="Century" w:hAnsi="Century" w:eastAsia="MS Mincho"/>
                <w:sz w:val="20"/>
              </w:rPr>
              <w:t>中的地址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0x2000_0000</w:t>
            </w:r>
            <w:r>
              <w:rPr>
                <w:rFonts w:hint="eastAsia" w:ascii="Century" w:hAnsi="Century" w:eastAsia="MS Mincho"/>
                <w:sz w:val="20"/>
              </w:rPr>
              <w:t>-</w:t>
            </w:r>
            <w:r>
              <w:rPr>
                <w:rFonts w:ascii="Century" w:hAnsi="Century" w:eastAsia="MS Mincho"/>
                <w:sz w:val="20"/>
              </w:rPr>
              <w:t>0x201F_FFFF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帧类型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当前帧的制式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波形类型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波形的用途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输出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二维F</w:t>
            </w:r>
            <w:r>
              <w:rPr>
                <w:rFonts w:ascii="Century" w:hAnsi="Century" w:eastAsia="MS Mincho"/>
                <w:sz w:val="20"/>
              </w:rPr>
              <w:t>FT结果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对一维F</w:t>
            </w:r>
            <w:r>
              <w:rPr>
                <w:rFonts w:ascii="Century" w:hAnsi="Century" w:eastAsia="MS Mincho"/>
                <w:sz w:val="20"/>
              </w:rPr>
              <w:t>FT结果</w:t>
            </w:r>
            <w:r>
              <w:rPr>
                <w:rFonts w:hint="eastAsia" w:ascii="Century" w:hAnsi="Century" w:eastAsia="MS Mincho"/>
                <w:sz w:val="20"/>
              </w:rPr>
              <w:t>进行处理之后的二维F</w:t>
            </w:r>
            <w:r>
              <w:rPr>
                <w:rFonts w:ascii="Century" w:hAnsi="Century" w:eastAsia="MS Mincho"/>
                <w:sz w:val="20"/>
              </w:rPr>
              <w:t>FT结果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 xml:space="preserve">0 </w:t>
            </w:r>
            <w:r>
              <w:rPr>
                <w:rFonts w:hint="eastAsia" w:ascii="Century" w:hAnsi="Century" w:eastAsia="MS Mincho"/>
                <w:sz w:val="20"/>
              </w:rPr>
              <w:t>--</w:t>
            </w:r>
            <w:r>
              <w:rPr>
                <w:rFonts w:ascii="Century" w:hAnsi="Century" w:eastAsia="MS Mincho"/>
                <w:sz w:val="20"/>
              </w:rPr>
              <w:t xml:space="preserve"> 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解释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二维F</w:t>
            </w:r>
            <w:r>
              <w:rPr>
                <w:rFonts w:ascii="Century" w:hAnsi="Century" w:eastAsia="MS Mincho"/>
                <w:sz w:val="20"/>
              </w:rPr>
              <w:t>FT功能函数</w:t>
            </w:r>
          </w:p>
        </w:tc>
      </w:tr>
    </w:tbl>
    <w:p/>
    <w:p/>
    <w:p>
      <w:pPr>
        <w:pStyle w:val="23"/>
      </w:pPr>
      <w:bookmarkStart w:id="42" w:name="_Toc7539"/>
      <w:r>
        <w:rPr>
          <w:rFonts w:hint="eastAsia"/>
        </w:rPr>
        <w:t>二维幅值矩阵功能函数</w:t>
      </w:r>
      <w:bookmarkEnd w:id="42"/>
    </w:p>
    <w:tbl>
      <w:tblPr>
        <w:tblStyle w:val="16"/>
        <w:tblW w:w="76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641"/>
        <w:gridCol w:w="2603"/>
        <w:gridCol w:w="996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功能名称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AoaDspDopplerMagnitudeCalculate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二维F</w:t>
            </w:r>
            <w:r>
              <w:rPr>
                <w:rFonts w:ascii="Century" w:hAnsi="Century" w:eastAsia="MS Mincho"/>
                <w:sz w:val="20"/>
              </w:rPr>
              <w:t>FT结果</w:t>
            </w:r>
            <w:r>
              <w:rPr>
                <w:rFonts w:hint="eastAsia" w:ascii="Century" w:hAnsi="Century" w:eastAsia="MS Mincho"/>
                <w:sz w:val="20"/>
              </w:rPr>
              <w:t>地址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二维F</w:t>
            </w:r>
            <w:r>
              <w:rPr>
                <w:rFonts w:ascii="Century" w:hAnsi="Century" w:eastAsia="MS Mincho"/>
                <w:sz w:val="20"/>
              </w:rPr>
              <w:t>FT</w:t>
            </w:r>
            <w:r>
              <w:rPr>
                <w:rFonts w:hint="eastAsia" w:ascii="Century" w:hAnsi="Century" w:eastAsia="MS Mincho"/>
                <w:sz w:val="20"/>
              </w:rPr>
              <w:t>结果的S</w:t>
            </w:r>
            <w:r>
              <w:rPr>
                <w:rFonts w:ascii="Century" w:hAnsi="Century" w:eastAsia="MS Mincho"/>
                <w:sz w:val="20"/>
              </w:rPr>
              <w:t>RAM</w:t>
            </w:r>
            <w:r>
              <w:rPr>
                <w:rFonts w:hint="eastAsia" w:ascii="Century" w:hAnsi="Century"/>
                <w:sz w:val="20"/>
                <w:lang w:eastAsia="zh-CN"/>
              </w:rPr>
              <w:t>（</w:t>
            </w:r>
            <w:r>
              <w:rPr>
                <w:rFonts w:hint="eastAsia" w:ascii="Century" w:hAnsi="Century"/>
                <w:sz w:val="20"/>
                <w:lang w:val="en-US" w:eastAsia="zh-CN"/>
              </w:rPr>
              <w:t>L3</w:t>
            </w:r>
            <w:r>
              <w:rPr>
                <w:rFonts w:hint="eastAsia" w:ascii="Century" w:hAnsi="Century"/>
                <w:sz w:val="20"/>
                <w:lang w:eastAsia="zh-CN"/>
              </w:rPr>
              <w:t>）</w:t>
            </w:r>
            <w:r>
              <w:rPr>
                <w:rFonts w:ascii="Century" w:hAnsi="Century" w:eastAsia="MS Mincho"/>
                <w:sz w:val="20"/>
              </w:rPr>
              <w:t>地址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0x2000_0000</w:t>
            </w:r>
            <w:r>
              <w:rPr>
                <w:rFonts w:hint="eastAsia" w:ascii="Century" w:hAnsi="Century" w:eastAsia="MS Mincho"/>
                <w:sz w:val="20"/>
              </w:rPr>
              <w:t>-</w:t>
            </w:r>
            <w:r>
              <w:rPr>
                <w:rFonts w:ascii="Century" w:hAnsi="Century" w:eastAsia="MS Mincho"/>
                <w:sz w:val="20"/>
              </w:rPr>
              <w:t>0x201F_FFFF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幅值矩阵地址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对多通道的二维</w:t>
            </w:r>
            <w:r>
              <w:rPr>
                <w:rFonts w:hint="eastAsia" w:ascii="Century" w:hAnsi="Century" w:eastAsia="MS Mincho"/>
                <w:sz w:val="20"/>
              </w:rPr>
              <w:t>F</w:t>
            </w:r>
            <w:r>
              <w:rPr>
                <w:rFonts w:ascii="Century" w:hAnsi="Century" w:eastAsia="MS Mincho"/>
                <w:sz w:val="20"/>
              </w:rPr>
              <w:t>FT进行非相参累积之后得到的幅值矩阵</w:t>
            </w:r>
            <w:r>
              <w:rPr>
                <w:rFonts w:hint="eastAsia" w:ascii="Century" w:hAnsi="Century" w:eastAsia="MS Mincho"/>
                <w:sz w:val="20"/>
              </w:rPr>
              <w:t>在S</w:t>
            </w:r>
            <w:r>
              <w:rPr>
                <w:rFonts w:ascii="Century" w:hAnsi="Century" w:eastAsia="MS Mincho"/>
                <w:sz w:val="20"/>
              </w:rPr>
              <w:t>RAM中的存储地址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0x2000_0000</w:t>
            </w:r>
            <w:r>
              <w:rPr>
                <w:rFonts w:hint="eastAsia" w:ascii="Century" w:hAnsi="Century" w:eastAsia="MS Mincho"/>
                <w:sz w:val="20"/>
              </w:rPr>
              <w:t>-</w:t>
            </w:r>
            <w:r>
              <w:rPr>
                <w:rFonts w:ascii="Century" w:hAnsi="Century" w:eastAsia="MS Mincho"/>
                <w:sz w:val="20"/>
              </w:rPr>
              <w:t>0x201F_FFFF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帧类型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当前帧的制式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teMrModeFrame,</w:t>
            </w:r>
          </w:p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teSrModeFrame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输入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波形类型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波形的用途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teReferenceChirp,</w:t>
            </w:r>
          </w:p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>teBaseChirp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restart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输出</w:t>
            </w:r>
          </w:p>
        </w:tc>
        <w:tc>
          <w:tcPr>
            <w:tcW w:w="1641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二维幅值矩阵结果</w:t>
            </w:r>
          </w:p>
        </w:tc>
        <w:tc>
          <w:tcPr>
            <w:tcW w:w="2603" w:type="dxa"/>
            <w:vMerge w:val="restart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对二维F</w:t>
            </w:r>
            <w:r>
              <w:rPr>
                <w:rFonts w:ascii="Century" w:hAnsi="Century" w:eastAsia="MS Mincho"/>
                <w:sz w:val="20"/>
              </w:rPr>
              <w:t>FT结果</w:t>
            </w:r>
            <w:r>
              <w:rPr>
                <w:rFonts w:hint="eastAsia" w:ascii="Century" w:hAnsi="Century" w:eastAsia="MS Mincho"/>
                <w:sz w:val="20"/>
              </w:rPr>
              <w:t>进行处理之后的二维幅值矩阵</w:t>
            </w:r>
            <w:r>
              <w:rPr>
                <w:rFonts w:ascii="Century" w:hAnsi="Century" w:eastAsia="MS Mincho"/>
                <w:sz w:val="20"/>
              </w:rPr>
              <w:t>结果</w:t>
            </w: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精度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值域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ascii="Century" w:hAnsi="Century" w:eastAsia="MS Mincho"/>
                <w:sz w:val="20"/>
              </w:rPr>
              <w:t xml:space="preserve">0 </w:t>
            </w:r>
            <w:r>
              <w:rPr>
                <w:rFonts w:hint="eastAsia" w:ascii="Century" w:hAnsi="Century" w:eastAsia="MS Mincho"/>
                <w:sz w:val="20"/>
              </w:rPr>
              <w:t>--</w:t>
            </w:r>
            <w:r>
              <w:rPr>
                <w:rFonts w:ascii="Century" w:hAnsi="Century" w:eastAsia="MS Mincho"/>
                <w:sz w:val="20"/>
              </w:rPr>
              <w:t xml:space="preserve"> 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vMerge w:val="continue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1641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2603" w:type="dxa"/>
            <w:vMerge w:val="continue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</w:p>
        </w:tc>
        <w:tc>
          <w:tcPr>
            <w:tcW w:w="9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分辨率</w:t>
            </w:r>
          </w:p>
        </w:tc>
        <w:tc>
          <w:tcPr>
            <w:tcW w:w="1696" w:type="dxa"/>
            <w:vAlign w:val="center"/>
          </w:tcPr>
          <w:p>
            <w:pPr>
              <w:pStyle w:val="6"/>
              <w:jc w:val="center"/>
              <w:rPr>
                <w:rFonts w:ascii="Century" w:hAnsi="Century" w:eastAsia="MS Mincho"/>
                <w:sz w:val="20"/>
              </w:rPr>
            </w:pPr>
            <w:r>
              <w:rPr>
                <w:rFonts w:hint="eastAsia" w:ascii="Century" w:hAnsi="Century" w:eastAsia="MS Mincho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  <w:jc w:val="center"/>
        </w:trPr>
        <w:tc>
          <w:tcPr>
            <w:tcW w:w="713" w:type="dxa"/>
            <w:shd w:val="clear" w:color="auto" w:fill="CCECFF"/>
            <w:vAlign w:val="center"/>
          </w:tcPr>
          <w:p>
            <w:pPr>
              <w:pStyle w:val="6"/>
              <w:jc w:val="center"/>
              <w:rPr>
                <w:rFonts w:hint="eastAsia" w:ascii="Century" w:hAnsi="Century" w:eastAsia="宋体"/>
                <w:sz w:val="20"/>
                <w:lang w:val="en-US" w:eastAsia="zh-CN"/>
              </w:rPr>
            </w:pPr>
            <w:r>
              <w:rPr>
                <w:rFonts w:hint="eastAsia" w:ascii="Century" w:hAnsi="Century"/>
                <w:sz w:val="20"/>
                <w:lang w:val="en-US" w:eastAsia="zh-CN"/>
              </w:rPr>
              <w:t>解释</w:t>
            </w:r>
          </w:p>
        </w:tc>
        <w:tc>
          <w:tcPr>
            <w:tcW w:w="6936" w:type="dxa"/>
            <w:gridSpan w:val="4"/>
            <w:vAlign w:val="center"/>
          </w:tcPr>
          <w:p>
            <w:pPr>
              <w:pStyle w:val="6"/>
              <w:jc w:val="center"/>
              <w:rPr>
                <w:rFonts w:hint="default" w:ascii="Century" w:hAnsi="Century" w:eastAsia="宋体"/>
                <w:sz w:val="20"/>
                <w:lang w:val="en-US" w:eastAsia="zh-CN"/>
              </w:rPr>
            </w:pPr>
            <w:r>
              <w:rPr>
                <w:rFonts w:hint="eastAsia" w:ascii="Century" w:hAnsi="Century"/>
                <w:sz w:val="20"/>
                <w:lang w:val="en-US" w:eastAsia="zh-CN"/>
              </w:rPr>
              <w:t>幅值计算函数</w:t>
            </w:r>
          </w:p>
        </w:tc>
      </w:tr>
    </w:tbl>
    <w:p>
      <w:pPr>
        <w:pStyle w:val="6"/>
      </w:pPr>
    </w:p>
    <w:p/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0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none" w:color="auto" w:sz="0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68"/>
      <w:gridCol w:w="4860"/>
      <w:gridCol w:w="1477"/>
      <w:gridCol w:w="1015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40" w:hRule="atLeast"/>
      </w:trPr>
      <w:tc>
        <w:tcPr>
          <w:tcW w:w="1368" w:type="dxa"/>
          <w:vMerge w:val="restart"/>
          <w:tcBorders>
            <w:top w:val="single" w:color="auto" w:sz="12" w:space="0"/>
            <w:left w:val="single" w:color="auto" w:sz="12" w:space="0"/>
            <w:right w:val="single" w:color="auto" w:sz="12" w:space="0"/>
          </w:tcBorders>
          <w:vAlign w:val="center"/>
        </w:tcPr>
        <w:p>
          <w:pPr>
            <w:pStyle w:val="9"/>
            <w:jc w:val="center"/>
          </w:pPr>
        </w:p>
      </w:tc>
      <w:tc>
        <w:tcPr>
          <w:tcW w:w="4860" w:type="dxa"/>
          <w:vMerge w:val="restart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b/>
              <w:color w:val="0000FF"/>
              <w:sz w:val="24"/>
            </w:rPr>
          </w:pPr>
          <w:r>
            <w:rPr>
              <w:rFonts w:hint="eastAsia" w:ascii="MS UI Gothic" w:hAnsi="MS UI Gothic"/>
              <w:b/>
              <w:color w:val="auto"/>
              <w:szCs w:val="28"/>
            </w:rPr>
            <w:t>组件详细设计</w:t>
          </w:r>
        </w:p>
      </w:tc>
      <w:tc>
        <w:tcPr>
          <w:tcW w:w="2492" w:type="dxa"/>
          <w:gridSpan w:val="2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rFonts w:ascii="MS UI Gothic" w:hAnsi="MS UI Gothic" w:eastAsia="MS UI Gothic"/>
              <w:b/>
              <w:sz w:val="24"/>
              <w:szCs w:val="24"/>
            </w:rPr>
          </w:pPr>
          <w:r>
            <w:rPr>
              <w:rFonts w:hint="eastAsia" w:ascii="MS UI Gothic" w:hAnsi="MS UI Gothic"/>
              <w:sz w:val="20"/>
              <w:szCs w:val="20"/>
            </w:rPr>
            <w:t>项目编号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35" w:hRule="atLeast"/>
      </w:trPr>
      <w:tc>
        <w:tcPr>
          <w:tcW w:w="1368" w:type="dxa"/>
          <w:vMerge w:val="continue"/>
          <w:tcBorders>
            <w:top w:val="single" w:color="auto" w:sz="12" w:space="0"/>
            <w:left w:val="single" w:color="auto" w:sz="12" w:space="0"/>
            <w:right w:val="single" w:color="auto" w:sz="12" w:space="0"/>
          </w:tcBorders>
          <w:vAlign w:val="center"/>
        </w:tcPr>
        <w:p>
          <w:pPr>
            <w:pStyle w:val="9"/>
            <w:jc w:val="center"/>
          </w:pPr>
        </w:p>
      </w:tc>
      <w:tc>
        <w:tcPr>
          <w:tcW w:w="4860" w:type="dxa"/>
          <w:vMerge w:val="continue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pStyle w:val="10"/>
            <w:rPr>
              <w:b/>
              <w:sz w:val="32"/>
              <w:szCs w:val="32"/>
            </w:rPr>
          </w:pPr>
        </w:p>
      </w:tc>
      <w:tc>
        <w:tcPr>
          <w:tcW w:w="2492" w:type="dxa"/>
          <w:gridSpan w:val="2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rFonts w:ascii="MS UI Gothic" w:hAnsi="MS UI Gothic" w:eastAsia="MS UI Gothic"/>
              <w:sz w:val="20"/>
              <w:szCs w:val="20"/>
            </w:rPr>
          </w:pPr>
          <w:r>
            <w:rPr>
              <w:rFonts w:hint="eastAsia" w:ascii="MS UI Gothic" w:hAnsi="MS UI Gothic"/>
              <w:sz w:val="20"/>
              <w:szCs w:val="20"/>
            </w:rPr>
            <w:t>文件编号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</w:trPr>
      <w:tc>
        <w:tcPr>
          <w:tcW w:w="1368" w:type="dxa"/>
          <w:vMerge w:val="continue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pStyle w:val="9"/>
            <w:jc w:val="center"/>
          </w:pPr>
        </w:p>
      </w:tc>
      <w:tc>
        <w:tcPr>
          <w:tcW w:w="4860" w:type="dxa"/>
          <w:vMerge w:val="continue"/>
          <w:tcBorders>
            <w:top w:val="nil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both"/>
            <w:rPr>
              <w:szCs w:val="21"/>
            </w:rPr>
          </w:pPr>
        </w:p>
      </w:tc>
      <w:tc>
        <w:tcPr>
          <w:tcW w:w="1477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rFonts w:ascii="MS UI Gothic" w:hAnsi="MS UI Gothic" w:eastAsia="MS UI Gothic"/>
              <w:sz w:val="24"/>
              <w:szCs w:val="24"/>
            </w:rPr>
          </w:pPr>
          <w:r>
            <w:rPr>
              <w:rFonts w:hint="eastAsia" w:ascii="MS UI Gothic" w:hAnsi="MS UI Gothic"/>
              <w:sz w:val="24"/>
              <w:szCs w:val="24"/>
            </w:rPr>
            <w:t>版本</w:t>
          </w:r>
        </w:p>
      </w:tc>
      <w:tc>
        <w:tcPr>
          <w:tcW w:w="1015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rFonts w:ascii="MS UI Gothic" w:hAnsi="MS UI Gothic" w:eastAsia="MS UI Gothic"/>
              <w:sz w:val="24"/>
              <w:szCs w:val="24"/>
            </w:rPr>
          </w:pPr>
          <w:r>
            <w:rPr>
              <w:rFonts w:hint="eastAsia" w:ascii="MS UI Gothic" w:hAnsi="MS UI Gothic"/>
              <w:sz w:val="24"/>
              <w:szCs w:val="24"/>
            </w:rPr>
            <w:t>页</w:t>
          </w:r>
          <w:r>
            <w:rPr>
              <w:rFonts w:hint="eastAsia" w:ascii="MS UI Gothic" w:hAnsi="MS UI Gothic" w:eastAsia="MS UI Gothic"/>
              <w:sz w:val="24"/>
              <w:szCs w:val="24"/>
            </w:rPr>
            <w:t xml:space="preserve"> </w:t>
          </w:r>
          <w:r>
            <w:rPr>
              <w:rFonts w:ascii="MS UI Gothic" w:hAnsi="MS UI Gothic" w:eastAsia="MS UI Gothic"/>
              <w:sz w:val="24"/>
              <w:szCs w:val="24"/>
            </w:rPr>
            <w:fldChar w:fldCharType="begin"/>
          </w:r>
          <w:r>
            <w:rPr>
              <w:rFonts w:ascii="MS UI Gothic" w:hAnsi="MS UI Gothic" w:eastAsia="MS UI Gothic"/>
              <w:sz w:val="24"/>
              <w:szCs w:val="24"/>
            </w:rPr>
            <w:instrText xml:space="preserve"> PAGE </w:instrText>
          </w:r>
          <w:r>
            <w:rPr>
              <w:rFonts w:ascii="MS UI Gothic" w:hAnsi="MS UI Gothic" w:eastAsia="MS UI Gothic"/>
              <w:sz w:val="24"/>
              <w:szCs w:val="24"/>
            </w:rPr>
            <w:fldChar w:fldCharType="separate"/>
          </w:r>
          <w:r>
            <w:rPr>
              <w:rFonts w:ascii="MS UI Gothic" w:hAnsi="MS UI Gothic" w:eastAsia="MS UI Gothic"/>
              <w:sz w:val="24"/>
              <w:szCs w:val="24"/>
            </w:rPr>
            <w:t>21</w:t>
          </w:r>
          <w:r>
            <w:rPr>
              <w:rFonts w:ascii="MS UI Gothic" w:hAnsi="MS UI Gothic" w:eastAsia="MS UI Gothic"/>
              <w:sz w:val="24"/>
              <w:szCs w:val="24"/>
            </w:rPr>
            <w:fldChar w:fldCharType="end"/>
          </w:r>
        </w:p>
      </w:tc>
    </w:tr>
  </w:tbl>
  <w:p>
    <w:pPr>
      <w:spacing w:line="20" w:lineRule="exact"/>
    </w:pP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ACD1"/>
    <w:multiLevelType w:val="singleLevel"/>
    <w:tmpl w:val="BFFEAC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701CEA"/>
    <w:multiLevelType w:val="singleLevel"/>
    <w:tmpl w:val="DB701CE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12"/>
      <w:lvlText w:val="%1."/>
      <w:lvlJc w:val="left"/>
      <w:pPr>
        <w:tabs>
          <w:tab w:val="left" w:pos="2061"/>
        </w:tabs>
        <w:ind w:left="2061" w:hanging="360"/>
      </w:p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8"/>
      <w:lvlText w:val=""/>
      <w:lvlJc w:val="left"/>
      <w:pPr>
        <w:tabs>
          <w:tab w:val="left" w:pos="2061"/>
        </w:tabs>
        <w:ind w:left="2061" w:hanging="360"/>
      </w:pPr>
      <w:rPr>
        <w:rFonts w:hint="default" w:ascii="Wingdings" w:hAnsi="Wingdings"/>
      </w:rPr>
    </w:lvl>
  </w:abstractNum>
  <w:abstractNum w:abstractNumId="4">
    <w:nsid w:val="033B2F37"/>
    <w:multiLevelType w:val="multilevel"/>
    <w:tmpl w:val="033B2F37"/>
    <w:lvl w:ilvl="0" w:tentative="0">
      <w:start w:val="1"/>
      <w:numFmt w:val="decimal"/>
      <w:pStyle w:val="25"/>
      <w:suff w:val="space"/>
      <w:lvlText w:val="%1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8"/>
      </w:rPr>
    </w:lvl>
    <w:lvl w:ilvl="1" w:tentative="0">
      <w:start w:val="1"/>
      <w:numFmt w:val="decimal"/>
      <w:pStyle w:val="2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36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5">
    <w:nsid w:val="0DB92E80"/>
    <w:multiLevelType w:val="multilevel"/>
    <w:tmpl w:val="0DB92E80"/>
    <w:lvl w:ilvl="0" w:tentative="0">
      <w:start w:val="1"/>
      <w:numFmt w:val="decimal"/>
      <w:pStyle w:val="38"/>
      <w:suff w:val="space"/>
      <w:lvlText w:val="图%1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1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6">
    <w:nsid w:val="162E07C2"/>
    <w:multiLevelType w:val="multilevel"/>
    <w:tmpl w:val="162E07C2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  <w:color w:val="000000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olor w:val="00000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color w:val="000000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  <w:color w:val="000000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  <w:color w:val="000000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  <w:color w:val="000000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60"/>
        </w:tabs>
        <w:ind w:left="2160" w:hanging="2160"/>
      </w:pPr>
      <w:rPr>
        <w:rFonts w:hint="default"/>
        <w:color w:val="000000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  <w:color w:val="000000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  <w:color w:val="000000"/>
      </w:rPr>
    </w:lvl>
  </w:abstractNum>
  <w:abstractNum w:abstractNumId="7">
    <w:nsid w:val="34FA288E"/>
    <w:multiLevelType w:val="multilevel"/>
    <w:tmpl w:val="34FA288E"/>
    <w:lvl w:ilvl="0" w:tentative="0">
      <w:start w:val="1"/>
      <w:numFmt w:val="bullet"/>
      <w:pStyle w:val="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color w:val="808080"/>
      </w:rPr>
    </w:lvl>
    <w:lvl w:ilvl="1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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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3AC569BD"/>
    <w:multiLevelType w:val="multilevel"/>
    <w:tmpl w:val="3AC569BD"/>
    <w:lvl w:ilvl="0" w:tentative="0">
      <w:start w:val="1"/>
      <w:numFmt w:val="decimal"/>
      <w:pStyle w:val="20"/>
      <w:lvlText w:val="表 %1 "/>
      <w:lvlJc w:val="left"/>
      <w:pPr>
        <w:ind w:left="420" w:hanging="420"/>
      </w:pPr>
      <w:rPr>
        <w:rFonts w:hint="default" w:ascii="Times New Roman" w:hAnsi="Times New Roman" w:eastAsia="宋体"/>
        <w:b/>
        <w:i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7D53F9"/>
    <w:multiLevelType w:val="multilevel"/>
    <w:tmpl w:val="7A7D53F9"/>
    <w:lvl w:ilvl="0" w:tentative="0">
      <w:start w:val="1"/>
      <w:numFmt w:val="decimal"/>
      <w:lvlText w:val="%1"/>
      <w:lvlJc w:val="left"/>
      <w:pPr>
        <w:tabs>
          <w:tab w:val="left" w:pos="555"/>
        </w:tabs>
        <w:ind w:left="555" w:hanging="555"/>
      </w:pPr>
      <w:rPr>
        <w:rFonts w:hint="default"/>
        <w:color w:val="000000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2551" w:firstLine="0"/>
      </w:pPr>
      <w:rPr>
        <w:rFonts w:hint="default"/>
        <w:color w:val="00000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color w:val="000000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  <w:color w:val="000000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  <w:color w:val="000000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  <w:color w:val="000000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60"/>
        </w:tabs>
        <w:ind w:left="2160" w:hanging="2160"/>
      </w:pPr>
      <w:rPr>
        <w:rFonts w:hint="default"/>
        <w:color w:val="000000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  <w:color w:val="000000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  <w:color w:val="00000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160"/>
    <w:rsid w:val="000224B6"/>
    <w:rsid w:val="00023F0B"/>
    <w:rsid w:val="000264A9"/>
    <w:rsid w:val="000508BD"/>
    <w:rsid w:val="000550ED"/>
    <w:rsid w:val="00063D84"/>
    <w:rsid w:val="000770BC"/>
    <w:rsid w:val="00080469"/>
    <w:rsid w:val="0008138E"/>
    <w:rsid w:val="0008329D"/>
    <w:rsid w:val="000948EF"/>
    <w:rsid w:val="000A00A2"/>
    <w:rsid w:val="000D03DF"/>
    <w:rsid w:val="000D05D1"/>
    <w:rsid w:val="000E15E5"/>
    <w:rsid w:val="000F2AB6"/>
    <w:rsid w:val="0011395C"/>
    <w:rsid w:val="00117028"/>
    <w:rsid w:val="00123373"/>
    <w:rsid w:val="00123B82"/>
    <w:rsid w:val="00151D02"/>
    <w:rsid w:val="0015764E"/>
    <w:rsid w:val="00166463"/>
    <w:rsid w:val="00172A27"/>
    <w:rsid w:val="001734E1"/>
    <w:rsid w:val="00175ECD"/>
    <w:rsid w:val="001767DC"/>
    <w:rsid w:val="00180342"/>
    <w:rsid w:val="00190A6D"/>
    <w:rsid w:val="00194600"/>
    <w:rsid w:val="0019659D"/>
    <w:rsid w:val="001A0698"/>
    <w:rsid w:val="001C1420"/>
    <w:rsid w:val="001D35BD"/>
    <w:rsid w:val="001D44CC"/>
    <w:rsid w:val="001D68B4"/>
    <w:rsid w:val="001E47B2"/>
    <w:rsid w:val="00217E2C"/>
    <w:rsid w:val="00236332"/>
    <w:rsid w:val="00237118"/>
    <w:rsid w:val="002503AC"/>
    <w:rsid w:val="00254364"/>
    <w:rsid w:val="002572E9"/>
    <w:rsid w:val="0025734E"/>
    <w:rsid w:val="00266542"/>
    <w:rsid w:val="00271BF0"/>
    <w:rsid w:val="00272CD4"/>
    <w:rsid w:val="002C5104"/>
    <w:rsid w:val="002C6C6A"/>
    <w:rsid w:val="002C780B"/>
    <w:rsid w:val="002D4481"/>
    <w:rsid w:val="002D5FFA"/>
    <w:rsid w:val="002E71FD"/>
    <w:rsid w:val="003022CC"/>
    <w:rsid w:val="00303F65"/>
    <w:rsid w:val="00304237"/>
    <w:rsid w:val="003068DE"/>
    <w:rsid w:val="00314B25"/>
    <w:rsid w:val="003169A2"/>
    <w:rsid w:val="0033695B"/>
    <w:rsid w:val="00337C3D"/>
    <w:rsid w:val="003475AE"/>
    <w:rsid w:val="00360107"/>
    <w:rsid w:val="00361BDE"/>
    <w:rsid w:val="00375B43"/>
    <w:rsid w:val="003851C5"/>
    <w:rsid w:val="00390860"/>
    <w:rsid w:val="00393367"/>
    <w:rsid w:val="00395BD7"/>
    <w:rsid w:val="003B42E2"/>
    <w:rsid w:val="003C64CE"/>
    <w:rsid w:val="003D078B"/>
    <w:rsid w:val="003E41B0"/>
    <w:rsid w:val="003E724B"/>
    <w:rsid w:val="003F3008"/>
    <w:rsid w:val="003F529A"/>
    <w:rsid w:val="00406641"/>
    <w:rsid w:val="004271A7"/>
    <w:rsid w:val="004304F5"/>
    <w:rsid w:val="00430522"/>
    <w:rsid w:val="00443F0B"/>
    <w:rsid w:val="00451468"/>
    <w:rsid w:val="00463EFB"/>
    <w:rsid w:val="0046472A"/>
    <w:rsid w:val="00480B5A"/>
    <w:rsid w:val="00495337"/>
    <w:rsid w:val="004A16A8"/>
    <w:rsid w:val="004A3042"/>
    <w:rsid w:val="004B7DF8"/>
    <w:rsid w:val="004C0661"/>
    <w:rsid w:val="004C0907"/>
    <w:rsid w:val="004C2A66"/>
    <w:rsid w:val="004D3234"/>
    <w:rsid w:val="004D71A5"/>
    <w:rsid w:val="004F1968"/>
    <w:rsid w:val="004F4D35"/>
    <w:rsid w:val="00501C26"/>
    <w:rsid w:val="00507FD1"/>
    <w:rsid w:val="005308EB"/>
    <w:rsid w:val="00540475"/>
    <w:rsid w:val="00543605"/>
    <w:rsid w:val="00547E17"/>
    <w:rsid w:val="00553DD9"/>
    <w:rsid w:val="005629D6"/>
    <w:rsid w:val="005633C8"/>
    <w:rsid w:val="005A1399"/>
    <w:rsid w:val="005A3EE0"/>
    <w:rsid w:val="005B4248"/>
    <w:rsid w:val="005C320E"/>
    <w:rsid w:val="005C3D55"/>
    <w:rsid w:val="005C4A45"/>
    <w:rsid w:val="005D257B"/>
    <w:rsid w:val="005D3E93"/>
    <w:rsid w:val="005D4319"/>
    <w:rsid w:val="005D72B6"/>
    <w:rsid w:val="005E08F3"/>
    <w:rsid w:val="00602EFC"/>
    <w:rsid w:val="0060721D"/>
    <w:rsid w:val="00607354"/>
    <w:rsid w:val="0060740D"/>
    <w:rsid w:val="00631D3B"/>
    <w:rsid w:val="00633283"/>
    <w:rsid w:val="00655829"/>
    <w:rsid w:val="006563FF"/>
    <w:rsid w:val="00666DA8"/>
    <w:rsid w:val="00670FB8"/>
    <w:rsid w:val="0068137C"/>
    <w:rsid w:val="0068164F"/>
    <w:rsid w:val="00687B4B"/>
    <w:rsid w:val="00687C66"/>
    <w:rsid w:val="00693A0A"/>
    <w:rsid w:val="00694C73"/>
    <w:rsid w:val="006A2231"/>
    <w:rsid w:val="006B2ACD"/>
    <w:rsid w:val="006B3E2F"/>
    <w:rsid w:val="006B7F81"/>
    <w:rsid w:val="006D7146"/>
    <w:rsid w:val="00701E64"/>
    <w:rsid w:val="00725F83"/>
    <w:rsid w:val="0074009B"/>
    <w:rsid w:val="00746AEE"/>
    <w:rsid w:val="007529C1"/>
    <w:rsid w:val="0076657F"/>
    <w:rsid w:val="00771391"/>
    <w:rsid w:val="007733FB"/>
    <w:rsid w:val="007765B6"/>
    <w:rsid w:val="00786D15"/>
    <w:rsid w:val="007B0472"/>
    <w:rsid w:val="007C02A5"/>
    <w:rsid w:val="007C14D2"/>
    <w:rsid w:val="007D0471"/>
    <w:rsid w:val="007E017E"/>
    <w:rsid w:val="007E46C1"/>
    <w:rsid w:val="007E6FBB"/>
    <w:rsid w:val="007F723E"/>
    <w:rsid w:val="007F7BA7"/>
    <w:rsid w:val="00800A7E"/>
    <w:rsid w:val="00802DFC"/>
    <w:rsid w:val="00816243"/>
    <w:rsid w:val="00816E27"/>
    <w:rsid w:val="008255A2"/>
    <w:rsid w:val="008327CA"/>
    <w:rsid w:val="0083446E"/>
    <w:rsid w:val="00882307"/>
    <w:rsid w:val="008A5BA4"/>
    <w:rsid w:val="008A7D2E"/>
    <w:rsid w:val="008B78E6"/>
    <w:rsid w:val="008C044F"/>
    <w:rsid w:val="008E6E5D"/>
    <w:rsid w:val="00900262"/>
    <w:rsid w:val="009173A2"/>
    <w:rsid w:val="00917876"/>
    <w:rsid w:val="00930EB9"/>
    <w:rsid w:val="009413C7"/>
    <w:rsid w:val="009602F2"/>
    <w:rsid w:val="0096720B"/>
    <w:rsid w:val="009707ED"/>
    <w:rsid w:val="0098366C"/>
    <w:rsid w:val="00983C3B"/>
    <w:rsid w:val="00986D44"/>
    <w:rsid w:val="009B61DF"/>
    <w:rsid w:val="009B7729"/>
    <w:rsid w:val="009C165C"/>
    <w:rsid w:val="009C17CE"/>
    <w:rsid w:val="009C42C4"/>
    <w:rsid w:val="009E08FD"/>
    <w:rsid w:val="009E3833"/>
    <w:rsid w:val="009E4B2F"/>
    <w:rsid w:val="009E4C03"/>
    <w:rsid w:val="009E518C"/>
    <w:rsid w:val="009E5461"/>
    <w:rsid w:val="009E7A28"/>
    <w:rsid w:val="009F09D6"/>
    <w:rsid w:val="009F129F"/>
    <w:rsid w:val="009F2765"/>
    <w:rsid w:val="009F33F7"/>
    <w:rsid w:val="009F3455"/>
    <w:rsid w:val="00A06CDD"/>
    <w:rsid w:val="00A079D4"/>
    <w:rsid w:val="00A10C8D"/>
    <w:rsid w:val="00A11276"/>
    <w:rsid w:val="00A137DF"/>
    <w:rsid w:val="00A233B6"/>
    <w:rsid w:val="00A2362A"/>
    <w:rsid w:val="00A253E8"/>
    <w:rsid w:val="00A25D24"/>
    <w:rsid w:val="00A3772D"/>
    <w:rsid w:val="00A378C0"/>
    <w:rsid w:val="00A37D11"/>
    <w:rsid w:val="00A4236A"/>
    <w:rsid w:val="00A437AD"/>
    <w:rsid w:val="00A47C3E"/>
    <w:rsid w:val="00A5518B"/>
    <w:rsid w:val="00A60068"/>
    <w:rsid w:val="00A61E91"/>
    <w:rsid w:val="00A66FD7"/>
    <w:rsid w:val="00A9330B"/>
    <w:rsid w:val="00AA521A"/>
    <w:rsid w:val="00AA59B4"/>
    <w:rsid w:val="00AA6414"/>
    <w:rsid w:val="00AB5C6E"/>
    <w:rsid w:val="00AB6A96"/>
    <w:rsid w:val="00AB6E69"/>
    <w:rsid w:val="00AB71CA"/>
    <w:rsid w:val="00AC1EF8"/>
    <w:rsid w:val="00AC3D2A"/>
    <w:rsid w:val="00AD266E"/>
    <w:rsid w:val="00AF173B"/>
    <w:rsid w:val="00AF3ACF"/>
    <w:rsid w:val="00AF460A"/>
    <w:rsid w:val="00AF5C7F"/>
    <w:rsid w:val="00B040EB"/>
    <w:rsid w:val="00B129D5"/>
    <w:rsid w:val="00B12CE4"/>
    <w:rsid w:val="00B279DA"/>
    <w:rsid w:val="00B36EF0"/>
    <w:rsid w:val="00B450C7"/>
    <w:rsid w:val="00B46872"/>
    <w:rsid w:val="00B60FEF"/>
    <w:rsid w:val="00B71C93"/>
    <w:rsid w:val="00B729D9"/>
    <w:rsid w:val="00B73F9A"/>
    <w:rsid w:val="00B806D9"/>
    <w:rsid w:val="00B81CBD"/>
    <w:rsid w:val="00B866D2"/>
    <w:rsid w:val="00B93064"/>
    <w:rsid w:val="00B944FA"/>
    <w:rsid w:val="00BB60FF"/>
    <w:rsid w:val="00BC1DB1"/>
    <w:rsid w:val="00BC28F9"/>
    <w:rsid w:val="00BE232B"/>
    <w:rsid w:val="00BF7951"/>
    <w:rsid w:val="00C0478B"/>
    <w:rsid w:val="00C07B4D"/>
    <w:rsid w:val="00C205D5"/>
    <w:rsid w:val="00C57864"/>
    <w:rsid w:val="00C60CC1"/>
    <w:rsid w:val="00C61F5A"/>
    <w:rsid w:val="00C62075"/>
    <w:rsid w:val="00C644B5"/>
    <w:rsid w:val="00C70976"/>
    <w:rsid w:val="00C7612D"/>
    <w:rsid w:val="00C845BD"/>
    <w:rsid w:val="00C9273A"/>
    <w:rsid w:val="00C93442"/>
    <w:rsid w:val="00CA1704"/>
    <w:rsid w:val="00CA1D20"/>
    <w:rsid w:val="00CA3420"/>
    <w:rsid w:val="00CE48F9"/>
    <w:rsid w:val="00CF1E1E"/>
    <w:rsid w:val="00CF274F"/>
    <w:rsid w:val="00D03362"/>
    <w:rsid w:val="00D04015"/>
    <w:rsid w:val="00D10EBC"/>
    <w:rsid w:val="00D24005"/>
    <w:rsid w:val="00D252B0"/>
    <w:rsid w:val="00D42ECA"/>
    <w:rsid w:val="00D432D5"/>
    <w:rsid w:val="00D50309"/>
    <w:rsid w:val="00D56430"/>
    <w:rsid w:val="00D73031"/>
    <w:rsid w:val="00D759AD"/>
    <w:rsid w:val="00D83CEB"/>
    <w:rsid w:val="00DA4A68"/>
    <w:rsid w:val="00DC0BF4"/>
    <w:rsid w:val="00DC68AB"/>
    <w:rsid w:val="00DD2849"/>
    <w:rsid w:val="00DE1DA7"/>
    <w:rsid w:val="00DE3F81"/>
    <w:rsid w:val="00E02C42"/>
    <w:rsid w:val="00E20074"/>
    <w:rsid w:val="00E21612"/>
    <w:rsid w:val="00E265DF"/>
    <w:rsid w:val="00E279F1"/>
    <w:rsid w:val="00E37934"/>
    <w:rsid w:val="00E41E38"/>
    <w:rsid w:val="00E47185"/>
    <w:rsid w:val="00E52A61"/>
    <w:rsid w:val="00E55800"/>
    <w:rsid w:val="00E55D97"/>
    <w:rsid w:val="00E73465"/>
    <w:rsid w:val="00E75582"/>
    <w:rsid w:val="00E86C91"/>
    <w:rsid w:val="00E9507C"/>
    <w:rsid w:val="00EB17E6"/>
    <w:rsid w:val="00EB6CBB"/>
    <w:rsid w:val="00EC1FFC"/>
    <w:rsid w:val="00EC67D4"/>
    <w:rsid w:val="00ED04D1"/>
    <w:rsid w:val="00ED33DF"/>
    <w:rsid w:val="00EE4BE2"/>
    <w:rsid w:val="00F00A73"/>
    <w:rsid w:val="00F03261"/>
    <w:rsid w:val="00F03BBD"/>
    <w:rsid w:val="00F125EC"/>
    <w:rsid w:val="00F12DD7"/>
    <w:rsid w:val="00F17B73"/>
    <w:rsid w:val="00F2363E"/>
    <w:rsid w:val="00F3393C"/>
    <w:rsid w:val="00F45075"/>
    <w:rsid w:val="00F53ABC"/>
    <w:rsid w:val="00F769A8"/>
    <w:rsid w:val="00F809B3"/>
    <w:rsid w:val="00F91DFC"/>
    <w:rsid w:val="00F91F11"/>
    <w:rsid w:val="00F92763"/>
    <w:rsid w:val="00F93175"/>
    <w:rsid w:val="00F949CE"/>
    <w:rsid w:val="00F96B43"/>
    <w:rsid w:val="00F97892"/>
    <w:rsid w:val="00F97B7A"/>
    <w:rsid w:val="00FC4F4F"/>
    <w:rsid w:val="00FC7DDD"/>
    <w:rsid w:val="00FD54F7"/>
    <w:rsid w:val="00FE5869"/>
    <w:rsid w:val="013255A1"/>
    <w:rsid w:val="01621CC3"/>
    <w:rsid w:val="01F82463"/>
    <w:rsid w:val="03083D9E"/>
    <w:rsid w:val="037305E8"/>
    <w:rsid w:val="045D54CD"/>
    <w:rsid w:val="05687467"/>
    <w:rsid w:val="061163F2"/>
    <w:rsid w:val="0705506A"/>
    <w:rsid w:val="074D1A0E"/>
    <w:rsid w:val="076F30C6"/>
    <w:rsid w:val="07936DFE"/>
    <w:rsid w:val="07F0714E"/>
    <w:rsid w:val="091F4188"/>
    <w:rsid w:val="09C43ECE"/>
    <w:rsid w:val="0AB7152D"/>
    <w:rsid w:val="0AD93E42"/>
    <w:rsid w:val="0AFC7037"/>
    <w:rsid w:val="0B205D78"/>
    <w:rsid w:val="0B3B7215"/>
    <w:rsid w:val="0B8F44E0"/>
    <w:rsid w:val="0BA61866"/>
    <w:rsid w:val="0CA33A81"/>
    <w:rsid w:val="0D7B0600"/>
    <w:rsid w:val="0E0D5C63"/>
    <w:rsid w:val="0E211ABD"/>
    <w:rsid w:val="0E273159"/>
    <w:rsid w:val="0F3B57F2"/>
    <w:rsid w:val="10076E59"/>
    <w:rsid w:val="10115474"/>
    <w:rsid w:val="10A40D3D"/>
    <w:rsid w:val="10E322EF"/>
    <w:rsid w:val="10F301F1"/>
    <w:rsid w:val="11A809EB"/>
    <w:rsid w:val="11C1119D"/>
    <w:rsid w:val="1245157E"/>
    <w:rsid w:val="12B1301F"/>
    <w:rsid w:val="16105BDE"/>
    <w:rsid w:val="162A23DB"/>
    <w:rsid w:val="17237591"/>
    <w:rsid w:val="17C7343E"/>
    <w:rsid w:val="180D3FF5"/>
    <w:rsid w:val="18236FEB"/>
    <w:rsid w:val="18D760DA"/>
    <w:rsid w:val="197F13FA"/>
    <w:rsid w:val="19F212F8"/>
    <w:rsid w:val="1A33693B"/>
    <w:rsid w:val="1A6F1A63"/>
    <w:rsid w:val="1ADE19F5"/>
    <w:rsid w:val="1AF500D5"/>
    <w:rsid w:val="1B926E3A"/>
    <w:rsid w:val="1D3D1877"/>
    <w:rsid w:val="1D7517BE"/>
    <w:rsid w:val="1F0C423B"/>
    <w:rsid w:val="1F2B6DF2"/>
    <w:rsid w:val="1FC72CBD"/>
    <w:rsid w:val="1FF80628"/>
    <w:rsid w:val="203F1E91"/>
    <w:rsid w:val="209C6962"/>
    <w:rsid w:val="20E43397"/>
    <w:rsid w:val="214C08FC"/>
    <w:rsid w:val="21C71EB3"/>
    <w:rsid w:val="21E776ED"/>
    <w:rsid w:val="22277F27"/>
    <w:rsid w:val="236C60C0"/>
    <w:rsid w:val="23F43473"/>
    <w:rsid w:val="24BC6121"/>
    <w:rsid w:val="24EE1C59"/>
    <w:rsid w:val="264802C3"/>
    <w:rsid w:val="26B4182E"/>
    <w:rsid w:val="27802291"/>
    <w:rsid w:val="27E46352"/>
    <w:rsid w:val="28B05F87"/>
    <w:rsid w:val="28E834E5"/>
    <w:rsid w:val="29093E94"/>
    <w:rsid w:val="29F023EC"/>
    <w:rsid w:val="2A2D1392"/>
    <w:rsid w:val="2A5661A1"/>
    <w:rsid w:val="2A86585E"/>
    <w:rsid w:val="2AAB59AD"/>
    <w:rsid w:val="2B4A6A63"/>
    <w:rsid w:val="2B511C53"/>
    <w:rsid w:val="2B94749A"/>
    <w:rsid w:val="2BB63F58"/>
    <w:rsid w:val="2C042BB9"/>
    <w:rsid w:val="2C414717"/>
    <w:rsid w:val="2C574AA6"/>
    <w:rsid w:val="2C7E0473"/>
    <w:rsid w:val="2D0B0246"/>
    <w:rsid w:val="2D96408E"/>
    <w:rsid w:val="2DEB6EA9"/>
    <w:rsid w:val="2DF24A34"/>
    <w:rsid w:val="2E273426"/>
    <w:rsid w:val="2E631CBE"/>
    <w:rsid w:val="2ECA4CC1"/>
    <w:rsid w:val="2EE87AF0"/>
    <w:rsid w:val="2F1C6B36"/>
    <w:rsid w:val="308A40E1"/>
    <w:rsid w:val="316C5EB5"/>
    <w:rsid w:val="31811804"/>
    <w:rsid w:val="31CC15FC"/>
    <w:rsid w:val="31EA1781"/>
    <w:rsid w:val="324D3B71"/>
    <w:rsid w:val="327F64AC"/>
    <w:rsid w:val="334231CC"/>
    <w:rsid w:val="343D395D"/>
    <w:rsid w:val="35140D0C"/>
    <w:rsid w:val="3710583E"/>
    <w:rsid w:val="37853325"/>
    <w:rsid w:val="38334ECF"/>
    <w:rsid w:val="383603F0"/>
    <w:rsid w:val="396978B7"/>
    <w:rsid w:val="3A526D49"/>
    <w:rsid w:val="3A7053D6"/>
    <w:rsid w:val="3A8243AA"/>
    <w:rsid w:val="3BEF7BF0"/>
    <w:rsid w:val="3BF568A8"/>
    <w:rsid w:val="3C0A1991"/>
    <w:rsid w:val="3C29556C"/>
    <w:rsid w:val="3CBD260C"/>
    <w:rsid w:val="3DA7116F"/>
    <w:rsid w:val="3E4A35E3"/>
    <w:rsid w:val="3E663B36"/>
    <w:rsid w:val="3EA65FF4"/>
    <w:rsid w:val="3EB56330"/>
    <w:rsid w:val="3F140217"/>
    <w:rsid w:val="3FCC3B90"/>
    <w:rsid w:val="401B73D4"/>
    <w:rsid w:val="40684797"/>
    <w:rsid w:val="41943334"/>
    <w:rsid w:val="42203FCC"/>
    <w:rsid w:val="42C07394"/>
    <w:rsid w:val="43511BFD"/>
    <w:rsid w:val="446F7323"/>
    <w:rsid w:val="448C0AE6"/>
    <w:rsid w:val="453B15CC"/>
    <w:rsid w:val="45A713CD"/>
    <w:rsid w:val="45DD59EC"/>
    <w:rsid w:val="46A0586D"/>
    <w:rsid w:val="473C160D"/>
    <w:rsid w:val="47691230"/>
    <w:rsid w:val="478F1802"/>
    <w:rsid w:val="47A12585"/>
    <w:rsid w:val="47E32E73"/>
    <w:rsid w:val="48036FAE"/>
    <w:rsid w:val="4808260A"/>
    <w:rsid w:val="487A4D49"/>
    <w:rsid w:val="48B70C1E"/>
    <w:rsid w:val="48BC7B40"/>
    <w:rsid w:val="492058F6"/>
    <w:rsid w:val="49697C5B"/>
    <w:rsid w:val="49CA0AC5"/>
    <w:rsid w:val="49E47BFA"/>
    <w:rsid w:val="4A6750AC"/>
    <w:rsid w:val="4A8515D9"/>
    <w:rsid w:val="4AA96BB7"/>
    <w:rsid w:val="4AFF1906"/>
    <w:rsid w:val="4BF7654A"/>
    <w:rsid w:val="4C0575F5"/>
    <w:rsid w:val="4C111EC4"/>
    <w:rsid w:val="4D793D57"/>
    <w:rsid w:val="4E1C4A1D"/>
    <w:rsid w:val="4E2C411B"/>
    <w:rsid w:val="4EBE46EF"/>
    <w:rsid w:val="4FCC3F83"/>
    <w:rsid w:val="507C50FE"/>
    <w:rsid w:val="514D7C48"/>
    <w:rsid w:val="528479E1"/>
    <w:rsid w:val="53682B3F"/>
    <w:rsid w:val="53A560A2"/>
    <w:rsid w:val="53A665D0"/>
    <w:rsid w:val="53B37BD1"/>
    <w:rsid w:val="53DA4C09"/>
    <w:rsid w:val="54C42668"/>
    <w:rsid w:val="54CB5892"/>
    <w:rsid w:val="54E07C45"/>
    <w:rsid w:val="55132EC7"/>
    <w:rsid w:val="55315669"/>
    <w:rsid w:val="55527916"/>
    <w:rsid w:val="568F6DE0"/>
    <w:rsid w:val="579670ED"/>
    <w:rsid w:val="57D0264A"/>
    <w:rsid w:val="5A892791"/>
    <w:rsid w:val="5AEB741A"/>
    <w:rsid w:val="5BAB1C32"/>
    <w:rsid w:val="5C435617"/>
    <w:rsid w:val="5C87627D"/>
    <w:rsid w:val="5D0E0D8F"/>
    <w:rsid w:val="5D162BD0"/>
    <w:rsid w:val="5EA3342C"/>
    <w:rsid w:val="5EB719AD"/>
    <w:rsid w:val="5EE84FEE"/>
    <w:rsid w:val="5EED5413"/>
    <w:rsid w:val="5F1A57C3"/>
    <w:rsid w:val="5F887079"/>
    <w:rsid w:val="5F8C070A"/>
    <w:rsid w:val="60164FAD"/>
    <w:rsid w:val="615B3774"/>
    <w:rsid w:val="61B3258C"/>
    <w:rsid w:val="62284963"/>
    <w:rsid w:val="62A73A31"/>
    <w:rsid w:val="64282B93"/>
    <w:rsid w:val="6478081E"/>
    <w:rsid w:val="65F15AC0"/>
    <w:rsid w:val="65F81D22"/>
    <w:rsid w:val="664559D6"/>
    <w:rsid w:val="66460DA5"/>
    <w:rsid w:val="66741218"/>
    <w:rsid w:val="67952E29"/>
    <w:rsid w:val="68283BCA"/>
    <w:rsid w:val="69C84F61"/>
    <w:rsid w:val="69CD1B5B"/>
    <w:rsid w:val="6A5264F1"/>
    <w:rsid w:val="6AF70C5C"/>
    <w:rsid w:val="6B042047"/>
    <w:rsid w:val="6BB7488B"/>
    <w:rsid w:val="6BC81833"/>
    <w:rsid w:val="6BD43A3E"/>
    <w:rsid w:val="6C4C2D6F"/>
    <w:rsid w:val="6C6F61FD"/>
    <w:rsid w:val="6C735115"/>
    <w:rsid w:val="6D124803"/>
    <w:rsid w:val="6D145FBE"/>
    <w:rsid w:val="6F2861C8"/>
    <w:rsid w:val="6F40417A"/>
    <w:rsid w:val="6F6A3F7D"/>
    <w:rsid w:val="6F764DB5"/>
    <w:rsid w:val="6FAE33FC"/>
    <w:rsid w:val="6FDB6E77"/>
    <w:rsid w:val="6FE4697C"/>
    <w:rsid w:val="70140616"/>
    <w:rsid w:val="701B7A72"/>
    <w:rsid w:val="703B0223"/>
    <w:rsid w:val="703C22BD"/>
    <w:rsid w:val="70D80666"/>
    <w:rsid w:val="7145570C"/>
    <w:rsid w:val="717E2551"/>
    <w:rsid w:val="73FB31AF"/>
    <w:rsid w:val="741C7712"/>
    <w:rsid w:val="74213E8D"/>
    <w:rsid w:val="74892B81"/>
    <w:rsid w:val="766A4841"/>
    <w:rsid w:val="768A3135"/>
    <w:rsid w:val="76D61927"/>
    <w:rsid w:val="77843429"/>
    <w:rsid w:val="77844552"/>
    <w:rsid w:val="779051BF"/>
    <w:rsid w:val="77B40670"/>
    <w:rsid w:val="77D84B93"/>
    <w:rsid w:val="78162D20"/>
    <w:rsid w:val="781E5B1E"/>
    <w:rsid w:val="782D6E01"/>
    <w:rsid w:val="784601EF"/>
    <w:rsid w:val="78C85565"/>
    <w:rsid w:val="79084990"/>
    <w:rsid w:val="79250DD4"/>
    <w:rsid w:val="7A166CE6"/>
    <w:rsid w:val="7A7063E2"/>
    <w:rsid w:val="7B7366A2"/>
    <w:rsid w:val="7C89187F"/>
    <w:rsid w:val="7CDE301D"/>
    <w:rsid w:val="7D153F10"/>
    <w:rsid w:val="7D1770A8"/>
    <w:rsid w:val="7DB734E0"/>
    <w:rsid w:val="7E21331E"/>
    <w:rsid w:val="7E2E2CB1"/>
    <w:rsid w:val="7EA12B84"/>
    <w:rsid w:val="7F24645E"/>
    <w:rsid w:val="7F2E7492"/>
    <w:rsid w:val="7FE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qFormat="1" w:unhideWhenUsed="0" w:uiPriority="0" w:name="List Bullet 5"/>
    <w:lsdException w:uiPriority="99" w:name="List Number 2"/>
    <w:lsdException w:uiPriority="99" w:name="List Number 3"/>
    <w:lsdException w:uiPriority="99" w:name="List Number 4"/>
    <w:lsdException w:qFormat="1" w:unhideWhenUsed="0" w:uiPriority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</w:pPr>
    <w:rPr>
      <w:rFonts w:ascii="Times New Roman" w:hAnsi="Times New Roman" w:eastAsia="宋体" w:cs="Arial"/>
      <w:color w:val="000000"/>
      <w:sz w:val="21"/>
      <w:szCs w:val="18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numPr>
        <w:ilvl w:val="0"/>
        <w:numId w:val="1"/>
      </w:numPr>
      <w:adjustRightInd w:val="0"/>
      <w:spacing w:before="312" w:beforeLines="100"/>
      <w:contextualSpacing/>
      <w:outlineLvl w:val="0"/>
    </w:pPr>
    <w:rPr>
      <w:rFonts w:cs="Times New Roman"/>
      <w:b/>
      <w:color w:val="000000" w:themeColor="text1"/>
      <w:sz w:val="36"/>
      <w:szCs w:val="24"/>
      <w:lang w:val="fr-FR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33"/>
    <w:qFormat/>
    <w:uiPriority w:val="0"/>
    <w:pPr>
      <w:numPr>
        <w:ilvl w:val="1"/>
        <w:numId w:val="2"/>
      </w:numPr>
      <w:adjustRightInd w:val="0"/>
      <w:outlineLvl w:val="1"/>
    </w:pPr>
    <w:rPr>
      <w:rFonts w:hAnsi="MS Gothic" w:cs="MS Gothic"/>
      <w:b/>
      <w:color w:val="000000" w:themeColor="text1"/>
      <w:sz w:val="32"/>
      <w14:textFill>
        <w14:solidFill>
          <w14:schemeClr w14:val="tx1"/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Bullet"/>
    <w:basedOn w:val="1"/>
    <w:next w:val="1"/>
    <w:semiHidden/>
    <w:qFormat/>
    <w:uiPriority w:val="0"/>
    <w:pPr>
      <w:numPr>
        <w:ilvl w:val="0"/>
        <w:numId w:val="3"/>
      </w:numPr>
    </w:pPr>
    <w:rPr>
      <w:color w:val="0000FF"/>
    </w:rPr>
  </w:style>
  <w:style w:type="paragraph" w:styleId="5">
    <w:name w:val="annotation text"/>
    <w:basedOn w:val="1"/>
    <w:link w:val="40"/>
    <w:semiHidden/>
    <w:unhideWhenUsed/>
    <w:qFormat/>
    <w:uiPriority w:val="99"/>
  </w:style>
  <w:style w:type="paragraph" w:styleId="6">
    <w:name w:val="Body Text"/>
    <w:basedOn w:val="1"/>
    <w:link w:val="22"/>
    <w:unhideWhenUsed/>
    <w:qFormat/>
    <w:uiPriority w:val="99"/>
    <w:pPr>
      <w:spacing w:after="12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List Bullet 5"/>
    <w:basedOn w:val="1"/>
    <w:semiHidden/>
    <w:qFormat/>
    <w:uiPriority w:val="0"/>
    <w:pPr>
      <w:widowControl/>
      <w:numPr>
        <w:ilvl w:val="0"/>
        <w:numId w:val="4"/>
      </w:numPr>
    </w:pPr>
    <w:rPr>
      <w:rFonts w:ascii="MS Gothic" w:hAnsi="Arial" w:eastAsia="MS Gothic"/>
      <w:sz w:val="28"/>
    </w:rPr>
  </w:style>
  <w:style w:type="paragraph" w:styleId="9">
    <w:name w:val="footer"/>
    <w:basedOn w:val="1"/>
    <w:link w:val="30"/>
    <w:unhideWhenUsed/>
    <w:qFormat/>
    <w:uiPriority w:val="0"/>
    <w:pPr>
      <w:tabs>
        <w:tab w:val="center" w:pos="4153"/>
        <w:tab w:val="right" w:pos="8306"/>
      </w:tabs>
    </w:pPr>
    <w:rPr>
      <w:sz w:val="18"/>
    </w:rPr>
  </w:style>
  <w:style w:type="paragraph" w:styleId="10">
    <w:name w:val="header"/>
    <w:basedOn w:val="1"/>
    <w:link w:val="2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List Number 5"/>
    <w:basedOn w:val="1"/>
    <w:semiHidden/>
    <w:qFormat/>
    <w:uiPriority w:val="0"/>
    <w:pPr>
      <w:widowControl/>
      <w:numPr>
        <w:ilvl w:val="0"/>
        <w:numId w:val="5"/>
      </w:numPr>
    </w:pPr>
    <w:rPr>
      <w:rFonts w:ascii="MS Gothic" w:hAnsi="Arial" w:eastAsia="MS Gothic"/>
      <w:sz w:val="28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annotation subject"/>
    <w:basedOn w:val="5"/>
    <w:next w:val="5"/>
    <w:link w:val="41"/>
    <w:semiHidden/>
    <w:unhideWhenUsed/>
    <w:qFormat/>
    <w:uiPriority w:val="99"/>
    <w:rPr>
      <w:b/>
      <w:bCs/>
    </w:rPr>
  </w:style>
  <w:style w:type="table" w:styleId="16">
    <w:name w:val="Table Grid"/>
    <w:basedOn w:val="15"/>
    <w:qFormat/>
    <w:uiPriority w:val="0"/>
    <w:pPr>
      <w:snapToGrid w:val="0"/>
    </w:pPr>
    <w:rPr>
      <w:rFonts w:ascii="Century" w:hAnsi="Century" w:eastAsia="MS Minch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7"/>
    <w:semiHidden/>
    <w:unhideWhenUsed/>
    <w:qFormat/>
    <w:uiPriority w:val="99"/>
    <w:rPr>
      <w:sz w:val="21"/>
      <w:szCs w:val="21"/>
    </w:rPr>
  </w:style>
  <w:style w:type="paragraph" w:customStyle="1" w:styleId="20">
    <w:name w:val="表格"/>
    <w:basedOn w:val="6"/>
    <w:next w:val="1"/>
    <w:link w:val="21"/>
    <w:qFormat/>
    <w:uiPriority w:val="0"/>
    <w:pPr>
      <w:numPr>
        <w:ilvl w:val="0"/>
        <w:numId w:val="6"/>
      </w:numPr>
      <w:jc w:val="center"/>
    </w:pPr>
    <w:rPr>
      <w:b/>
    </w:rPr>
  </w:style>
  <w:style w:type="character" w:customStyle="1" w:styleId="21">
    <w:name w:val="表格 Char"/>
    <w:basedOn w:val="22"/>
    <w:link w:val="20"/>
    <w:qFormat/>
    <w:uiPriority w:val="0"/>
    <w:rPr>
      <w:rFonts w:ascii="Times New Roman" w:hAnsi="Times New Roman" w:eastAsia="宋体"/>
      <w:b/>
    </w:rPr>
  </w:style>
  <w:style w:type="character" w:customStyle="1" w:styleId="22">
    <w:name w:val="正文文本 字符"/>
    <w:basedOn w:val="17"/>
    <w:link w:val="6"/>
    <w:qFormat/>
    <w:uiPriority w:val="99"/>
  </w:style>
  <w:style w:type="paragraph" w:customStyle="1" w:styleId="23">
    <w:name w:val="二级标题"/>
    <w:basedOn w:val="6"/>
    <w:next w:val="6"/>
    <w:link w:val="24"/>
    <w:qFormat/>
    <w:uiPriority w:val="0"/>
    <w:pPr>
      <w:numPr>
        <w:ilvl w:val="1"/>
        <w:numId w:val="7"/>
      </w:numPr>
      <w:spacing w:after="0"/>
      <w:outlineLvl w:val="1"/>
    </w:pPr>
    <w:rPr>
      <w:b/>
      <w:sz w:val="24"/>
    </w:rPr>
  </w:style>
  <w:style w:type="character" w:customStyle="1" w:styleId="24">
    <w:name w:val="二级标题 Char"/>
    <w:basedOn w:val="22"/>
    <w:link w:val="23"/>
    <w:qFormat/>
    <w:uiPriority w:val="0"/>
    <w:rPr>
      <w:rFonts w:ascii="Times New Roman" w:hAnsi="Times New Roman" w:eastAsia="宋体" w:cs="Arial"/>
      <w:b/>
      <w:color w:val="000000"/>
      <w:kern w:val="0"/>
      <w:sz w:val="24"/>
      <w:szCs w:val="18"/>
    </w:rPr>
  </w:style>
  <w:style w:type="paragraph" w:customStyle="1" w:styleId="25">
    <w:name w:val="一级标题"/>
    <w:basedOn w:val="6"/>
    <w:next w:val="6"/>
    <w:link w:val="26"/>
    <w:qFormat/>
    <w:uiPriority w:val="0"/>
    <w:pPr>
      <w:numPr>
        <w:ilvl w:val="0"/>
        <w:numId w:val="7"/>
      </w:numPr>
      <w:spacing w:before="240" w:after="0"/>
      <w:outlineLvl w:val="0"/>
    </w:pPr>
    <w:rPr>
      <w:b/>
      <w:sz w:val="28"/>
    </w:rPr>
  </w:style>
  <w:style w:type="character" w:customStyle="1" w:styleId="26">
    <w:name w:val="一级标题 Char"/>
    <w:basedOn w:val="22"/>
    <w:link w:val="25"/>
    <w:qFormat/>
    <w:uiPriority w:val="0"/>
    <w:rPr>
      <w:rFonts w:ascii="Times New Roman" w:hAnsi="Times New Roman"/>
      <w:b/>
      <w:sz w:val="28"/>
    </w:rPr>
  </w:style>
  <w:style w:type="paragraph" w:customStyle="1" w:styleId="27">
    <w:name w:val="题目"/>
    <w:basedOn w:val="1"/>
    <w:next w:val="6"/>
    <w:link w:val="28"/>
    <w:qFormat/>
    <w:uiPriority w:val="0"/>
    <w:pPr>
      <w:snapToGrid/>
      <w:jc w:val="center"/>
      <w:outlineLvl w:val="0"/>
    </w:pPr>
    <w:rPr>
      <w:rFonts w:cstheme="minorBidi"/>
      <w:b/>
      <w:color w:val="auto"/>
      <w:kern w:val="2"/>
      <w:sz w:val="44"/>
      <w:szCs w:val="22"/>
    </w:rPr>
  </w:style>
  <w:style w:type="character" w:customStyle="1" w:styleId="28">
    <w:name w:val="题目 Char"/>
    <w:basedOn w:val="17"/>
    <w:link w:val="27"/>
    <w:qFormat/>
    <w:uiPriority w:val="0"/>
    <w:rPr>
      <w:rFonts w:ascii="Times New Roman" w:hAnsi="Times New Roman" w:eastAsia="宋体"/>
      <w:b/>
      <w:sz w:val="44"/>
    </w:rPr>
  </w:style>
  <w:style w:type="character" w:customStyle="1" w:styleId="29">
    <w:name w:val="页眉 字符"/>
    <w:basedOn w:val="17"/>
    <w:link w:val="10"/>
    <w:qFormat/>
    <w:uiPriority w:val="99"/>
    <w:rPr>
      <w:sz w:val="18"/>
      <w:szCs w:val="18"/>
    </w:rPr>
  </w:style>
  <w:style w:type="character" w:customStyle="1" w:styleId="30">
    <w:name w:val="页脚 字符"/>
    <w:basedOn w:val="17"/>
    <w:link w:val="9"/>
    <w:qFormat/>
    <w:uiPriority w:val="99"/>
    <w:rPr>
      <w:sz w:val="18"/>
      <w:szCs w:val="18"/>
    </w:rPr>
  </w:style>
  <w:style w:type="paragraph" w:customStyle="1" w:styleId="31">
    <w:name w:val="文書名"/>
    <w:basedOn w:val="1"/>
    <w:semiHidden/>
    <w:qFormat/>
    <w:uiPriority w:val="0"/>
    <w:pPr>
      <w:jc w:val="center"/>
    </w:pPr>
    <w:rPr>
      <w:b/>
      <w:sz w:val="44"/>
    </w:rPr>
  </w:style>
  <w:style w:type="character" w:customStyle="1" w:styleId="32">
    <w:name w:val="标题 1 字符"/>
    <w:basedOn w:val="17"/>
    <w:link w:val="2"/>
    <w:qFormat/>
    <w:uiPriority w:val="0"/>
    <w:rPr>
      <w:rFonts w:ascii="Times New Roman" w:hAnsi="Times New Roman" w:eastAsia="宋体" w:cs="Times New Roman"/>
      <w:b/>
      <w:color w:val="000000" w:themeColor="text1"/>
      <w:kern w:val="0"/>
      <w:sz w:val="36"/>
      <w:szCs w:val="24"/>
      <w:lang w:val="fr-FR"/>
      <w14:textFill>
        <w14:solidFill>
          <w14:schemeClr w14:val="tx1"/>
        </w14:solidFill>
      </w14:textFill>
    </w:rPr>
  </w:style>
  <w:style w:type="character" w:customStyle="1" w:styleId="33">
    <w:name w:val="标题 2 字符"/>
    <w:basedOn w:val="17"/>
    <w:link w:val="3"/>
    <w:qFormat/>
    <w:uiPriority w:val="0"/>
    <w:rPr>
      <w:rFonts w:ascii="MS Gothic" w:hAnsi="MS Gothic" w:eastAsia="MS Gothic" w:cs="MS Gothic"/>
      <w:b/>
      <w:color w:val="000000" w:themeColor="text1"/>
      <w:kern w:val="0"/>
      <w:sz w:val="32"/>
      <w:szCs w:val="18"/>
      <w14:textFill>
        <w14:solidFill>
          <w14:schemeClr w14:val="tx1"/>
        </w14:solidFill>
      </w14:textFill>
    </w:rPr>
  </w:style>
  <w:style w:type="paragraph" w:customStyle="1" w:styleId="34">
    <w:name w:val="TOC 标题1"/>
    <w:basedOn w:val="2"/>
    <w:next w:val="1"/>
    <w:unhideWhenUsed/>
    <w:qFormat/>
    <w:uiPriority w:val="39"/>
    <w:pPr>
      <w:keepNext/>
      <w:keepLines/>
      <w:widowControl/>
      <w:numPr>
        <w:numId w:val="0"/>
      </w:numPr>
      <w:adjustRightInd/>
      <w:snapToGrid/>
      <w:spacing w:before="240" w:beforeLines="0" w:line="259" w:lineRule="auto"/>
      <w:contextualSpacing w:val="0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 w:val="32"/>
      <w:szCs w:val="32"/>
      <w:lang w:val="en-US"/>
    </w:rPr>
  </w:style>
  <w:style w:type="paragraph" w:styleId="35">
    <w:name w:val="List Paragraph"/>
    <w:basedOn w:val="1"/>
    <w:qFormat/>
    <w:uiPriority w:val="99"/>
    <w:pPr>
      <w:ind w:firstLine="420" w:firstLineChars="200"/>
    </w:pPr>
  </w:style>
  <w:style w:type="paragraph" w:customStyle="1" w:styleId="36">
    <w:name w:val="三级标题"/>
    <w:basedOn w:val="23"/>
    <w:next w:val="1"/>
    <w:link w:val="37"/>
    <w:qFormat/>
    <w:uiPriority w:val="0"/>
    <w:pPr>
      <w:numPr>
        <w:ilvl w:val="2"/>
      </w:numPr>
      <w:outlineLvl w:val="2"/>
    </w:pPr>
  </w:style>
  <w:style w:type="character" w:customStyle="1" w:styleId="37">
    <w:name w:val="三级标题 Char"/>
    <w:basedOn w:val="24"/>
    <w:link w:val="36"/>
    <w:qFormat/>
    <w:uiPriority w:val="0"/>
    <w:rPr>
      <w:rFonts w:ascii="Times New Roman" w:hAnsi="Times New Roman" w:eastAsia="宋体" w:cs="Arial"/>
      <w:color w:val="000000"/>
      <w:kern w:val="0"/>
      <w:sz w:val="24"/>
      <w:szCs w:val="18"/>
      <w:lang w:eastAsia="ja-JP"/>
    </w:rPr>
  </w:style>
  <w:style w:type="paragraph" w:customStyle="1" w:styleId="38">
    <w:name w:val="图例"/>
    <w:basedOn w:val="20"/>
    <w:next w:val="1"/>
    <w:link w:val="39"/>
    <w:qFormat/>
    <w:uiPriority w:val="0"/>
    <w:pPr>
      <w:numPr>
        <w:ilvl w:val="0"/>
        <w:numId w:val="8"/>
      </w:numPr>
    </w:pPr>
    <w:rPr>
      <w:rFonts w:ascii="Arial" w:hAnsi="Arial" w:cs="微软雅黑"/>
    </w:rPr>
  </w:style>
  <w:style w:type="character" w:customStyle="1" w:styleId="39">
    <w:name w:val="图例 Char"/>
    <w:basedOn w:val="21"/>
    <w:link w:val="38"/>
    <w:qFormat/>
    <w:uiPriority w:val="0"/>
    <w:rPr>
      <w:rFonts w:ascii="Arial" w:hAnsi="Arial" w:eastAsia="宋体" w:cs="微软雅黑"/>
      <w:color w:val="000000"/>
      <w:kern w:val="0"/>
      <w:szCs w:val="18"/>
    </w:rPr>
  </w:style>
  <w:style w:type="character" w:customStyle="1" w:styleId="40">
    <w:name w:val="批注文字 字符"/>
    <w:basedOn w:val="17"/>
    <w:link w:val="5"/>
    <w:semiHidden/>
    <w:qFormat/>
    <w:uiPriority w:val="99"/>
    <w:rPr>
      <w:rFonts w:cs="Arial"/>
      <w:color w:val="000000"/>
      <w:sz w:val="21"/>
      <w:szCs w:val="18"/>
    </w:rPr>
  </w:style>
  <w:style w:type="character" w:customStyle="1" w:styleId="41">
    <w:name w:val="批注主题 字符"/>
    <w:basedOn w:val="40"/>
    <w:link w:val="14"/>
    <w:semiHidden/>
    <w:qFormat/>
    <w:uiPriority w:val="99"/>
    <w:rPr>
      <w:rFonts w:cs="Arial"/>
      <w:b/>
      <w:bCs/>
      <w:color w:val="000000"/>
      <w:sz w:val="21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4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emf"/><Relationship Id="rId12" Type="http://schemas.openxmlformats.org/officeDocument/2006/relationships/package" Target="embeddings/Microsoft_Visio___1.vsdx"/><Relationship Id="rId11" Type="http://schemas.openxmlformats.org/officeDocument/2006/relationships/image" Target="media/image6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formulas xmlns="http://www.yonyou.com/formula"/>
</file>

<file path=customXml/item4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CF8AE3-FE85-412F-BBA2-3EC3B3AEDA7B}">
  <ds:schemaRefs/>
</ds:datastoreItem>
</file>

<file path=customXml/itemProps3.xml><?xml version="1.0" encoding="utf-8"?>
<ds:datastoreItem xmlns:ds="http://schemas.openxmlformats.org/officeDocument/2006/customXml" ds:itemID="{74B14203-1048-42E0-8710-1951FC6D7F54}">
  <ds:schemaRefs/>
</ds:datastoreItem>
</file>

<file path=customXml/itemProps4.xml><?xml version="1.0" encoding="utf-8"?>
<ds:datastoreItem xmlns:ds="http://schemas.openxmlformats.org/officeDocument/2006/customXml" ds:itemID="{67E0C47A-1A5C-4761-9319-A9AB65922F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15</Pages>
  <Words>1414</Words>
  <Characters>8061</Characters>
  <Lines>67</Lines>
  <Paragraphs>18</Paragraphs>
  <TotalTime>19</TotalTime>
  <ScaleCrop>false</ScaleCrop>
  <LinksUpToDate>false</LinksUpToDate>
  <CharactersWithSpaces>9457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2020-08-31T07:04:00Z</dcterms:created>
  <dc:creator>董栋栋</dc:creator>
  <cp:lastModifiedBy>Impossible de la solitud</cp:lastModifiedBy>
  <dcterms:modified xsi:type="dcterms:W3CDTF">2021-07-26T05:57:57Z</dcterms:modified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6EC14388DBB04E63AD6CF7E9551F29BE</vt:lpwstr>
  </property>
</Properties>
</file>