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rFonts w:cs="Times New Roman"/>
        </w:rPr>
      </w:pPr>
    </w:p>
    <w:p>
      <w:pPr>
        <w:pStyle w:val="27"/>
      </w:pPr>
      <w:bookmarkStart w:id="0" w:name="_Ref161819603"/>
      <w:bookmarkEnd w:id="0"/>
      <w:bookmarkStart w:id="1" w:name="_Toc15782"/>
      <w:r>
        <w:rPr>
          <w:rFonts w:hint="eastAsia"/>
        </w:rPr>
        <w:t>信号处理</w:t>
      </w:r>
      <w:r>
        <w:t>详细设计</w:t>
      </w:r>
      <w:bookmarkEnd w:id="1"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文件编号</w:t>
      </w: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本模板的使用建立在假设用户已经基本了解了“软件开发指引（独立文件）”的内容的基础上。在使用本模板时出现关于其用法的问题，请参考“软件开发指引”相关章节</w:t>
      </w:r>
    </w:p>
    <w:p>
      <w:pPr>
        <w:rPr>
          <w:rFonts w:cs="Times New Roman"/>
          <w:color w:val="auto"/>
        </w:rPr>
      </w:pPr>
    </w:p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Compliant with Functional safety Standard (ISO26262)</w:t>
      </w: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□Required 需要 </w:t>
      </w:r>
      <w:r>
        <w:rPr>
          <w:rFonts w:cs="Times New Roman"/>
          <w:color w:val="auto"/>
          <w:sz w:val="22"/>
          <w:szCs w:val="22"/>
        </w:rPr>
        <w:sym w:font="Wingdings 2" w:char="0052"/>
      </w:r>
      <w:r>
        <w:rPr>
          <w:rFonts w:cs="Times New Roman"/>
          <w:color w:val="auto"/>
          <w:sz w:val="22"/>
          <w:szCs w:val="22"/>
        </w:rPr>
        <w:t xml:space="preserve">  No不符合功能安全标准(ISO26262) □</w:t>
      </w:r>
    </w:p>
    <w:p>
      <w:pPr>
        <w:rPr>
          <w:rFonts w:cs="Times New Roman"/>
        </w:rPr>
      </w:pPr>
    </w:p>
    <w:p>
      <w:pPr>
        <w:adjustRightInd w:val="0"/>
        <w:rPr>
          <w:rFonts w:cs="Times New Roman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tbl>
      <w:tblPr>
        <w:tblStyle w:val="15"/>
        <w:tblW w:w="0" w:type="auto"/>
        <w:tblInd w:w="9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774"/>
        <w:gridCol w:w="17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批准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编制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</w:tr>
    </w:tbl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发行日期</w:t>
      </w:r>
    </w:p>
    <w:p>
      <w:pPr>
        <w:adjustRightInd w:val="0"/>
        <w:jc w:val="center"/>
        <w:rPr>
          <w:rFonts w:hint="eastAsia" w:eastAsia="宋体" w:cs="Times New Roman"/>
          <w:color w:val="auto"/>
          <w:lang w:eastAsia="zh-CN"/>
        </w:rPr>
      </w:pPr>
      <w:r>
        <w:rPr>
          <w:rFonts w:cs="Times New Roman"/>
          <w:color w:val="auto"/>
          <w:sz w:val="28"/>
          <w:szCs w:val="28"/>
        </w:rPr>
        <w:t>2021/0</w:t>
      </w:r>
      <w:r>
        <w:rPr>
          <w:rFonts w:hint="eastAsia" w:cs="Times New Roman"/>
          <w:color w:val="auto"/>
          <w:sz w:val="28"/>
          <w:szCs w:val="28"/>
        </w:rPr>
        <w:t>7</w:t>
      </w:r>
      <w:r>
        <w:rPr>
          <w:rFonts w:cs="Times New Roman"/>
          <w:color w:val="auto"/>
          <w:sz w:val="28"/>
          <w:szCs w:val="28"/>
        </w:rPr>
        <w:t>/2</w:t>
      </w:r>
      <w:r>
        <w:rPr>
          <w:rFonts w:hint="eastAsia" w:cs="Times New Roman"/>
          <w:color w:val="auto"/>
          <w:sz w:val="28"/>
          <w:szCs w:val="28"/>
          <w:lang w:val="en-US" w:eastAsia="zh-CN"/>
        </w:rPr>
        <w:t>3</w:t>
      </w: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发行单位</w:t>
      </w:r>
    </w:p>
    <w:p>
      <w:pPr>
        <w:adjustRightInd w:val="0"/>
        <w:jc w:val="center"/>
        <w:rPr>
          <w:rFonts w:cs="Times New Roman"/>
          <w:b/>
          <w:color w:val="0000FF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adjustRightInd w:val="0"/>
        <w:jc w:val="center"/>
        <w:rPr>
          <w:rFonts w:hint="eastAsia" w:eastAsia="宋体" w:cs="Times New Roman"/>
          <w:color w:val="auto"/>
          <w:sz w:val="28"/>
          <w:szCs w:val="28"/>
          <w:lang w:val="en-US" w:eastAsia="zh-CN"/>
        </w:rPr>
      </w:pPr>
      <w:r>
        <w:rPr>
          <w:rFonts w:cs="Times New Roman"/>
          <w:b/>
          <w:color w:val="auto"/>
          <w:sz w:val="28"/>
          <w:szCs w:val="28"/>
        </w:rPr>
        <w:t>变更历</w:t>
      </w:r>
      <w:r>
        <w:rPr>
          <w:rFonts w:hint="eastAsia" w:cs="Times New Roman"/>
          <w:b/>
          <w:color w:val="auto"/>
          <w:sz w:val="28"/>
          <w:szCs w:val="28"/>
          <w:lang w:val="en-US" w:eastAsia="zh-CN"/>
        </w:rPr>
        <w:t>史</w:t>
      </w:r>
    </w:p>
    <w:tbl>
      <w:tblPr>
        <w:tblStyle w:val="15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058"/>
        <w:gridCol w:w="1252"/>
        <w:gridCol w:w="1326"/>
        <w:gridCol w:w="1054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93" w:type="dxa"/>
            <w:gridSpan w:val="2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版本</w:t>
            </w:r>
          </w:p>
        </w:tc>
        <w:tc>
          <w:tcPr>
            <w:tcW w:w="1252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审批日期</w:t>
            </w:r>
          </w:p>
        </w:tc>
        <w:tc>
          <w:tcPr>
            <w:tcW w:w="1326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作者</w:t>
            </w:r>
          </w:p>
        </w:tc>
        <w:tc>
          <w:tcPr>
            <w:tcW w:w="1054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审核人</w:t>
            </w:r>
          </w:p>
        </w:tc>
        <w:tc>
          <w:tcPr>
            <w:tcW w:w="2923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35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当前</w:t>
            </w:r>
          </w:p>
        </w:tc>
        <w:tc>
          <w:tcPr>
            <w:tcW w:w="1058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新版</w:t>
            </w:r>
          </w:p>
        </w:tc>
        <w:tc>
          <w:tcPr>
            <w:tcW w:w="1252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326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54" w:type="dxa"/>
            <w:vMerge w:val="continue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2923" w:type="dxa"/>
            <w:vMerge w:val="continue"/>
            <w:shd w:val="clear" w:color="auto" w:fill="CCECFF"/>
            <w:vAlign w:val="center"/>
          </w:tcPr>
          <w:p>
            <w:pPr>
              <w:spacing w:before="31" w:beforeLines="10" w:after="31" w:afterLines="10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--- </w:t>
            </w: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</w:t>
            </w:r>
            <w:r>
              <w:rPr>
                <w:rFonts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基础版本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V1.1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  <w:r>
              <w:rPr>
                <w:rFonts w:cs="Times New Roman"/>
                <w:color w:val="auto"/>
                <w:sz w:val="20"/>
                <w:szCs w:val="20"/>
              </w:rPr>
              <w:t>.1静态设计框图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/>
              </w:rPr>
              <w:t>用语、缩略语定义</w:t>
            </w:r>
          </w:p>
          <w:p>
            <w:pPr>
              <w:rPr>
                <w:rFonts w:hint="default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  <w:r>
              <w:rPr>
                <w:rFonts w:cs="Times New Roman"/>
                <w:color w:val="auto"/>
                <w:sz w:val="20"/>
                <w:szCs w:val="20"/>
              </w:rPr>
              <w:t>.1.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2 ADC静态框图</w:t>
            </w:r>
          </w:p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：修改2</w:t>
            </w:r>
            <w:r>
              <w:rPr>
                <w:rFonts w:cs="Times New Roman"/>
                <w:color w:val="auto"/>
                <w:sz w:val="20"/>
                <w:szCs w:val="20"/>
              </w:rPr>
              <w:t>.1组件约束</w:t>
            </w:r>
          </w:p>
          <w:p>
            <w:pP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：修改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3.1.1波形</w:t>
            </w:r>
          </w:p>
          <w:p>
            <w:pPr>
              <w:rPr>
                <w:rFonts w:hint="default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：修改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3.1 2DFFT静态图</w:t>
            </w:r>
          </w:p>
        </w:tc>
      </w:tr>
    </w:tbl>
    <w:p/>
    <w:p/>
    <w:p/>
    <w:p/>
    <w:p/>
    <w:p/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dt>
      <w:sdtPr>
        <w:rPr>
          <w:rFonts w:ascii="Times New Roman" w:hAnsi="Times New Roman" w:eastAsia="宋体" w:cs="Arial"/>
          <w:color w:val="000000"/>
          <w:sz w:val="21"/>
          <w:szCs w:val="18"/>
          <w:lang w:val="zh-CN" w:eastAsia="ja-JP"/>
        </w:rPr>
        <w:id w:val="198989467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Arial"/>
          <w:b/>
          <w:bCs/>
          <w:color w:val="000000"/>
          <w:sz w:val="21"/>
          <w:szCs w:val="18"/>
          <w:lang w:val="zh-CN" w:eastAsia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_Toc15782 </w:instrText>
          </w:r>
          <w:r>
            <w:fldChar w:fldCharType="separate"/>
          </w:r>
          <w:r>
            <w:rPr>
              <w:rFonts w:hint="eastAsia"/>
            </w:rPr>
            <w:t>信号处理</w:t>
          </w:r>
          <w:r>
            <w:t>详细设计</w:t>
          </w:r>
          <w:r>
            <w:tab/>
          </w:r>
          <w:r>
            <w:fldChar w:fldCharType="begin"/>
          </w:r>
          <w:r>
            <w:instrText xml:space="preserve"> PAGEREF _Toc15782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1 </w:t>
          </w:r>
          <w:r>
            <w:t>概要</w:t>
          </w:r>
          <w:r>
            <w:tab/>
          </w:r>
          <w:r>
            <w:fldChar w:fldCharType="begin"/>
          </w:r>
          <w:r>
            <w:instrText xml:space="preserve"> PAGEREF _Toc7593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_Toc19448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4"/>
            </w:rPr>
            <w:t xml:space="preserve">1.2 </w:t>
          </w:r>
          <w:r>
            <w:t>参考文件</w:t>
          </w:r>
          <w:r>
            <w:tab/>
          </w:r>
          <w:r>
            <w:fldChar w:fldCharType="begin"/>
          </w:r>
          <w:r>
            <w:instrText xml:space="preserve"> PAGEREF _Toc6454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="MS Mincho"/>
            </w:rPr>
            <w:t xml:space="preserve">1.3 </w:t>
          </w:r>
          <w:r>
            <w:rPr>
              <w:rFonts w:hint="eastAsia"/>
            </w:rPr>
            <w:t>用语、缩略语等定义</w:t>
          </w:r>
          <w:r>
            <w:tab/>
          </w:r>
          <w:r>
            <w:fldChar w:fldCharType="begin"/>
          </w:r>
          <w:r>
            <w:instrText xml:space="preserve"> PAGEREF _Toc8043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 w:cs="微软雅黑"/>
              <w:i w:val="0"/>
            </w:rPr>
            <w:t xml:space="preserve">2 </w:t>
          </w:r>
          <w:r>
            <w:t>制约条件</w:t>
          </w:r>
          <w:r>
            <w:tab/>
          </w:r>
          <w:r>
            <w:fldChar w:fldCharType="begin"/>
          </w:r>
          <w:r>
            <w:instrText xml:space="preserve"> PAGEREF _Toc8109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fr-FR"/>
            </w:rPr>
            <w:t>组件约束</w:t>
          </w:r>
          <w:r>
            <w:tab/>
          </w:r>
          <w:r>
            <w:fldChar w:fldCharType="begin"/>
          </w:r>
          <w:r>
            <w:instrText xml:space="preserve"> PAGEREF _Toc4148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 </w:t>
          </w:r>
          <w:r>
            <w:t>软件</w:t>
          </w:r>
          <w:r>
            <w:rPr>
              <w:rFonts w:hint="eastAsia"/>
            </w:rPr>
            <w:t>组件</w:t>
          </w:r>
          <w:r>
            <w:t>设计</w:t>
          </w:r>
          <w:r>
            <w:tab/>
          </w:r>
          <w:r>
            <w:fldChar w:fldCharType="begin"/>
          </w:r>
          <w:r>
            <w:instrText xml:space="preserve"> PAGEREF _Toc11503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组件静</w:t>
          </w:r>
          <w:r>
            <w:rPr>
              <w:rFonts w:hint="eastAsia"/>
            </w:rPr>
            <w:t>态设计</w:t>
          </w:r>
          <w:r>
            <w:tab/>
          </w:r>
          <w:r>
            <w:fldChar w:fldCharType="begin"/>
          </w:r>
          <w:r>
            <w:instrText xml:space="preserve"> PAGEREF _Toc1342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3.1.1 波形配置</w:t>
          </w:r>
          <w:r>
            <w:tab/>
          </w:r>
          <w:r>
            <w:fldChar w:fldCharType="begin"/>
          </w:r>
          <w:r>
            <w:instrText xml:space="preserve"> PAGEREF _Toc17534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3.1.2 ADC数据采集</w:t>
          </w:r>
          <w:r>
            <w:tab/>
          </w:r>
          <w:r>
            <w:fldChar w:fldCharType="begin"/>
          </w:r>
          <w:r>
            <w:instrText xml:space="preserve"> PAGEREF _Toc29480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3.1.3 一维F</w:t>
          </w:r>
          <w:r>
            <w:t>FT</w:t>
          </w:r>
          <w:r>
            <w:tab/>
          </w:r>
          <w:r>
            <w:fldChar w:fldCharType="begin"/>
          </w:r>
          <w:r>
            <w:instrText xml:space="preserve"> PAGEREF _Toc4890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3.1.4 二维F</w:t>
          </w:r>
          <w:r>
            <w:t>FT</w:t>
          </w:r>
          <w:r>
            <w:tab/>
          </w:r>
          <w:r>
            <w:fldChar w:fldCharType="begin"/>
          </w:r>
          <w:r>
            <w:instrText xml:space="preserve"> PAGEREF _Toc7139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3.1.5 二维幅值矩阵</w:t>
          </w:r>
          <w:r>
            <w:tab/>
          </w:r>
          <w:r>
            <w:fldChar w:fldCharType="begin"/>
          </w:r>
          <w:r>
            <w:instrText xml:space="preserve"> PAGEREF _Toc16987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4 </w:t>
          </w:r>
          <w:r>
            <w:rPr>
              <w:rFonts w:hint="eastAsia"/>
            </w:rPr>
            <w:t>功能函数详述</w:t>
          </w:r>
          <w:r>
            <w:tab/>
          </w:r>
          <w:r>
            <w:fldChar w:fldCharType="begin"/>
          </w:r>
          <w:r>
            <w:instrText xml:space="preserve"> PAGEREF _Toc23659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配置ADCBUF驱动程序的函数</w:t>
          </w:r>
          <w:r>
            <w:tab/>
          </w:r>
          <w:r>
            <w:fldChar w:fldCharType="begin"/>
          </w:r>
          <w:r>
            <w:instrText xml:space="preserve"> PAGEREF _Toc13832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一维F</w:t>
          </w:r>
          <w:r>
            <w:t>FT功能函数</w:t>
          </w:r>
          <w:r>
            <w:tab/>
          </w:r>
          <w:r>
            <w:fldChar w:fldCharType="begin"/>
          </w:r>
          <w:r>
            <w:instrText xml:space="preserve"> PAGEREF _Toc313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二维F</w:t>
          </w:r>
          <w:r>
            <w:t>FT功能函数</w:t>
          </w:r>
          <w:r>
            <w:tab/>
          </w:r>
          <w:r>
            <w:fldChar w:fldCharType="begin"/>
          </w:r>
          <w:r>
            <w:instrText xml:space="preserve"> PAGEREF _Toc26940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4.4 二维幅值矩阵功能函数</w:t>
          </w:r>
          <w:r>
            <w:tab/>
          </w:r>
          <w:r>
            <w:fldChar w:fldCharType="begin"/>
          </w:r>
          <w:r>
            <w:instrText xml:space="preserve"> PAGEREF _Toc8033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5"/>
      </w:pPr>
      <w:bookmarkStart w:id="2" w:name="_Toc49777998"/>
      <w:bookmarkStart w:id="3" w:name="_Toc7593"/>
      <w:bookmarkStart w:id="4" w:name="_Toc49777906"/>
      <w:r>
        <w:t>概要</w:t>
      </w:r>
      <w:bookmarkEnd w:id="2"/>
      <w:bookmarkEnd w:id="3"/>
      <w:bookmarkEnd w:id="4"/>
    </w:p>
    <w:p>
      <w:pPr>
        <w:pStyle w:val="23"/>
      </w:pPr>
      <w:bookmarkStart w:id="5" w:name="_Toc49777999"/>
      <w:bookmarkStart w:id="6" w:name="_Toc49777907"/>
      <w:bookmarkStart w:id="7" w:name="_Toc19448"/>
      <w:bookmarkStart w:id="8" w:name="_Toc49777326"/>
      <w:r>
        <w:t>目的</w:t>
      </w:r>
      <w:bookmarkEnd w:id="5"/>
      <w:bookmarkEnd w:id="6"/>
      <w:bookmarkEnd w:id="7"/>
      <w:bookmarkEnd w:id="8"/>
    </w:p>
    <w:p>
      <w:r>
        <w:rPr>
          <w:rFonts w:hint="eastAsia"/>
        </w:rPr>
        <w:t>本详细设计说明书编写的目的是为了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  <w:bookmarkStart w:id="9" w:name="_Toc163909535"/>
      <w:bookmarkStart w:id="10" w:name="_Toc163909413"/>
      <w:bookmarkStart w:id="11" w:name="_Toc163909459"/>
      <w:bookmarkStart w:id="12" w:name="_Toc163909607"/>
      <w:bookmarkStart w:id="13" w:name="_Toc49777908"/>
      <w:bookmarkStart w:id="14" w:name="_Toc49777327"/>
      <w:bookmarkStart w:id="15" w:name="_Toc49778000"/>
    </w:p>
    <w:p>
      <w:pPr>
        <w:adjustRightInd w:val="0"/>
        <w:rPr>
          <w:rFonts w:cs="Times New Roman"/>
          <w:color w:val="auto"/>
          <w:sz w:val="24"/>
          <w:szCs w:val="24"/>
        </w:rPr>
      </w:pPr>
    </w:p>
    <w:bookmarkEnd w:id="9"/>
    <w:bookmarkEnd w:id="10"/>
    <w:bookmarkEnd w:id="11"/>
    <w:bookmarkEnd w:id="12"/>
    <w:p>
      <w:pPr>
        <w:pStyle w:val="23"/>
        <w:rPr>
          <w:color w:val="auto"/>
          <w:szCs w:val="24"/>
        </w:rPr>
      </w:pPr>
      <w:bookmarkStart w:id="16" w:name="_Toc6454"/>
      <w:r>
        <w:t>参考文件</w:t>
      </w:r>
      <w:bookmarkEnd w:id="13"/>
      <w:bookmarkEnd w:id="14"/>
      <w:bookmarkEnd w:id="15"/>
      <w:bookmarkEnd w:id="16"/>
    </w:p>
    <w:tbl>
      <w:tblPr>
        <w:tblStyle w:val="15"/>
        <w:tblW w:w="77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406"/>
        <w:gridCol w:w="589"/>
        <w:gridCol w:w="1961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90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bookmarkStart w:id="17" w:name="_Hlk39666417"/>
            <w:r>
              <w:rPr>
                <w:rFonts w:cs="Times New Roman"/>
                <w:color w:val="auto"/>
                <w:szCs w:val="21"/>
              </w:rPr>
              <w:t>编号</w:t>
            </w:r>
          </w:p>
        </w:tc>
        <w:tc>
          <w:tcPr>
            <w:tcW w:w="2406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参考文档</w:t>
            </w:r>
          </w:p>
        </w:tc>
        <w:tc>
          <w:tcPr>
            <w:tcW w:w="589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版本</w:t>
            </w:r>
          </w:p>
        </w:tc>
        <w:tc>
          <w:tcPr>
            <w:tcW w:w="1961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发行者</w:t>
            </w:r>
          </w:p>
        </w:tc>
        <w:tc>
          <w:tcPr>
            <w:tcW w:w="194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240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mmwave_sdk_user_guide</w:t>
            </w:r>
          </w:p>
        </w:tc>
        <w:tc>
          <w:tcPr>
            <w:tcW w:w="58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40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IWR68xxIndustrial Radar Technical Reference Manual</w:t>
            </w:r>
          </w:p>
        </w:tc>
        <w:tc>
          <w:tcPr>
            <w:tcW w:w="58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406" w:type="dxa"/>
            <w:vAlign w:val="center"/>
          </w:tcPr>
          <w:p>
            <w:pPr>
              <w:adjustRightInd w:val="0"/>
              <w:jc w:val="center"/>
              <w:rPr>
                <w:rFonts w:hint="eastAsia"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iwr6843</w:t>
            </w:r>
          </w:p>
        </w:tc>
        <w:tc>
          <w:tcPr>
            <w:tcW w:w="58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bookmarkEnd w:id="17"/>
    </w:tbl>
    <w:p>
      <w:pPr>
        <w:rPr>
          <w:rFonts w:eastAsia="MS Mincho" w:cs="Times New Roman"/>
        </w:rPr>
      </w:pPr>
    </w:p>
    <w:p>
      <w:pPr>
        <w:pStyle w:val="23"/>
        <w:rPr>
          <w:rFonts w:eastAsia="MS Mincho"/>
        </w:rPr>
      </w:pPr>
      <w:bookmarkStart w:id="18" w:name="_Toc8043"/>
      <w:r>
        <w:rPr>
          <w:rFonts w:hint="eastAsia"/>
        </w:rPr>
        <w:t>用语、缩略语等定义</w:t>
      </w:r>
      <w:bookmarkEnd w:id="18"/>
    </w:p>
    <w:tbl>
      <w:tblPr>
        <w:tblStyle w:val="15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39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962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hint="eastAsia" w:cs="Times New Roman"/>
                <w:color w:val="auto"/>
                <w:szCs w:val="21"/>
              </w:rPr>
              <w:t>编号</w:t>
            </w:r>
          </w:p>
        </w:tc>
        <w:tc>
          <w:tcPr>
            <w:tcW w:w="239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用语、缩略语</w:t>
            </w:r>
          </w:p>
        </w:tc>
        <w:tc>
          <w:tcPr>
            <w:tcW w:w="415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含义、定义和正式名称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SoC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系统级芯片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CFAR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恒虚警率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EDMA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快速数据交换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4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BSS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Business support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5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MSS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Management support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6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DSS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Decision Support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7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ADC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数模转换器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8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FFT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傅里叶变换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9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TDM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时分复用技术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Ping-pong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数据缓冲的手段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Front End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前端多指声频系统中的信号源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MIMO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多进多出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MMIC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单片式微波集成电路</w:t>
            </w:r>
          </w:p>
        </w:tc>
      </w:tr>
    </w:tbl>
    <w:p>
      <w:pPr>
        <w:pStyle w:val="6"/>
      </w:pPr>
      <w:bookmarkStart w:id="19" w:name="_Toc49777910"/>
      <w:bookmarkStart w:id="20" w:name="_Toc49777329"/>
      <w:bookmarkStart w:id="21" w:name="_Toc49778002"/>
    </w:p>
    <w:p>
      <w:pPr>
        <w:pStyle w:val="25"/>
        <w:ind w:left="562" w:hanging="562"/>
        <w:rPr>
          <w:rFonts w:ascii="微软雅黑" w:hAnsi="微软雅黑" w:eastAsia="微软雅黑" w:cs="微软雅黑"/>
        </w:rPr>
      </w:pPr>
      <w:bookmarkStart w:id="22" w:name="_Toc8109"/>
      <w:r>
        <w:t>制约条件</w:t>
      </w:r>
      <w:bookmarkEnd w:id="19"/>
      <w:bookmarkEnd w:id="20"/>
      <w:bookmarkEnd w:id="21"/>
      <w:bookmarkEnd w:id="22"/>
      <w:bookmarkStart w:id="23" w:name="_Ref161819605"/>
    </w:p>
    <w:p>
      <w:pPr>
        <w:pStyle w:val="23"/>
      </w:pPr>
      <w:bookmarkStart w:id="24" w:name="_Toc4148"/>
      <w:r>
        <w:rPr>
          <w:rFonts w:hint="eastAsia"/>
          <w:lang w:val="fr-FR"/>
        </w:rPr>
        <w:t>组件约束</w:t>
      </w:r>
      <w:bookmarkEnd w:id="24"/>
    </w:p>
    <w:p>
      <w:pPr>
        <w:rPr>
          <w:lang w:val="fr-FR"/>
        </w:rPr>
      </w:pPr>
      <w:r>
        <w:rPr>
          <w:rFonts w:hint="eastAsia"/>
          <w:lang w:val="fr-FR"/>
        </w:rPr>
        <w:t>软件设计和实现约束条件如下：</w:t>
      </w:r>
      <w:r>
        <w:rPr>
          <w:lang w:val="fr-FR"/>
        </w:rPr>
        <w:t xml:space="preserve"> </w:t>
      </w:r>
    </w:p>
    <w:p>
      <w:pPr>
        <w:numPr>
          <w:ilvl w:val="0"/>
          <w:numId w:val="9"/>
        </w:numPr>
        <w:adjustRightInd w:val="0"/>
        <w:rPr>
          <w:lang w:val="fr-FR"/>
        </w:rPr>
      </w:pPr>
      <w:r>
        <w:rPr>
          <w:rFonts w:hint="eastAsia"/>
          <w:lang w:val="fr-FR"/>
        </w:rPr>
        <w:t>供信号处理使用的</w:t>
      </w:r>
      <w:r>
        <w:rPr>
          <w:rFonts w:hint="eastAsia"/>
        </w:rPr>
        <w:t>L2空间最大为256K, L3</w:t>
      </w:r>
      <w:r>
        <w:rPr>
          <w:lang w:val="fr-FR"/>
        </w:rPr>
        <w:t>空间大小最大为</w:t>
      </w:r>
      <w:r>
        <w:rPr>
          <w:rFonts w:hint="eastAsia"/>
          <w:lang w:val="fr-FR"/>
        </w:rPr>
        <w:t>7</w:t>
      </w:r>
      <w:r>
        <w:rPr>
          <w:lang w:val="fr-FR"/>
        </w:rPr>
        <w:t>68K</w:t>
      </w:r>
      <w:r>
        <w:rPr>
          <w:rFonts w:hint="eastAsia"/>
          <w:lang w:val="fr-FR"/>
        </w:rPr>
        <w:t>；</w:t>
      </w:r>
    </w:p>
    <w:p>
      <w:pPr>
        <w:numPr>
          <w:ilvl w:val="0"/>
          <w:numId w:val="9"/>
        </w:numPr>
        <w:adjustRightInd w:val="0"/>
      </w:pPr>
      <w:r>
        <w:rPr>
          <w:lang w:val="fr-FR"/>
        </w:rPr>
        <w:t>需要考虑兼容性以及软件的可移植性</w:t>
      </w:r>
      <w:r>
        <w:rPr>
          <w:rFonts w:hint="eastAsia"/>
          <w:lang w:val="fr-FR"/>
        </w:rPr>
        <w:t>，</w:t>
      </w:r>
      <w:r>
        <w:rPr>
          <w:lang w:val="fr-FR"/>
        </w:rPr>
        <w:t>便于后续维护及开发</w:t>
      </w:r>
      <w:r>
        <w:rPr>
          <w:rFonts w:hint="eastAsia"/>
        </w:rPr>
        <w:t>；</w:t>
      </w:r>
    </w:p>
    <w:p>
      <w:pPr>
        <w:numPr>
          <w:ilvl w:val="0"/>
          <w:numId w:val="9"/>
        </w:numPr>
        <w:adjustRightInd w:val="0"/>
      </w:pPr>
      <w:r>
        <w:t>模块实现需要遵循MISRA C:2012规范</w:t>
      </w:r>
      <w:r>
        <w:rPr>
          <w:rFonts w:hint="eastAsia"/>
        </w:rPr>
        <w:t>。</w:t>
      </w: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  <w:rPr>
          <w:rFonts w:hint="eastAsia" w:eastAsia="宋体"/>
          <w:lang w:val="en-US" w:eastAsia="zh-CN"/>
        </w:rPr>
      </w:pPr>
    </w:p>
    <w:bookmarkEnd w:id="23"/>
    <w:p>
      <w:pPr>
        <w:pStyle w:val="25"/>
        <w:ind w:left="562" w:hanging="562"/>
      </w:pPr>
      <w:bookmarkStart w:id="25" w:name="_Toc49777912"/>
      <w:bookmarkStart w:id="26" w:name="_Toc49777331"/>
      <w:bookmarkStart w:id="27" w:name="_Toc49778004"/>
      <w:bookmarkStart w:id="28" w:name="_Toc11503"/>
      <w:r>
        <w:t>软件</w:t>
      </w:r>
      <w:r>
        <w:rPr>
          <w:rFonts w:hint="eastAsia"/>
        </w:rPr>
        <w:t>组件</w:t>
      </w:r>
      <w:r>
        <w:t>设计</w:t>
      </w:r>
      <w:bookmarkEnd w:id="25"/>
      <w:bookmarkEnd w:id="26"/>
      <w:bookmarkEnd w:id="27"/>
      <w:bookmarkEnd w:id="28"/>
    </w:p>
    <w:p>
      <w:pPr>
        <w:pStyle w:val="23"/>
      </w:pPr>
      <w:bookmarkStart w:id="29" w:name="_Toc49777913"/>
      <w:bookmarkStart w:id="30" w:name="_Toc1342"/>
      <w:bookmarkStart w:id="31" w:name="_Toc49778005"/>
      <w:bookmarkStart w:id="32" w:name="_Toc49777332"/>
      <w:r>
        <w:t>组件静</w:t>
      </w:r>
      <w:r>
        <w:rPr>
          <w:rFonts w:hint="eastAsia"/>
        </w:rPr>
        <w:t>态设计</w:t>
      </w:r>
      <w:bookmarkEnd w:id="29"/>
      <w:bookmarkEnd w:id="30"/>
      <w:bookmarkEnd w:id="31"/>
      <w:bookmarkEnd w:id="32"/>
    </w:p>
    <w:p>
      <w:pPr>
        <w:pStyle w:val="6"/>
      </w:pP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ADC &amp; 1DFFT</w:t>
      </w:r>
    </w:p>
    <w:p>
      <w:pPr>
        <w:pStyle w:val="6"/>
      </w:pPr>
      <w:r>
        <w:drawing>
          <wp:inline distT="0" distB="0" distL="114300" distR="114300">
            <wp:extent cx="5268595" cy="977900"/>
            <wp:effectExtent l="0" t="0" r="8255" b="1270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2DFFT</w:t>
      </w:r>
    </w:p>
    <w:p>
      <w:pPr>
        <w:pStyle w:val="6"/>
      </w:pPr>
      <w:r>
        <w:drawing>
          <wp:inline distT="0" distB="0" distL="114300" distR="114300">
            <wp:extent cx="5261610" cy="933450"/>
            <wp:effectExtent l="0" t="0" r="1524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目标模块静态框</w:t>
      </w: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6"/>
      </w:pPr>
      <w:bookmarkStart w:id="33" w:name="_Toc17534"/>
      <w:r>
        <w:rPr>
          <w:rFonts w:hint="eastAsia"/>
        </w:rPr>
        <w:t>波形配置</w:t>
      </w:r>
      <w:bookmarkEnd w:id="3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考虑到内存限制此次调试波形设置为</w:t>
      </w:r>
      <w:r>
        <w:rPr>
          <w:rFonts w:hint="eastAsia"/>
          <w:lang w:val="en-US" w:eastAsia="zh-CN"/>
        </w:rPr>
        <w:t>1发4收，当前波形如下：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  <w:sz w:val="18"/>
              </w:rPr>
              <w:t>sensorStop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flushCfg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ascii="Century" w:hAnsi="Century" w:eastAsia="MS Mincho"/>
                <w:sz w:val="18"/>
              </w:rPr>
              <w:t>刷新旧配置并提供新配置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eastAsia"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dfeDataOutputMode 1</w:t>
            </w:r>
          </w:p>
          <w:p>
            <w:pPr>
              <w:rPr>
                <w:rFonts w:hint="eastAsia" w:ascii="Century" w:hAnsi="Century" w:eastAsia="MS Mincho"/>
                <w:sz w:val="18"/>
              </w:rPr>
            </w:pP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基于帧的chirp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channelCfg 15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1</w:t>
            </w:r>
            <w:r>
              <w:rPr>
                <w:rFonts w:hint="eastAsia" w:ascii="Century" w:hAnsi="Century" w:eastAsia="MS Mincho"/>
                <w:sz w:val="18"/>
              </w:rPr>
              <w:t xml:space="preserve"> 0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通道配置为1发、4收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>adcCfg 2 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adc数据格式为16字节、复数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>adcbufCfg -1 0 0 1 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设置</w:t>
            </w:r>
            <w:r>
              <w:rPr>
                <w:rFonts w:ascii="Century" w:hAnsi="Century" w:eastAsia="MS Mincho"/>
                <w:sz w:val="18"/>
              </w:rPr>
              <w:t>legacy</w:t>
            </w:r>
            <w:r>
              <w:rPr>
                <w:rFonts w:hint="eastAsia" w:ascii="Century" w:hAnsi="Century" w:eastAsia="MS Mincho"/>
                <w:sz w:val="18"/>
              </w:rPr>
              <w:t>模式</w:t>
            </w:r>
            <w:r>
              <w:rPr>
                <w:rFonts w:hint="eastAsia" w:ascii="Century" w:hAnsi="Century"/>
                <w:sz w:val="18"/>
                <w:lang w:eastAsia="zh-CN"/>
              </w:rPr>
              <w:t>、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输出为复数、地位为复数高位为实数、数据为不交叉的、</w:t>
            </w:r>
            <w:r>
              <w:rPr>
                <w:rFonts w:ascii="Century" w:hAnsi="Century" w:eastAsia="MS Mincho"/>
                <w:sz w:val="18"/>
              </w:rPr>
              <w:t>Chirp 阈值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profileCfg 0 60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48.5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5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31.6</w:t>
            </w:r>
            <w:r>
              <w:rPr>
                <w:rFonts w:hint="eastAsia" w:ascii="Century" w:hAnsi="Century" w:eastAsia="MS Mincho"/>
                <w:sz w:val="18"/>
              </w:rPr>
              <w:t xml:space="preserve"> 0 0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120</w:t>
            </w:r>
            <w:r>
              <w:rPr>
                <w:rFonts w:hint="eastAsia" w:ascii="Century" w:hAnsi="Century" w:eastAsia="MS Mincho"/>
                <w:sz w:val="18"/>
              </w:rPr>
              <w:t xml:space="preserve"> 0 128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5</w:t>
            </w:r>
            <w:r>
              <w:rPr>
                <w:rFonts w:hint="eastAsia" w:ascii="Century" w:hAnsi="Century" w:eastAsia="MS Mincho"/>
                <w:sz w:val="18"/>
              </w:rPr>
              <w:t>000 0 0 40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起始频率为60GHz、空闲时间为48.5u、起始时间为5u、斜坡时间为31.6u、Tx输出功率为0、Tx移相器为0、频率斜率为120、Tx开始时间为0u、Adc采样数为128、采样评论为5500、（高通录波器1）转角频率为175kHz、（高通录波器2）转角频率为350kHz、Rx与Rf增益目标OR为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chirpCfg 0 0 0 0 0 0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chirp起始索引0、chirp结束索引0、配置文件标识符、起始频率变化0、单位斜率变化0、空闲时间0、ADC开始时间变化0、打开Tx1天线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frameCfg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0</w:t>
            </w:r>
            <w:r>
              <w:rPr>
                <w:rFonts w:hint="eastAsia" w:ascii="Century" w:hAnsi="Century" w:eastAsia="MS Mincho"/>
                <w:sz w:val="18"/>
              </w:rPr>
              <w:t xml:space="preserve"> 128 0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5</w:t>
            </w:r>
            <w:r>
              <w:rPr>
                <w:rFonts w:hint="eastAsia" w:ascii="Century" w:hAnsi="Century" w:eastAsia="MS Mincho"/>
                <w:sz w:val="18"/>
              </w:rPr>
              <w:t>0 1 0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chirp 起始索引0、chirp 结束索引0、loops为128、帧数为无限、帧周期为50ms、软件触发、帧触发延迟为0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>lowPower 0 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Adc模式为低功耗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sensorStart</w:t>
            </w:r>
          </w:p>
        </w:tc>
      </w:tr>
    </w:tbl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42"/>
        <w:gridCol w:w="2450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254" w:type="dxa"/>
          </w:tcPr>
          <w:p>
            <w:pPr>
              <w:rPr>
                <w:rFonts w:ascii="Century" w:hAnsi="Century" w:eastAsia="MS Mincho"/>
                <w:sz w:val="18"/>
              </w:rPr>
            </w:pPr>
            <w:bookmarkStart w:id="43" w:name="_GoBack" w:colFirst="0" w:colLast="3"/>
            <w:r>
              <w:rPr>
                <w:rFonts w:hint="eastAsia" w:ascii="Century" w:hAnsi="Century" w:eastAsia="MS Mincho"/>
                <w:sz w:val="18"/>
              </w:rPr>
              <w:t>配置command</w:t>
            </w:r>
          </w:p>
        </w:tc>
        <w:tc>
          <w:tcPr>
            <w:tcW w:w="224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Command details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Command Parameters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Usage in mmW demo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/xwr68xx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sensorStop</w:t>
            </w:r>
          </w:p>
        </w:tc>
        <w:tc>
          <w:tcPr>
            <w:tcW w:w="2242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flushCfg</w:t>
            </w:r>
          </w:p>
        </w:tc>
        <w:tc>
          <w:tcPr>
            <w:tcW w:w="224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此命令应在“sensorStop”命令之后发出，以刷新旧配置并提供新配置。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dfeDataOutputMode 1</w:t>
            </w:r>
          </w:p>
        </w:tc>
        <w:tc>
          <w:tcPr>
            <w:tcW w:w="224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此命令中的值不应更改 在 sensorStop 和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  <w:r>
              <w:rPr>
                <w:rFonts w:ascii="Century" w:hAnsi="Century" w:eastAsia="MS Mincho"/>
                <w:sz w:val="18"/>
              </w:rPr>
              <w:t xml:space="preserve">sensorStart 之间。 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这是强制性命令。 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1 - frame based chirps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2 - continuous chirping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3 - advanced frame config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支持1 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254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channelCfg 15 </w:t>
            </w:r>
            <w:r>
              <w:rPr>
                <w:rFonts w:hint="eastAsia" w:ascii="Century" w:hAnsi="Century" w:eastAsia="MS Mincho"/>
                <w:sz w:val="18"/>
              </w:rPr>
              <w:t>1</w:t>
            </w:r>
            <w:r>
              <w:rPr>
                <w:rFonts w:ascii="Century" w:hAnsi="Century" w:eastAsia="MS Mincho"/>
                <w:sz w:val="18"/>
              </w:rPr>
              <w:t xml:space="preserve"> 0</w:t>
            </w:r>
          </w:p>
        </w:tc>
        <w:tc>
          <w:tcPr>
            <w:tcW w:w="2242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&lt;rxChannelEn&gt;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接收天线掩码，例如对于 4 个天线，它是 0x1111b = 15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支持 4 个天线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&lt;txChannelEn&gt; 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发射天</w:t>
            </w:r>
            <w:r>
              <w:rPr>
                <w:rFonts w:hint="eastAsia" w:ascii="Century" w:hAnsi="Century" w:eastAsia="MS Mincho"/>
                <w:sz w:val="18"/>
              </w:rPr>
              <w:t>掩码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可以使用位掩码 0x5（即 tx1 和 tx3）启用 2 个方位角天线。 方位角和仰角天线都可以使用位掩码 0x7（即 tx1、tx2 和 tx3）启用。 可以使用位掩码 0x3（即 tx1 和 tx2）启用 2 个方位角天线。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&lt;cascading&gt;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SoC 级联，不适用，设置为 0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254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adcCfg 2 1</w:t>
            </w:r>
          </w:p>
        </w:tc>
        <w:tc>
          <w:tcPr>
            <w:tcW w:w="2242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&lt;numADCBits&gt;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1是14位字节2是16为字节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&lt;adcOutputFmt&gt;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0是real、1是complex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只支complex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54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adcbufCfg -1 0 0 1 1</w:t>
            </w:r>
          </w:p>
        </w:tc>
        <w:tc>
          <w:tcPr>
            <w:tcW w:w="2242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&lt;subFrameIdx&gt;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子帧索引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legacy</w:t>
            </w:r>
            <w:r>
              <w:rPr>
                <w:rFonts w:hint="eastAsia" w:ascii="Century" w:hAnsi="Century" w:eastAsia="MS Mincho"/>
                <w:sz w:val="18"/>
              </w:rPr>
              <w:t>模式设置为</w:t>
            </w:r>
            <w:r>
              <w:rPr>
                <w:rFonts w:ascii="Century" w:hAnsi="Century" w:eastAsia="MS Mincho"/>
                <w:sz w:val="18"/>
              </w:rPr>
              <w:t>-1</w:t>
            </w:r>
            <w:r>
              <w:rPr>
                <w:rFonts w:hint="eastAsia" w:ascii="Century" w:hAnsi="Century" w:eastAsia="MS Mincho"/>
                <w:sz w:val="18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&lt;adcOutputFmt&gt;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ADCBUF </w:t>
            </w:r>
            <w:r>
              <w:rPr>
                <w:rFonts w:hint="eastAsia" w:ascii="Century" w:hAnsi="Century" w:eastAsia="MS Mincho"/>
                <w:sz w:val="18"/>
              </w:rPr>
              <w:t>输出格式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0 - </w:t>
            </w:r>
            <w:r>
              <w:rPr>
                <w:rFonts w:ascii="Century" w:hAnsi="Century" w:eastAsia="MS Mincho"/>
                <w:sz w:val="18"/>
              </w:rPr>
              <w:t>Complex,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  <w:r>
              <w:rPr>
                <w:rFonts w:ascii="Century" w:hAnsi="Century" w:eastAsia="MS Mincho"/>
                <w:sz w:val="18"/>
              </w:rPr>
              <w:t>1-Real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&lt;SampleSwap&gt;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ADCBUF IQ swap selection:</w:t>
            </w:r>
          </w:p>
          <w:p>
            <w:pPr>
              <w:rPr>
                <w:rFonts w:hint="eastAsia"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I in LSB, Q in MSB,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1-Q in LSB, I in MSB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只支持1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&lt;ChanInterleave&gt;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ADCBUF channel interleave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0 - interleaved(only supported for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  <w:r>
              <w:rPr>
                <w:rFonts w:ascii="Century" w:hAnsi="Century" w:eastAsia="MS Mincho"/>
                <w:sz w:val="18"/>
              </w:rPr>
              <w:t>XWR14xx),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1 - non-interleaved</w:t>
            </w:r>
            <w:r>
              <w:rPr>
                <w:rFonts w:hint="eastAsia" w:ascii="Century" w:hAnsi="Century" w:eastAsia="MS Mincho"/>
                <w:sz w:val="18"/>
              </w:rPr>
              <w:t>；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只支持1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&lt;ChirpThreshold&gt;</w:t>
            </w: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用于 ADCBUF 缓冲区的 Chirp 阈值配置以触发 ping /pong 缓冲开关。有效值：0-8</w:t>
            </w:r>
            <w:r>
              <w:rPr>
                <w:rFonts w:hint="eastAsia" w:ascii="Century" w:hAnsi="Century" w:eastAsia="MS Mincho"/>
                <w:sz w:val="18"/>
              </w:rPr>
              <w:t>，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只支持1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profileCfg 0 60 </w:t>
            </w:r>
            <w:r>
              <w:rPr>
                <w:rFonts w:hint="eastAsia" w:ascii="Century" w:hAnsi="Century" w:eastAsia="MS Mincho"/>
                <w:sz w:val="18"/>
              </w:rPr>
              <w:t>48.5</w:t>
            </w:r>
            <w:r>
              <w:rPr>
                <w:rFonts w:ascii="Century" w:hAnsi="Century" w:eastAsia="MS Mincho"/>
                <w:sz w:val="18"/>
              </w:rPr>
              <w:t xml:space="preserve"> </w:t>
            </w:r>
            <w:r>
              <w:rPr>
                <w:rFonts w:hint="eastAsia" w:ascii="Century" w:hAnsi="Century" w:eastAsia="MS Mincho"/>
                <w:sz w:val="18"/>
              </w:rPr>
              <w:t>5</w:t>
            </w:r>
            <w:r>
              <w:rPr>
                <w:rFonts w:ascii="Century" w:hAnsi="Century" w:eastAsia="MS Mincho"/>
                <w:sz w:val="18"/>
              </w:rPr>
              <w:t xml:space="preserve"> </w:t>
            </w:r>
            <w:r>
              <w:rPr>
                <w:rFonts w:hint="eastAsia" w:ascii="Century" w:hAnsi="Century" w:eastAsia="MS Mincho"/>
                <w:sz w:val="18"/>
              </w:rPr>
              <w:t>31.6</w:t>
            </w:r>
            <w:r>
              <w:rPr>
                <w:rFonts w:ascii="Century" w:hAnsi="Century" w:eastAsia="MS Mincho"/>
                <w:sz w:val="18"/>
              </w:rPr>
              <w:t xml:space="preserve"> 0 0 </w:t>
            </w:r>
            <w:r>
              <w:rPr>
                <w:rFonts w:hint="eastAsia" w:ascii="Century" w:hAnsi="Century" w:eastAsia="MS Mincho"/>
                <w:sz w:val="18"/>
              </w:rPr>
              <w:t>120</w:t>
            </w:r>
            <w:r>
              <w:rPr>
                <w:rFonts w:ascii="Century" w:hAnsi="Century" w:eastAsia="MS Mincho"/>
                <w:sz w:val="18"/>
              </w:rPr>
              <w:t xml:space="preserve"> 0 128 </w:t>
            </w:r>
            <w:r>
              <w:rPr>
                <w:rFonts w:hint="eastAsia" w:ascii="Century" w:hAnsi="Century" w:eastAsia="MS Mincho"/>
                <w:sz w:val="18"/>
              </w:rPr>
              <w:t>5</w:t>
            </w:r>
            <w:r>
              <w:rPr>
                <w:rFonts w:ascii="Century" w:hAnsi="Century" w:eastAsia="MS Mincho"/>
                <w:sz w:val="18"/>
              </w:rPr>
              <w:t>000 0 0 40</w:t>
            </w:r>
          </w:p>
        </w:tc>
        <w:tc>
          <w:tcPr>
            <w:tcW w:w="2242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  <w:lang w:eastAsia="zh-CN"/>
              </w:rPr>
              <w:t>当前处理程序将此字段的值设置为 0（向后兼容模式）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profile Identifier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Legacy frame：</w:t>
            </w:r>
            <w:r>
              <w:rPr>
                <w:rFonts w:ascii="Century" w:hAnsi="Century" w:eastAsia="MS Mincho"/>
                <w:sz w:val="18"/>
              </w:rPr>
              <w:t xml:space="preserve"> (dfeOutputMode=1)：可以是任何允许的值，但每个配置只支持一个有效的配置文件 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Advancedframe(dfeOutputMode=3)：可以是任何允许的值，但每个子帧仅支持一个配置文件。 然而，不同的子帧可以有不同的配置文件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&lt;起始频率&gt; 以 GHz 为单位的“频率启动”（允许浮动值） 例子： 77 61.38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&lt;空闲时间&gt; 以 u-sec 为单位的“空闲时间”（允许浮点值） 例子： 7 7.15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&lt;adcStartTime&gt; 以 u-sec 为单位的“ADC 有效开始时间”（允许浮点值） 例子： 7 7.34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&lt;rampEndTime&gt;</w:t>
            </w:r>
            <w:r>
              <w:rPr>
                <w:rFonts w:ascii="Century" w:hAnsi="Century" w:eastAsia="MS Mincho"/>
                <w:sz w:val="18"/>
              </w:rPr>
              <w:t xml:space="preserve"> 以 u-sec 为单位的“斜坡结束时间”（允许浮点值） 例子： 58 216.15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&lt;txOutPower&gt; tx 天线的 Tx 输出功率back-off代码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测试了“0”的值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&lt;txPhaseShifter&gt;</w:t>
            </w:r>
            <w:r>
              <w:rPr>
                <w:rFonts w:ascii="Century" w:hAnsi="Century" w:eastAsia="MS Mincho"/>
                <w:sz w:val="18"/>
              </w:rPr>
              <w:t xml:space="preserve"> 用于 tx 天线的 tx 移相器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测试了“0”的值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&lt;freqSlopeConst&gt; 以 MHz/usec 为单位的线性调频“频率斜率”（允许浮点值） 例子： 68 16.83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&lt;tx开始时间&gt; 以 u-sec 为单位的“TX 开始时间”（允许浮点值） 例子： 1 2.92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&lt;numAdcSamples&gt; 在“ADC 采样时间”期间收集的 ADC 样本数为 如上面的啁啾图所示示例： 256 224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&lt;digOutSampleRate&gt; 以 ksps 为单位的 ADC 采样频率。(&lt;numAdcSamples&gt; / &lt;digOutSampleRate&gt; = "ADC 采样时间") 例子： 5500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&lt;hpfCornerFreq1&gt; HPF1（高通滤波器 1）转角频率 0: 175 kHz 1：235KHz 2：350KHz 3：700KHz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具体的值根据数据手册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&lt;hpfCornerFreq2&gt; HPF2（高通滤波器 2）转角频率 0：350KHz 1：700KHz 2：1.4兆赫 3：2.8 兆赫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具体的值根据数据手册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&lt;rxGain&gt;</w:t>
            </w:r>
            <w:r>
              <w:rPr>
                <w:rFonts w:ascii="Century" w:hAnsi="Century" w:eastAsia="MS Mincho"/>
                <w:sz w:val="18"/>
              </w:rPr>
              <w:t xml:space="preserve"> 以 dB 为单位的 RX 增益与 RF 增益目标的 OR 值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具体的值根据数据手册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54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chirpCfg 0 0 0 0 0 0 0 </w:t>
            </w:r>
            <w:r>
              <w:rPr>
                <w:rFonts w:hint="eastAsia" w:ascii="Century" w:hAnsi="Century" w:eastAsia="MS Mincho"/>
                <w:sz w:val="18"/>
              </w:rPr>
              <w:t>1</w:t>
            </w:r>
          </w:p>
        </w:tc>
        <w:tc>
          <w:tcPr>
            <w:tcW w:w="2242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chirp 起始索引</w:t>
            </w:r>
            <w:r>
              <w:rPr>
                <w:rFonts w:hint="eastAsia" w:ascii="Century" w:hAnsi="Century" w:eastAsia="MS Mincho"/>
                <w:sz w:val="18"/>
              </w:rPr>
              <w:t>；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根据 mmwavelin doxygen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chirp </w:t>
            </w:r>
            <w:r>
              <w:rPr>
                <w:rFonts w:hint="eastAsia" w:ascii="Century" w:hAnsi="Century" w:eastAsia="MS Mincho"/>
                <w:sz w:val="18"/>
              </w:rPr>
              <w:t>结束</w:t>
            </w:r>
            <w:r>
              <w:rPr>
                <w:rFonts w:ascii="Century" w:hAnsi="Century" w:eastAsia="MS Mincho"/>
                <w:sz w:val="18"/>
              </w:rPr>
              <w:t>索引</w:t>
            </w:r>
            <w:r>
              <w:rPr>
                <w:rFonts w:hint="eastAsia" w:ascii="Century" w:hAnsi="Century" w:eastAsia="MS Mincho"/>
                <w:sz w:val="18"/>
              </w:rPr>
              <w:t>；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根据 mmwavelin doxygen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配置文件标识符</w:t>
            </w:r>
            <w:r>
              <w:rPr>
                <w:rFonts w:hint="eastAsia" w:ascii="Century" w:hAnsi="Century" w:eastAsia="MS Mincho"/>
                <w:sz w:val="18"/>
              </w:rPr>
              <w:t>；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应该匹配 profileCfg-&gt;profileId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以 Hz 为单位的起始频率变化（允许浮点值）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以 kHz/us 为单位的频率斜率变化（允许浮点值）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以 u-sec 为单位的空闲时间变化（允许浮点值）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以 u-sec 为单位的 ADC 开始时间变化（允许浮点值）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只支持0</w:t>
            </w:r>
          </w:p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tx 天线启用掩码 (Tx2,Tx1) 例如 (10)b = Tx2 启用，Tx1 禁用。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单个 chirp 应仅启用一个不同的 Tx 天线 (MIMO) 或应为所有 chirp 启用相同的 TX 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frameCfg 0 </w:t>
            </w:r>
            <w:r>
              <w:rPr>
                <w:rFonts w:hint="eastAsia" w:ascii="Century" w:hAnsi="Century" w:eastAsia="MS Mincho"/>
                <w:sz w:val="18"/>
              </w:rPr>
              <w:t>0</w:t>
            </w:r>
            <w:r>
              <w:rPr>
                <w:rFonts w:ascii="Century" w:hAnsi="Century" w:eastAsia="MS Mincho"/>
                <w:sz w:val="18"/>
              </w:rPr>
              <w:t xml:space="preserve"> 128 0 </w:t>
            </w:r>
            <w:r>
              <w:rPr>
                <w:rFonts w:hint="eastAsia" w:ascii="Century" w:hAnsi="Century" w:eastAsia="MS Mincho"/>
                <w:sz w:val="18"/>
              </w:rPr>
              <w:t>5</w:t>
            </w:r>
            <w:r>
              <w:rPr>
                <w:rFonts w:ascii="Century" w:hAnsi="Century" w:eastAsia="MS Mincho"/>
                <w:sz w:val="18"/>
              </w:rPr>
              <w:t>0 1 0</w:t>
            </w:r>
          </w:p>
        </w:tc>
        <w:tc>
          <w:tcPr>
            <w:tcW w:w="2242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dfeOutputMode 应设置为 1 以使用此命令。此命令中的值可以在 sensorStop 和 sensorStart 之间更改。 当 dfeOutputMode 设置为 1 时，这是一个强制性命令。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chirp 起始索引 (0-511)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chirp 结束索引 (chirp start index-511)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number of loops (1 to 255)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大于等于4并且为4的倍数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帧数（有效范围是 0 到 65535，0 表示无限）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以毫秒为单位的帧周期（允许浮点值）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帧不应有超过 50% 的占空比（即活动线性调频时间应 &lt;= 帧周期的 50%）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触发选择 1：软件触发 2：硬件触发。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只支持软件触发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以毫秒为单位的帧触发延迟（允许浮点值）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定义相应的 chirp Cfg 的任何值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254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lowPower 0 1</w:t>
            </w:r>
          </w:p>
        </w:tc>
        <w:tc>
          <w:tcPr>
            <w:tcW w:w="2242" w:type="dxa"/>
            <w:vMerge w:val="restart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&lt;don’t_care&gt;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 xml:space="preserve"> 设置为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254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242" w:type="dxa"/>
            <w:vMerge w:val="continue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ADC模式 0x00：常规ADC模式 0x01：低功耗 ADC 模式（xwr6xxx 设备不支持）</w:t>
            </w: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使用“0”或“1”的值（取决于 profileCfg- &gt;digOutSampleRate)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ascii="Century" w:hAnsi="Century" w:eastAsia="MS Mincho"/>
                <w:sz w:val="18"/>
              </w:rPr>
              <w:t>sensorStart</w:t>
            </w:r>
          </w:p>
        </w:tc>
        <w:tc>
          <w:tcPr>
            <w:tcW w:w="224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N/A</w:t>
            </w:r>
          </w:p>
        </w:tc>
        <w:tc>
          <w:tcPr>
            <w:tcW w:w="2450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  <w:tc>
          <w:tcPr>
            <w:tcW w:w="1576" w:type="dxa"/>
          </w:tcPr>
          <w:p>
            <w:pPr>
              <w:rPr>
                <w:rFonts w:ascii="Century" w:hAnsi="Century" w:eastAsia="MS Mincho"/>
                <w:sz w:val="18"/>
              </w:rPr>
            </w:pPr>
          </w:p>
        </w:tc>
      </w:tr>
      <w:bookmarkEnd w:id="43"/>
    </w:tbl>
    <w:p/>
    <w:p/>
    <w:p/>
    <w:p>
      <w:pPr>
        <w:pStyle w:val="36"/>
      </w:pPr>
      <w:bookmarkStart w:id="34" w:name="_Toc29480"/>
      <w:r>
        <w:rPr>
          <w:rFonts w:hint="eastAsia"/>
        </w:rPr>
        <w:t>ADC数据采集</w:t>
      </w:r>
      <w:bookmarkEnd w:id="34"/>
    </w:p>
    <w:p/>
    <w:p>
      <w:pPr>
        <w:ind w:left="420" w:leftChars="0" w:firstLine="420" w:firstLineChars="0"/>
      </w:pPr>
      <w:r>
        <w:drawing>
          <wp:inline distT="0" distB="0" distL="114300" distR="114300">
            <wp:extent cx="2604135" cy="2673350"/>
            <wp:effectExtent l="0" t="0" r="5715" b="1270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</w:rPr>
      </w:pPr>
    </w:p>
    <w:p>
      <w:r>
        <w:rPr>
          <w:rFonts w:hint="eastAsia"/>
        </w:rPr>
        <w:t>ADCBuf是在DSS程序中进行的配置，因为它是C674x的外设。内存大小为32KB，如下图：</w:t>
      </w:r>
    </w:p>
    <w:p>
      <w:r>
        <w:drawing>
          <wp:inline distT="0" distB="0" distL="114300" distR="114300">
            <wp:extent cx="5274310" cy="170815"/>
            <wp:effectExtent l="0" t="0" r="2540" b="63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eastAsia="Arial"/>
          <w:color w:val="4D4D4D"/>
          <w:sz w:val="24"/>
          <w:szCs w:val="24"/>
          <w:shd w:val="clear" w:color="auto" w:fill="FFFFFF"/>
        </w:rPr>
        <w:t>ADCBuf驱动的配置以及启用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</w:rPr>
        <w:t>：</w:t>
      </w:r>
    </w:p>
    <w:p>
      <w:pPr>
        <w:numPr>
          <w:ilvl w:val="0"/>
          <w:numId w:val="10"/>
        </w:numPr>
        <w:ind w:firstLine="420"/>
        <w:rPr>
          <w:rFonts w:ascii="Arial" w:hAnsi="Arial" w:eastAsia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eastAsia="Arial"/>
          <w:color w:val="4D4D4D"/>
          <w:sz w:val="24"/>
          <w:szCs w:val="24"/>
          <w:shd w:val="clear" w:color="auto" w:fill="FFFFFF"/>
        </w:rPr>
        <w:t>调用ADCBuf驱动</w:t>
      </w:r>
    </w:p>
    <w:p>
      <w:pPr>
        <w:numPr>
          <w:ilvl w:val="0"/>
          <w:numId w:val="10"/>
        </w:numPr>
        <w:ind w:firstLine="420"/>
        <w:rPr>
          <w:rFonts w:ascii="Arial" w:hAnsi="Arial" w:eastAsia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eastAsia="Arial"/>
          <w:color w:val="4D4D4D"/>
          <w:sz w:val="24"/>
          <w:szCs w:val="24"/>
          <w:shd w:val="clear" w:color="auto" w:fill="FFFFFF"/>
        </w:rPr>
        <w:t>对adcBufParams进行赋值，完成参数初始化</w:t>
      </w:r>
    </w:p>
    <w:p>
      <w:pPr>
        <w:numPr>
          <w:ilvl w:val="0"/>
          <w:numId w:val="10"/>
        </w:numPr>
        <w:ind w:firstLine="420"/>
      </w:pPr>
      <w:r>
        <w:rPr>
          <w:rFonts w:hint="eastAsia" w:ascii="Arial" w:hAnsi="Arial" w:eastAsia="Arial"/>
          <w:color w:val="4D4D4D"/>
          <w:sz w:val="24"/>
          <w:szCs w:val="24"/>
          <w:shd w:val="clear" w:color="auto" w:fill="FFFFFF"/>
        </w:rPr>
        <w:t>开启天线接收并讲接受的数据储存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  <w:lang w:val="en-US" w:eastAsia="zh-CN"/>
        </w:rPr>
        <w:t>32KB ADC Buffer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napToGrid w:val="0"/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napToGrid w:val="0"/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</w:pPr>
    </w:p>
    <w:p>
      <w:pPr>
        <w:pStyle w:val="36"/>
      </w:pPr>
      <w:bookmarkStart w:id="35" w:name="_Toc4890"/>
      <w:r>
        <w:rPr>
          <w:rFonts w:hint="eastAsia"/>
        </w:rPr>
        <w:t>一维F</w:t>
      </w:r>
      <w:r>
        <w:t>FT</w:t>
      </w:r>
      <w:bookmarkEnd w:id="35"/>
    </w:p>
    <w:p>
      <w:pPr>
        <w:jc w:val="center"/>
        <w:rPr>
          <w:rFonts w:eastAsia="MS Mincho"/>
        </w:rPr>
      </w:pPr>
    </w:p>
    <w:p>
      <w:pPr>
        <w:pStyle w:val="38"/>
      </w:pPr>
      <w:r>
        <w:rPr>
          <w:rFonts w:hint="eastAsia"/>
        </w:rPr>
        <w:t>一维F</w:t>
      </w:r>
      <w:r>
        <w:t>FT处理流程</w:t>
      </w:r>
    </w:p>
    <w:p>
      <w:r>
        <w:rPr>
          <w:rFonts w:hint="eastAsia"/>
        </w:rPr>
        <w:t>RangeProcDSP 有 3 个处理阶段：</w:t>
      </w:r>
      <w:r>
        <w:t xml:space="preserve"> </w:t>
      </w:r>
    </w:p>
    <w:p>
      <w:pPr>
        <w:ind w:firstLine="420"/>
      </w:pPr>
      <w:r>
        <w:rPr>
          <w:rFonts w:hint="eastAsia"/>
        </w:rPr>
        <w:t>1.</w:t>
      </w:r>
      <w:r>
        <w:t xml:space="preserve">通过dataIn EDMA通道引入ADC数据 </w:t>
      </w:r>
    </w:p>
    <w:p>
      <w:pPr>
        <w:ind w:firstLine="420"/>
      </w:pPr>
      <w:r>
        <w:rPr>
          <w:rFonts w:hint="eastAsia"/>
        </w:rPr>
        <w:t>2.</w:t>
      </w:r>
      <w:r>
        <w:t xml:space="preserve">使用 DSPlib/mmwavelib 进行 FFT 处理 </w:t>
      </w:r>
    </w:p>
    <w:p>
      <w:pPr>
        <w:ind w:firstLine="420"/>
      </w:pPr>
      <w:r>
        <w:rPr>
          <w:rFonts w:hint="eastAsia"/>
        </w:rPr>
        <w:t>3.</w:t>
      </w:r>
      <w:r>
        <w:t>通过 dataOut EDMA 通道将 FFT 结果传输到雷达立方体</w:t>
      </w:r>
    </w:p>
    <w:p/>
    <w:p>
      <w:r>
        <w:t>使用案例</w:t>
      </w:r>
      <w:r>
        <w:rPr>
          <w:rFonts w:hint="eastAsia"/>
        </w:rPr>
        <w:t>:</w:t>
      </w:r>
    </w:p>
    <w:p>
      <w:pPr>
        <w:ind w:firstLine="420"/>
      </w:pPr>
      <w:r>
        <w:t>无论 TX 天线的数量如何，距离 FFT 都需要 2 个输入 EDMA 通道和 2 个输出 EDMA 通道才能以</w:t>
      </w:r>
      <w:r>
        <w:rPr>
          <w:rFonts w:hint="eastAsia"/>
        </w:rPr>
        <w:t>Ping Pang</w:t>
      </w:r>
      <w:r>
        <w:t xml:space="preserve">方式工作。 </w:t>
      </w:r>
    </w:p>
    <w:p>
      <w:pPr>
        <w:ind w:firstLine="420"/>
      </w:pPr>
      <w:r>
        <w:t xml:space="preserve">Ping 输入通道将数据带入本地内存“adcDataIn”的 Ping 区域，pong 通道将数据带入 pong 区域。 FFT 后，对于 2 TX 天线，本地存储器“fftout1D”中的 ping 结果被复制到雷达立方体中的 TX1 区域。 Pong 结果被复制到雷达立方体中的 TX2 区域。 </w:t>
      </w:r>
    </w:p>
    <w:p>
      <w:pPr>
        <w:ind w:firstLine="420"/>
        <w:rPr>
          <w:rFonts w:hint="eastAsia"/>
        </w:rPr>
      </w:pPr>
      <w:r>
        <w:t xml:space="preserve">对于 3 TX 天线，ping 总是处理奇数 chirp 数据，pong 总是处理偶数 chirp 数据。 距离 FFT 结果以下列格式复制到雷达立方体： </w:t>
      </w:r>
      <w:r>
        <w:rPr>
          <w:rFonts w:hint="eastAsia"/>
        </w:rPr>
        <w:drawing>
          <wp:inline distT="0" distB="0" distL="114300" distR="114300">
            <wp:extent cx="5492115" cy="2990215"/>
            <wp:effectExtent l="0" t="0" r="13335" b="635"/>
            <wp:docPr id="5" name="图片 5" descr="1D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FF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6"/>
      </w:pPr>
      <w:bookmarkStart w:id="36" w:name="_Toc7139"/>
      <w:r>
        <w:rPr>
          <w:rFonts w:hint="eastAsia"/>
        </w:rPr>
        <w:t>二维F</w:t>
      </w:r>
      <w:r>
        <w:t>FT</w:t>
      </w:r>
      <w:bookmarkEnd w:id="36"/>
    </w:p>
    <w:p>
      <w:pPr>
        <w:jc w:val="center"/>
      </w:pPr>
      <w:r>
        <w:object>
          <v:shape id="_x0000_i1025" o:spt="75" type="#_x0000_t75" style="height:225.1pt;width:145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jc w:val="center"/>
      </w:pPr>
    </w:p>
    <w:p>
      <w:pPr>
        <w:pStyle w:val="38"/>
      </w:pPr>
      <w:r>
        <w:rPr>
          <w:rFonts w:hint="eastAsia"/>
        </w:rPr>
        <w:t>二维F</w:t>
      </w:r>
      <w:r>
        <w:t>FT处理流程</w:t>
      </w:r>
    </w:p>
    <w:p>
      <w:pPr>
        <w:rPr>
          <w:rFonts w:eastAsiaTheme="minorEastAsia"/>
        </w:rPr>
      </w:pPr>
      <w:r>
        <w:rPr>
          <w:rFonts w:hint="eastAsia"/>
        </w:rPr>
        <w:t>如上图，二维F</w:t>
      </w:r>
      <w:r>
        <w:t>FT</w:t>
      </w:r>
      <w:r>
        <w:rPr>
          <w:rFonts w:hint="eastAsia"/>
        </w:rPr>
        <w:t>模块</w:t>
      </w:r>
      <w:r>
        <w:t>的输入为一维</w:t>
      </w:r>
      <w:r>
        <w:rPr>
          <w:rFonts w:hint="eastAsia"/>
        </w:rPr>
        <w:t>F</w:t>
      </w:r>
      <w:r>
        <w:t>FT的</w:t>
      </w:r>
      <w:r>
        <w:rPr>
          <w:rFonts w:hint="eastAsia"/>
        </w:rPr>
        <w:t>结果，输出为二维F</w:t>
      </w:r>
      <w:r>
        <w:t>FT的结果</w:t>
      </w:r>
      <w:r>
        <w:rPr>
          <w:rFonts w:hint="eastAsia"/>
        </w:rPr>
        <w:t>。</w:t>
      </w:r>
      <w:r>
        <w:t>二维</w:t>
      </w:r>
      <w:r>
        <w:rPr>
          <w:rFonts w:hint="eastAsia"/>
        </w:rPr>
        <w:t>F</w:t>
      </w:r>
      <w:r>
        <w:t>FT主要做速度维的傅里叶变换</w:t>
      </w:r>
      <w:r>
        <w:rPr>
          <w:rFonts w:hint="eastAsia"/>
        </w:rPr>
        <w:t>。首先读取一维F</w:t>
      </w:r>
      <w:r>
        <w:t>FT的结果</w:t>
      </w:r>
      <w:r>
        <w:rPr>
          <w:rFonts w:hint="eastAsia"/>
        </w:rPr>
        <w:t>，</w:t>
      </w:r>
      <w:r>
        <w:t>将数据转置为速度维数据存储在一起的格式</w:t>
      </w:r>
      <w:r>
        <w:rPr>
          <w:rFonts w:hint="eastAsia"/>
        </w:rPr>
        <w:t>，</w:t>
      </w:r>
      <w:r>
        <w:t>之后进行相应点数的</w:t>
      </w:r>
      <w:r>
        <w:rPr>
          <w:rFonts w:hint="eastAsia"/>
        </w:rPr>
        <w:t>F</w:t>
      </w:r>
      <w:r>
        <w:t>FT操作</w:t>
      </w:r>
      <w:r>
        <w:rPr>
          <w:rFonts w:hint="eastAsia"/>
        </w:rPr>
        <w:t>，</w:t>
      </w:r>
      <w:r>
        <w:t>最终得到二维</w:t>
      </w:r>
      <w:r>
        <w:rPr>
          <w:rFonts w:hint="eastAsia"/>
        </w:rPr>
        <w:t>F</w:t>
      </w:r>
      <w:r>
        <w:t>FT的结果并输出到</w:t>
      </w:r>
      <w:r>
        <w:rPr>
          <w:rFonts w:hint="eastAsia"/>
        </w:rPr>
        <w:t>L3</w:t>
      </w:r>
      <w:r>
        <w:t>中存储</w:t>
      </w:r>
      <w:r>
        <w:rPr>
          <w:rFonts w:hint="eastAsia"/>
        </w:rPr>
        <w:t>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6"/>
        <w:rPr>
          <w:rFonts w:hint="eastAsia"/>
        </w:rPr>
      </w:pPr>
      <w:bookmarkStart w:id="37" w:name="_Toc16987"/>
      <w:r>
        <w:rPr>
          <w:rFonts w:hint="eastAsia"/>
        </w:rPr>
        <w:t>二维幅值矩阵</w:t>
      </w:r>
      <w:bookmarkEnd w:id="37"/>
    </w:p>
    <w:p>
      <w:pPr>
        <w:jc w:val="center"/>
      </w:pPr>
      <w:r>
        <w:object>
          <v:shape id="_x0000_i1026" o:spt="75" type="#_x0000_t75" style="height:236.5pt;width:193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jc w:val="center"/>
      </w:pPr>
    </w:p>
    <w:p>
      <w:pPr>
        <w:pStyle w:val="38"/>
      </w:pPr>
      <w:r>
        <w:t>二维幅值矩阵计算流程</w:t>
      </w:r>
    </w:p>
    <w:p>
      <w:r>
        <w:t>如上图</w:t>
      </w:r>
      <w:r>
        <w:rPr>
          <w:rFonts w:hint="eastAsia"/>
        </w:rPr>
        <w:t>，二维幅值矩阵的输入值为单个接收通道的二维F</w:t>
      </w:r>
      <w:r>
        <w:t>FT的结果</w:t>
      </w:r>
      <w:r>
        <w:rPr>
          <w:rFonts w:hint="eastAsia"/>
        </w:rPr>
        <w:t>，输出为单通道的二维幅值矩阵。</w:t>
      </w:r>
      <w:r>
        <w:t>其中只计算单个通道的二维幅值</w:t>
      </w:r>
      <w:r>
        <w:rPr>
          <w:rFonts w:hint="eastAsia"/>
        </w:rPr>
        <w:t>，</w:t>
      </w:r>
      <w:r>
        <w:t>最终得出单通道的二维幅值矩阵用以速度解模糊使用</w:t>
      </w:r>
      <w:r>
        <w:rPr>
          <w:rFonts w:hint="eastAsia"/>
        </w:rPr>
        <w:t>。</w:t>
      </w:r>
    </w:p>
    <w:p>
      <w:pPr>
        <w:pStyle w:val="25"/>
      </w:pPr>
      <w:bookmarkStart w:id="38" w:name="_Toc23659"/>
      <w:r>
        <w:rPr>
          <w:rFonts w:hint="eastAsia"/>
        </w:rPr>
        <w:t>功能函数详述</w:t>
      </w:r>
      <w:bookmarkEnd w:id="38"/>
    </w:p>
    <w:p>
      <w:pPr>
        <w:pStyle w:val="23"/>
      </w:pPr>
      <w:bookmarkStart w:id="39" w:name="_Toc13832"/>
      <w:r>
        <w:rPr>
          <w:rFonts w:hint="eastAsia"/>
        </w:rPr>
        <w:t>配置ADCBUF驱动程序的函数</w:t>
      </w:r>
      <w:bookmarkEnd w:id="39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MmwDemo_dssDataPathConfigAdcBuf()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Arial" w:hAnsi="Arial" w:eastAsia="Arial"/>
                <w:color w:val="4D4D4D"/>
                <w:sz w:val="24"/>
                <w:szCs w:val="24"/>
                <w:shd w:val="clear" w:color="auto" w:fill="FFFFFF"/>
              </w:rPr>
              <w:t>ADCBuf的数据格式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当前ADCBuf的格式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使能Rx channels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开启Rx天线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0x2100_0000</w:t>
            </w:r>
            <w:r>
              <w:rPr>
                <w:rFonts w:hint="eastAsia" w:ascii="Century" w:hAnsi="Century" w:eastAsia="MS Mincho"/>
                <w:sz w:val="20"/>
              </w:rPr>
              <w:t xml:space="preserve"> – </w:t>
            </w:r>
            <w:r>
              <w:rPr>
                <w:rFonts w:ascii="Century" w:hAnsi="Century" w:eastAsia="MS Mincho"/>
                <w:sz w:val="20"/>
              </w:rPr>
              <w:t>0x2100_7FFC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设置ping/pang阈值</w:t>
            </w:r>
          </w:p>
        </w:tc>
        <w:tc>
          <w:tcPr>
            <w:tcW w:w="2603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缓存大小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hint="eastAsia" w:ascii="Century" w:hAnsi="Century" w:eastAsia="MS Mincho" w:cs="Arial"/>
                <w:color w:val="000000"/>
                <w:sz w:val="20"/>
                <w:szCs w:val="18"/>
                <w:lang w:val="en-US" w:eastAsia="zh-CN" w:bidi="ar-SA"/>
              </w:rPr>
            </w:pPr>
            <w:r>
              <w:rPr>
                <w:rFonts w:hint="eastAsia" w:ascii="Century" w:hAnsi="Century" w:eastAsia="MS Mincho"/>
                <w:sz w:val="20"/>
              </w:rPr>
              <w:t>解释</w:t>
            </w:r>
          </w:p>
        </w:tc>
        <w:tc>
          <w:tcPr>
            <w:tcW w:w="1641" w:type="dxa"/>
            <w:vAlign w:val="center"/>
          </w:tcPr>
          <w:p>
            <w:pPr>
              <w:pStyle w:val="6"/>
              <w:jc w:val="center"/>
              <w:rPr>
                <w:rFonts w:hint="eastAsia" w:ascii="Century" w:hAnsi="Century" w:eastAsia="MS Mincho" w:cs="Arial"/>
                <w:color w:val="000000"/>
                <w:sz w:val="20"/>
                <w:szCs w:val="18"/>
                <w:lang w:val="en-US" w:eastAsia="zh-CN" w:bidi="ar-SA"/>
              </w:rPr>
            </w:pPr>
          </w:p>
        </w:tc>
        <w:tc>
          <w:tcPr>
            <w:tcW w:w="5295" w:type="dxa"/>
            <w:gridSpan w:val="3"/>
            <w:vAlign w:val="center"/>
          </w:tcPr>
          <w:p>
            <w:pPr>
              <w:pStyle w:val="6"/>
              <w:jc w:val="center"/>
              <w:rPr>
                <w:rFonts w:hint="default" w:ascii="Century" w:hAnsi="Century" w:eastAsia="宋体"/>
                <w:sz w:val="20"/>
                <w:lang w:val="en-US" w:eastAsia="zh-CN"/>
              </w:rPr>
            </w:pPr>
            <w:r>
              <w:rPr>
                <w:rFonts w:hint="eastAsia" w:ascii="Century" w:hAnsi="Century"/>
                <w:sz w:val="20"/>
                <w:lang w:val="en-US" w:eastAsia="zh-CN"/>
              </w:rPr>
              <w:t>ADC数据采集函数</w:t>
            </w:r>
          </w:p>
        </w:tc>
      </w:tr>
    </w:tbl>
    <w:p>
      <w:pPr>
        <w:pStyle w:val="6"/>
      </w:pPr>
    </w:p>
    <w:p>
      <w:pPr>
        <w:pStyle w:val="23"/>
      </w:pPr>
      <w:bookmarkStart w:id="40" w:name="_Toc313"/>
      <w:r>
        <w:rPr>
          <w:rFonts w:hint="eastAsia"/>
        </w:rPr>
        <w:t>一维F</w:t>
      </w:r>
      <w:r>
        <w:t>FT功能函数</w:t>
      </w:r>
      <w:bookmarkEnd w:id="40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MmwDemo_processChirp()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原始数据</w:t>
            </w:r>
            <w:r>
              <w:rPr>
                <w:rFonts w:hint="eastAsia"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</w:t>
            </w:r>
            <w:r>
              <w:rPr>
                <w:rFonts w:ascii="Century" w:hAnsi="Century" w:eastAsia="MS Mincho"/>
                <w:sz w:val="20"/>
              </w:rPr>
              <w:t>MIC采样通过总线传输到</w:t>
            </w:r>
            <w:r>
              <w:rPr>
                <w:rFonts w:hint="eastAsia" w:ascii="Century" w:hAnsi="Century" w:eastAsia="MS Mincho"/>
                <w:sz w:val="20"/>
              </w:rPr>
              <w:t>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（ADC data Buffer）</w:t>
            </w:r>
            <w:r>
              <w:rPr>
                <w:rFonts w:ascii="Century" w:hAnsi="Century" w:eastAsia="MS Mincho"/>
                <w:sz w:val="20"/>
              </w:rPr>
              <w:t>的地址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0x2100_0000</w:t>
            </w:r>
            <w:r>
              <w:rPr>
                <w:rFonts w:hint="eastAsia" w:ascii="Century" w:hAnsi="Century" w:eastAsia="MS Mincho"/>
                <w:sz w:val="20"/>
              </w:rPr>
              <w:t xml:space="preserve"> – </w:t>
            </w:r>
            <w:r>
              <w:rPr>
                <w:rFonts w:ascii="Century" w:hAnsi="Century" w:eastAsia="MS Mincho"/>
                <w:sz w:val="20"/>
              </w:rPr>
              <w:t>0x2100_7FFC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发射通道1的chirps</w:t>
            </w:r>
            <w:r>
              <w:rPr>
                <w:rFonts w:ascii="Century" w:hAnsi="Century" w:eastAsia="MS Mincho"/>
                <w:sz w:val="20"/>
              </w:rPr>
              <w:t>数据</w:t>
            </w:r>
            <w:r>
              <w:rPr>
                <w:rFonts w:hint="eastAsia" w:ascii="Century" w:hAnsi="Century" w:eastAsia="MS Mincho"/>
                <w:sz w:val="20"/>
              </w:rPr>
              <w:t>处理</w:t>
            </w:r>
            <w:r>
              <w:rPr>
                <w:rFonts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发射通道1的原始数据通过ping pang缓存EDMA数据传输</w:t>
            </w:r>
            <w:r>
              <w:rPr>
                <w:rFonts w:ascii="Century" w:hAnsi="Century" w:eastAsia="MS Mincho"/>
                <w:sz w:val="20"/>
              </w:rPr>
              <w:t>在</w:t>
            </w:r>
            <w:r>
              <w:rPr>
                <w:rFonts w:hint="eastAsia" w:ascii="Century" w:hAnsi="Century" w:eastAsia="MS Mincho"/>
                <w:sz w:val="20"/>
              </w:rPr>
              <w:t>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(L2)</w:t>
            </w:r>
            <w:r>
              <w:rPr>
                <w:rFonts w:ascii="Century" w:hAnsi="Century" w:eastAsia="MS Mincho"/>
                <w:sz w:val="20"/>
              </w:rPr>
              <w:t>中</w:t>
            </w:r>
            <w:r>
              <w:rPr>
                <w:rFonts w:hint="eastAsia" w:ascii="Century" w:hAnsi="Century" w:eastAsia="MS Mincho"/>
                <w:sz w:val="20"/>
              </w:rPr>
              <w:t>经过一维F</w:t>
            </w:r>
            <w:r>
              <w:rPr>
                <w:rFonts w:ascii="Century" w:hAnsi="Century" w:eastAsia="MS Mincho"/>
                <w:sz w:val="20"/>
              </w:rPr>
              <w:t>FT计算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0x007E_0000</w:t>
            </w:r>
            <w:r>
              <w:rPr>
                <w:rFonts w:hint="eastAsia" w:ascii="Century" w:hAnsi="Century" w:eastAsia="MS Mincho"/>
                <w:sz w:val="20"/>
              </w:rPr>
              <w:t xml:space="preserve"> – </w:t>
            </w:r>
            <w:r>
              <w:rPr>
                <w:rFonts w:ascii="Century" w:hAnsi="Century" w:eastAsia="MS Mincho"/>
                <w:sz w:val="20"/>
              </w:rPr>
              <w:t>0x0081_FFFF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地址（L3）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FT功能函数</w:t>
            </w:r>
          </w:p>
        </w:tc>
      </w:tr>
    </w:tbl>
    <w:p/>
    <w:p/>
    <w:p>
      <w:pPr>
        <w:pStyle w:val="23"/>
      </w:pPr>
      <w:bookmarkStart w:id="41" w:name="_Toc26940"/>
      <w:r>
        <w:rPr>
          <w:rFonts w:hint="eastAsia"/>
        </w:rPr>
        <w:t>二维F</w:t>
      </w:r>
      <w:r>
        <w:t>FT功能函数</w:t>
      </w:r>
      <w:bookmarkEnd w:id="41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MmwDemo_interFrameProcessing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FT数据</w:t>
            </w:r>
            <w:r>
              <w:rPr>
                <w:rFonts w:hint="eastAsia"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FT数据结果</w:t>
            </w:r>
            <w:r>
              <w:rPr>
                <w:rFonts w:hint="eastAsia" w:ascii="Century" w:hAnsi="Century" w:eastAsia="MS Mincho"/>
                <w:sz w:val="20"/>
              </w:rPr>
              <w:t>在S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(L3)</w:t>
            </w:r>
            <w:r>
              <w:rPr>
                <w:rFonts w:ascii="Century" w:hAnsi="Century" w:eastAsia="MS Mincho"/>
                <w:sz w:val="20"/>
              </w:rPr>
              <w:t>中的存放地址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FT数据地址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经过二维F</w:t>
            </w:r>
            <w:r>
              <w:rPr>
                <w:rFonts w:ascii="Century" w:hAnsi="Century" w:eastAsia="MS Mincho"/>
                <w:sz w:val="20"/>
              </w:rPr>
              <w:t>FT计算得到的结果在</w:t>
            </w:r>
            <w:r>
              <w:rPr>
                <w:rFonts w:hint="eastAsia" w:ascii="Century" w:hAnsi="Century" w:eastAsia="MS Mincho"/>
                <w:sz w:val="20"/>
              </w:rPr>
              <w:t>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(L3)</w:t>
            </w:r>
            <w:r>
              <w:rPr>
                <w:rFonts w:ascii="Century" w:hAnsi="Century" w:eastAsia="MS Mincho"/>
                <w:sz w:val="20"/>
              </w:rPr>
              <w:t>中的地址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对一维F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进行处理之后的二维F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 xml:space="preserve">0 </w:t>
            </w:r>
            <w:r>
              <w:rPr>
                <w:rFonts w:hint="eastAsia" w:ascii="Century" w:hAnsi="Century" w:eastAsia="MS Mincho"/>
                <w:sz w:val="20"/>
              </w:rPr>
              <w:t>--</w:t>
            </w:r>
            <w:r>
              <w:rPr>
                <w:rFonts w:ascii="Century" w:hAnsi="Century" w:eastAsia="MS Mincho"/>
                <w:sz w:val="20"/>
              </w:rPr>
              <w:t xml:space="preserve"> 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FT功能函数</w:t>
            </w:r>
          </w:p>
        </w:tc>
      </w:tr>
    </w:tbl>
    <w:p/>
    <w:p/>
    <w:p>
      <w:pPr>
        <w:pStyle w:val="23"/>
      </w:pPr>
      <w:bookmarkStart w:id="42" w:name="_Toc8033"/>
      <w:r>
        <w:rPr>
          <w:rFonts w:hint="eastAsia"/>
        </w:rPr>
        <w:t>二维幅值矩阵功能函数</w:t>
      </w:r>
      <w:bookmarkEnd w:id="42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AoaDspDopplerMagnitudeCalculate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</w:t>
            </w:r>
            <w:r>
              <w:rPr>
                <w:rFonts w:hint="eastAsia" w:ascii="Century" w:hAnsi="Century" w:eastAsia="MS Mincho"/>
                <w:sz w:val="20"/>
              </w:rPr>
              <w:t>结果的S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/>
                <w:sz w:val="20"/>
                <w:lang w:eastAsia="zh-CN"/>
              </w:rPr>
              <w:t>（</w:t>
            </w:r>
            <w:r>
              <w:rPr>
                <w:rFonts w:hint="eastAsia" w:ascii="Century" w:hAnsi="Century"/>
                <w:sz w:val="20"/>
                <w:lang w:val="en-US" w:eastAsia="zh-CN"/>
              </w:rPr>
              <w:t>L3</w:t>
            </w:r>
            <w:r>
              <w:rPr>
                <w:rFonts w:hint="eastAsia" w:ascii="Century" w:hAnsi="Century"/>
                <w:sz w:val="20"/>
                <w:lang w:eastAsia="zh-CN"/>
              </w:rPr>
              <w:t>）</w:t>
            </w:r>
            <w:r>
              <w:rPr>
                <w:rFonts w:ascii="Century" w:hAnsi="Century" w:eastAsia="MS Mincho"/>
                <w:sz w:val="20"/>
              </w:rPr>
              <w:t>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幅值矩阵地址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对多通道的二维</w:t>
            </w:r>
            <w:r>
              <w:rPr>
                <w:rFonts w:hint="eastAsia" w:ascii="Century" w:hAnsi="Century" w:eastAsia="MS Mincho"/>
                <w:sz w:val="20"/>
              </w:rPr>
              <w:t>F</w:t>
            </w:r>
            <w:r>
              <w:rPr>
                <w:rFonts w:ascii="Century" w:hAnsi="Century" w:eastAsia="MS Mincho"/>
                <w:sz w:val="20"/>
              </w:rPr>
              <w:t>FT进行非相参累积之后得到的幅值矩阵</w:t>
            </w:r>
            <w:r>
              <w:rPr>
                <w:rFonts w:hint="eastAsia" w:ascii="Century" w:hAnsi="Century" w:eastAsia="MS Mincho"/>
                <w:sz w:val="20"/>
              </w:rPr>
              <w:t>在S</w:t>
            </w:r>
            <w:r>
              <w:rPr>
                <w:rFonts w:ascii="Century" w:hAnsi="Century" w:eastAsia="MS Mincho"/>
                <w:sz w:val="20"/>
              </w:rPr>
              <w:t>RAM中的存储地址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teMrModeFrame,</w:t>
            </w:r>
          </w:p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teSrModeFrame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teReferenceChirp,</w:t>
            </w:r>
          </w:p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teBaseChirp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二维幅值矩阵结果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对二维F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进行处理之后的二维幅值矩阵</w:t>
            </w:r>
            <w:r>
              <w:rPr>
                <w:rFonts w:ascii="Century" w:hAnsi="Century" w:eastAsia="MS Mincho"/>
                <w:sz w:val="20"/>
              </w:rPr>
              <w:t>结果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 xml:space="preserve">0 </w:t>
            </w:r>
            <w:r>
              <w:rPr>
                <w:rFonts w:hint="eastAsia" w:ascii="Century" w:hAnsi="Century" w:eastAsia="MS Mincho"/>
                <w:sz w:val="20"/>
              </w:rPr>
              <w:t>--</w:t>
            </w:r>
            <w:r>
              <w:rPr>
                <w:rFonts w:ascii="Century" w:hAnsi="Century" w:eastAsia="MS Mincho"/>
                <w:sz w:val="20"/>
              </w:rPr>
              <w:t xml:space="preserve"> 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hint="eastAsia" w:ascii="Century" w:hAnsi="Century" w:eastAsia="宋体"/>
                <w:sz w:val="20"/>
                <w:lang w:val="en-US" w:eastAsia="zh-CN"/>
              </w:rPr>
            </w:pPr>
            <w:r>
              <w:rPr>
                <w:rFonts w:hint="eastAsia" w:ascii="Century" w:hAnsi="Century"/>
                <w:sz w:val="20"/>
                <w:lang w:val="en-US" w:eastAsia="zh-CN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hint="default" w:ascii="Century" w:hAnsi="Century" w:eastAsia="宋体"/>
                <w:sz w:val="20"/>
                <w:lang w:val="en-US" w:eastAsia="zh-CN"/>
              </w:rPr>
            </w:pPr>
            <w:r>
              <w:rPr>
                <w:rFonts w:hint="eastAsia" w:ascii="Century" w:hAnsi="Century"/>
                <w:sz w:val="20"/>
                <w:lang w:val="en-US" w:eastAsia="zh-CN"/>
              </w:rPr>
              <w:t>幅值计算函数</w:t>
            </w:r>
          </w:p>
        </w:tc>
      </w:tr>
    </w:tbl>
    <w:p>
      <w:pPr>
        <w:pStyle w:val="6"/>
      </w:pPr>
    </w:p>
    <w:p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none" w:color="auto" w:sz="0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8"/>
      <w:gridCol w:w="4860"/>
      <w:gridCol w:w="1477"/>
      <w:gridCol w:w="1015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40" w:hRule="atLeast"/>
      </w:trPr>
      <w:tc>
        <w:tcPr>
          <w:tcW w:w="136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jc w:val="center"/>
          </w:pPr>
        </w:p>
      </w:tc>
      <w:tc>
        <w:tcPr>
          <w:tcW w:w="4860" w:type="dxa"/>
          <w:vMerge w:val="restart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  <w:color w:val="0000FF"/>
              <w:sz w:val="24"/>
            </w:rPr>
          </w:pPr>
          <w:r>
            <w:rPr>
              <w:rFonts w:hint="eastAsia" w:ascii="MS UI Gothic" w:hAnsi="MS UI Gothic"/>
              <w:b/>
              <w:color w:val="auto"/>
              <w:szCs w:val="28"/>
            </w:rPr>
            <w:t>组件详细设计</w:t>
          </w: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b/>
              <w:sz w:val="24"/>
              <w:szCs w:val="24"/>
            </w:rPr>
          </w:pPr>
          <w:r>
            <w:rPr>
              <w:rFonts w:hint="eastAsia" w:ascii="MS UI Gothic" w:hAnsi="MS UI Gothic"/>
              <w:sz w:val="20"/>
              <w:szCs w:val="20"/>
            </w:rPr>
            <w:t>项目编号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35" w:hRule="atLeast"/>
      </w:trPr>
      <w:tc>
        <w:tcPr>
          <w:tcW w:w="1368" w:type="dxa"/>
          <w:vMerge w:val="continue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jc w:val="center"/>
          </w:pPr>
        </w:p>
      </w:tc>
      <w:tc>
        <w:tcPr>
          <w:tcW w:w="4860" w:type="dxa"/>
          <w:vMerge w:val="continue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10"/>
            <w:rPr>
              <w:b/>
              <w:sz w:val="32"/>
              <w:szCs w:val="32"/>
            </w:rPr>
          </w:pP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0"/>
              <w:szCs w:val="20"/>
            </w:rPr>
          </w:pPr>
          <w:r>
            <w:rPr>
              <w:rFonts w:hint="eastAsia" w:ascii="MS UI Gothic" w:hAnsi="MS UI Gothic"/>
              <w:sz w:val="20"/>
              <w:szCs w:val="20"/>
            </w:rPr>
            <w:t>文件编号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36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jc w:val="center"/>
          </w:pPr>
        </w:p>
      </w:tc>
      <w:tc>
        <w:tcPr>
          <w:tcW w:w="4860" w:type="dxa"/>
          <w:vMerge w:val="continue"/>
          <w:tcBorders>
            <w:top w:val="nil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both"/>
            <w:rPr>
              <w:szCs w:val="21"/>
            </w:rPr>
          </w:pPr>
        </w:p>
      </w:tc>
      <w:tc>
        <w:tcPr>
          <w:tcW w:w="1477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版本</w:t>
          </w:r>
        </w:p>
      </w:tc>
      <w:tc>
        <w:tcPr>
          <w:tcW w:w="1015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页</w:t>
          </w:r>
          <w:r>
            <w:rPr>
              <w:rFonts w:hint="eastAsia" w:ascii="MS UI Gothic" w:hAnsi="MS UI Gothic" w:eastAsia="MS UI Gothic"/>
              <w:sz w:val="24"/>
              <w:szCs w:val="24"/>
            </w:rPr>
            <w:t xml:space="preserve"> 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begin"/>
          </w:r>
          <w:r>
            <w:rPr>
              <w:rFonts w:ascii="MS UI Gothic" w:hAnsi="MS UI Gothic" w:eastAsia="MS UI Gothic"/>
              <w:sz w:val="24"/>
              <w:szCs w:val="24"/>
            </w:rPr>
            <w:instrText xml:space="preserve"> PAGE </w:instrTex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separate"/>
          </w:r>
          <w:r>
            <w:rPr>
              <w:rFonts w:ascii="MS UI Gothic" w:hAnsi="MS UI Gothic" w:eastAsia="MS UI Gothic"/>
              <w:sz w:val="24"/>
              <w:szCs w:val="24"/>
            </w:rPr>
            <w:t>21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end"/>
          </w:r>
        </w:p>
      </w:tc>
    </w:tr>
  </w:tbl>
  <w:p>
    <w:pPr>
      <w:spacing w:line="20" w:lineRule="exact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ACD1"/>
    <w:multiLevelType w:val="singleLevel"/>
    <w:tmpl w:val="BFFEA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701CEA"/>
    <w:multiLevelType w:val="singleLevel"/>
    <w:tmpl w:val="DB701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12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8"/>
      <w:lvlText w:val=""/>
      <w:lvlJc w:val="left"/>
      <w:pPr>
        <w:tabs>
          <w:tab w:val="left" w:pos="2061"/>
        </w:tabs>
        <w:ind w:left="2061" w:hanging="360"/>
      </w:pPr>
      <w:rPr>
        <w:rFonts w:hint="default" w:ascii="Wingdings" w:hAnsi="Wingdings"/>
      </w:rPr>
    </w:lvl>
  </w:abstractNum>
  <w:abstractNum w:abstractNumId="4">
    <w:nsid w:val="033B2F37"/>
    <w:multiLevelType w:val="multilevel"/>
    <w:tmpl w:val="033B2F37"/>
    <w:lvl w:ilvl="0" w:tentative="0">
      <w:start w:val="1"/>
      <w:numFmt w:val="decimal"/>
      <w:pStyle w:val="25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8"/>
      </w:rPr>
    </w:lvl>
    <w:lvl w:ilvl="1" w:tentative="0">
      <w:start w:val="1"/>
      <w:numFmt w:val="decimal"/>
      <w:pStyle w:val="2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36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5">
    <w:nsid w:val="0DB92E80"/>
    <w:multiLevelType w:val="multilevel"/>
    <w:tmpl w:val="0DB92E80"/>
    <w:lvl w:ilvl="0" w:tentative="0">
      <w:start w:val="1"/>
      <w:numFmt w:val="decimal"/>
      <w:pStyle w:val="38"/>
      <w:suff w:val="space"/>
      <w:lvlText w:val="图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162E07C2"/>
    <w:multiLevelType w:val="multilevel"/>
    <w:tmpl w:val="162E07C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  <w:color w:val="00000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abstractNum w:abstractNumId="7">
    <w:nsid w:val="34FA288E"/>
    <w:multiLevelType w:val="multilevel"/>
    <w:tmpl w:val="34FA288E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808080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3AC569BD"/>
    <w:multiLevelType w:val="multilevel"/>
    <w:tmpl w:val="3AC569BD"/>
    <w:lvl w:ilvl="0" w:tentative="0">
      <w:start w:val="1"/>
      <w:numFmt w:val="decimal"/>
      <w:pStyle w:val="20"/>
      <w:lvlText w:val="表 %1 "/>
      <w:lvlJc w:val="left"/>
      <w:pPr>
        <w:ind w:left="420" w:hanging="42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7D53F9"/>
    <w:multiLevelType w:val="multilevel"/>
    <w:tmpl w:val="7A7D53F9"/>
    <w:lvl w:ilvl="0" w:tentative="0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  <w:color w:val="00000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551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60"/>
    <w:rsid w:val="000224B6"/>
    <w:rsid w:val="00023F0B"/>
    <w:rsid w:val="000264A9"/>
    <w:rsid w:val="000508BD"/>
    <w:rsid w:val="000550ED"/>
    <w:rsid w:val="00063D84"/>
    <w:rsid w:val="000770BC"/>
    <w:rsid w:val="00080469"/>
    <w:rsid w:val="0008138E"/>
    <w:rsid w:val="0008329D"/>
    <w:rsid w:val="000948EF"/>
    <w:rsid w:val="000A00A2"/>
    <w:rsid w:val="000D03DF"/>
    <w:rsid w:val="000D05D1"/>
    <w:rsid w:val="000E15E5"/>
    <w:rsid w:val="000F2AB6"/>
    <w:rsid w:val="0011395C"/>
    <w:rsid w:val="00117028"/>
    <w:rsid w:val="00123373"/>
    <w:rsid w:val="00123B82"/>
    <w:rsid w:val="00151D02"/>
    <w:rsid w:val="0015764E"/>
    <w:rsid w:val="00166463"/>
    <w:rsid w:val="00172A27"/>
    <w:rsid w:val="001734E1"/>
    <w:rsid w:val="00175ECD"/>
    <w:rsid w:val="001767DC"/>
    <w:rsid w:val="00180342"/>
    <w:rsid w:val="00190A6D"/>
    <w:rsid w:val="00194600"/>
    <w:rsid w:val="0019659D"/>
    <w:rsid w:val="001A0698"/>
    <w:rsid w:val="001C1420"/>
    <w:rsid w:val="001D35BD"/>
    <w:rsid w:val="001D44CC"/>
    <w:rsid w:val="001D68B4"/>
    <w:rsid w:val="001E47B2"/>
    <w:rsid w:val="00217E2C"/>
    <w:rsid w:val="00236332"/>
    <w:rsid w:val="00237118"/>
    <w:rsid w:val="002503AC"/>
    <w:rsid w:val="00254364"/>
    <w:rsid w:val="002572E9"/>
    <w:rsid w:val="0025734E"/>
    <w:rsid w:val="00266542"/>
    <w:rsid w:val="00271BF0"/>
    <w:rsid w:val="00272CD4"/>
    <w:rsid w:val="002C5104"/>
    <w:rsid w:val="002C6C6A"/>
    <w:rsid w:val="002C780B"/>
    <w:rsid w:val="002D4481"/>
    <w:rsid w:val="002D5FFA"/>
    <w:rsid w:val="002E71FD"/>
    <w:rsid w:val="003022CC"/>
    <w:rsid w:val="00303F65"/>
    <w:rsid w:val="00304237"/>
    <w:rsid w:val="003068DE"/>
    <w:rsid w:val="00314B25"/>
    <w:rsid w:val="003169A2"/>
    <w:rsid w:val="0033695B"/>
    <w:rsid w:val="00337C3D"/>
    <w:rsid w:val="003475AE"/>
    <w:rsid w:val="00360107"/>
    <w:rsid w:val="00361BDE"/>
    <w:rsid w:val="00375B43"/>
    <w:rsid w:val="003851C5"/>
    <w:rsid w:val="00390860"/>
    <w:rsid w:val="00393367"/>
    <w:rsid w:val="00395BD7"/>
    <w:rsid w:val="003B42E2"/>
    <w:rsid w:val="003C64CE"/>
    <w:rsid w:val="003D078B"/>
    <w:rsid w:val="003E41B0"/>
    <w:rsid w:val="003E724B"/>
    <w:rsid w:val="003F3008"/>
    <w:rsid w:val="003F529A"/>
    <w:rsid w:val="00406641"/>
    <w:rsid w:val="004271A7"/>
    <w:rsid w:val="004304F5"/>
    <w:rsid w:val="00430522"/>
    <w:rsid w:val="00443F0B"/>
    <w:rsid w:val="00451468"/>
    <w:rsid w:val="00463EFB"/>
    <w:rsid w:val="0046472A"/>
    <w:rsid w:val="00480B5A"/>
    <w:rsid w:val="00495337"/>
    <w:rsid w:val="004A16A8"/>
    <w:rsid w:val="004A3042"/>
    <w:rsid w:val="004B7DF8"/>
    <w:rsid w:val="004C0661"/>
    <w:rsid w:val="004C0907"/>
    <w:rsid w:val="004C2A66"/>
    <w:rsid w:val="004D3234"/>
    <w:rsid w:val="004D71A5"/>
    <w:rsid w:val="004F1968"/>
    <w:rsid w:val="004F4D35"/>
    <w:rsid w:val="00501C26"/>
    <w:rsid w:val="00507FD1"/>
    <w:rsid w:val="005308EB"/>
    <w:rsid w:val="00540475"/>
    <w:rsid w:val="00543605"/>
    <w:rsid w:val="00547E17"/>
    <w:rsid w:val="00553DD9"/>
    <w:rsid w:val="005629D6"/>
    <w:rsid w:val="005633C8"/>
    <w:rsid w:val="005A1399"/>
    <w:rsid w:val="005A3EE0"/>
    <w:rsid w:val="005B4248"/>
    <w:rsid w:val="005C320E"/>
    <w:rsid w:val="005C3D55"/>
    <w:rsid w:val="005C4A45"/>
    <w:rsid w:val="005D257B"/>
    <w:rsid w:val="005D3E93"/>
    <w:rsid w:val="005D4319"/>
    <w:rsid w:val="005D72B6"/>
    <w:rsid w:val="005E08F3"/>
    <w:rsid w:val="00602EFC"/>
    <w:rsid w:val="0060721D"/>
    <w:rsid w:val="00607354"/>
    <w:rsid w:val="0060740D"/>
    <w:rsid w:val="00631D3B"/>
    <w:rsid w:val="00633283"/>
    <w:rsid w:val="00655829"/>
    <w:rsid w:val="006563FF"/>
    <w:rsid w:val="00666DA8"/>
    <w:rsid w:val="00670FB8"/>
    <w:rsid w:val="0068137C"/>
    <w:rsid w:val="0068164F"/>
    <w:rsid w:val="00687B4B"/>
    <w:rsid w:val="00687C66"/>
    <w:rsid w:val="00693A0A"/>
    <w:rsid w:val="00694C73"/>
    <w:rsid w:val="006A2231"/>
    <w:rsid w:val="006B2ACD"/>
    <w:rsid w:val="006B3E2F"/>
    <w:rsid w:val="006B7F81"/>
    <w:rsid w:val="006D7146"/>
    <w:rsid w:val="00701E64"/>
    <w:rsid w:val="00725F83"/>
    <w:rsid w:val="0074009B"/>
    <w:rsid w:val="00746AEE"/>
    <w:rsid w:val="007529C1"/>
    <w:rsid w:val="0076657F"/>
    <w:rsid w:val="00771391"/>
    <w:rsid w:val="007733FB"/>
    <w:rsid w:val="007765B6"/>
    <w:rsid w:val="00786D15"/>
    <w:rsid w:val="007B0472"/>
    <w:rsid w:val="007C02A5"/>
    <w:rsid w:val="007C14D2"/>
    <w:rsid w:val="007D0471"/>
    <w:rsid w:val="007E017E"/>
    <w:rsid w:val="007E46C1"/>
    <w:rsid w:val="007E6FBB"/>
    <w:rsid w:val="007F723E"/>
    <w:rsid w:val="007F7BA7"/>
    <w:rsid w:val="00800A7E"/>
    <w:rsid w:val="00802DFC"/>
    <w:rsid w:val="00816243"/>
    <w:rsid w:val="00816E27"/>
    <w:rsid w:val="008255A2"/>
    <w:rsid w:val="008327CA"/>
    <w:rsid w:val="0083446E"/>
    <w:rsid w:val="00882307"/>
    <w:rsid w:val="008A5BA4"/>
    <w:rsid w:val="008A7D2E"/>
    <w:rsid w:val="008B78E6"/>
    <w:rsid w:val="008C044F"/>
    <w:rsid w:val="008E6E5D"/>
    <w:rsid w:val="00900262"/>
    <w:rsid w:val="009173A2"/>
    <w:rsid w:val="00917876"/>
    <w:rsid w:val="00930EB9"/>
    <w:rsid w:val="009413C7"/>
    <w:rsid w:val="009602F2"/>
    <w:rsid w:val="0096720B"/>
    <w:rsid w:val="009707ED"/>
    <w:rsid w:val="0098366C"/>
    <w:rsid w:val="00983C3B"/>
    <w:rsid w:val="00986D44"/>
    <w:rsid w:val="009B61DF"/>
    <w:rsid w:val="009B7729"/>
    <w:rsid w:val="009C165C"/>
    <w:rsid w:val="009C17CE"/>
    <w:rsid w:val="009C42C4"/>
    <w:rsid w:val="009E08FD"/>
    <w:rsid w:val="009E3833"/>
    <w:rsid w:val="009E4B2F"/>
    <w:rsid w:val="009E4C03"/>
    <w:rsid w:val="009E518C"/>
    <w:rsid w:val="009E5461"/>
    <w:rsid w:val="009E7A28"/>
    <w:rsid w:val="009F09D6"/>
    <w:rsid w:val="009F129F"/>
    <w:rsid w:val="009F2765"/>
    <w:rsid w:val="009F33F7"/>
    <w:rsid w:val="009F3455"/>
    <w:rsid w:val="00A06CDD"/>
    <w:rsid w:val="00A079D4"/>
    <w:rsid w:val="00A10C8D"/>
    <w:rsid w:val="00A11276"/>
    <w:rsid w:val="00A137DF"/>
    <w:rsid w:val="00A233B6"/>
    <w:rsid w:val="00A2362A"/>
    <w:rsid w:val="00A253E8"/>
    <w:rsid w:val="00A25D24"/>
    <w:rsid w:val="00A3772D"/>
    <w:rsid w:val="00A378C0"/>
    <w:rsid w:val="00A37D11"/>
    <w:rsid w:val="00A4236A"/>
    <w:rsid w:val="00A437AD"/>
    <w:rsid w:val="00A47C3E"/>
    <w:rsid w:val="00A5518B"/>
    <w:rsid w:val="00A60068"/>
    <w:rsid w:val="00A61E91"/>
    <w:rsid w:val="00A66FD7"/>
    <w:rsid w:val="00A9330B"/>
    <w:rsid w:val="00AA521A"/>
    <w:rsid w:val="00AA59B4"/>
    <w:rsid w:val="00AA6414"/>
    <w:rsid w:val="00AB5C6E"/>
    <w:rsid w:val="00AB6A96"/>
    <w:rsid w:val="00AB6E69"/>
    <w:rsid w:val="00AB71CA"/>
    <w:rsid w:val="00AC1EF8"/>
    <w:rsid w:val="00AC3D2A"/>
    <w:rsid w:val="00AD266E"/>
    <w:rsid w:val="00AF173B"/>
    <w:rsid w:val="00AF3ACF"/>
    <w:rsid w:val="00AF460A"/>
    <w:rsid w:val="00AF5C7F"/>
    <w:rsid w:val="00B040EB"/>
    <w:rsid w:val="00B129D5"/>
    <w:rsid w:val="00B12CE4"/>
    <w:rsid w:val="00B279DA"/>
    <w:rsid w:val="00B36EF0"/>
    <w:rsid w:val="00B450C7"/>
    <w:rsid w:val="00B46872"/>
    <w:rsid w:val="00B60FEF"/>
    <w:rsid w:val="00B71C93"/>
    <w:rsid w:val="00B729D9"/>
    <w:rsid w:val="00B73F9A"/>
    <w:rsid w:val="00B806D9"/>
    <w:rsid w:val="00B81CBD"/>
    <w:rsid w:val="00B866D2"/>
    <w:rsid w:val="00B93064"/>
    <w:rsid w:val="00B944FA"/>
    <w:rsid w:val="00BB60FF"/>
    <w:rsid w:val="00BC1DB1"/>
    <w:rsid w:val="00BC28F9"/>
    <w:rsid w:val="00BE232B"/>
    <w:rsid w:val="00BF7951"/>
    <w:rsid w:val="00C0478B"/>
    <w:rsid w:val="00C07B4D"/>
    <w:rsid w:val="00C205D5"/>
    <w:rsid w:val="00C57864"/>
    <w:rsid w:val="00C60CC1"/>
    <w:rsid w:val="00C61F5A"/>
    <w:rsid w:val="00C62075"/>
    <w:rsid w:val="00C644B5"/>
    <w:rsid w:val="00C70976"/>
    <w:rsid w:val="00C7612D"/>
    <w:rsid w:val="00C845BD"/>
    <w:rsid w:val="00C9273A"/>
    <w:rsid w:val="00C93442"/>
    <w:rsid w:val="00CA1704"/>
    <w:rsid w:val="00CA1D20"/>
    <w:rsid w:val="00CA3420"/>
    <w:rsid w:val="00CE48F9"/>
    <w:rsid w:val="00CF1E1E"/>
    <w:rsid w:val="00CF274F"/>
    <w:rsid w:val="00D03362"/>
    <w:rsid w:val="00D04015"/>
    <w:rsid w:val="00D10EBC"/>
    <w:rsid w:val="00D24005"/>
    <w:rsid w:val="00D252B0"/>
    <w:rsid w:val="00D42ECA"/>
    <w:rsid w:val="00D432D5"/>
    <w:rsid w:val="00D50309"/>
    <w:rsid w:val="00D56430"/>
    <w:rsid w:val="00D73031"/>
    <w:rsid w:val="00D759AD"/>
    <w:rsid w:val="00D83CEB"/>
    <w:rsid w:val="00DA4A68"/>
    <w:rsid w:val="00DC0BF4"/>
    <w:rsid w:val="00DC68AB"/>
    <w:rsid w:val="00DD2849"/>
    <w:rsid w:val="00DE1DA7"/>
    <w:rsid w:val="00DE3F81"/>
    <w:rsid w:val="00E02C42"/>
    <w:rsid w:val="00E20074"/>
    <w:rsid w:val="00E21612"/>
    <w:rsid w:val="00E265DF"/>
    <w:rsid w:val="00E279F1"/>
    <w:rsid w:val="00E37934"/>
    <w:rsid w:val="00E41E38"/>
    <w:rsid w:val="00E47185"/>
    <w:rsid w:val="00E52A61"/>
    <w:rsid w:val="00E55800"/>
    <w:rsid w:val="00E55D97"/>
    <w:rsid w:val="00E73465"/>
    <w:rsid w:val="00E75582"/>
    <w:rsid w:val="00E86C91"/>
    <w:rsid w:val="00E9507C"/>
    <w:rsid w:val="00EB17E6"/>
    <w:rsid w:val="00EB6CBB"/>
    <w:rsid w:val="00EC1FFC"/>
    <w:rsid w:val="00EC67D4"/>
    <w:rsid w:val="00ED04D1"/>
    <w:rsid w:val="00ED33DF"/>
    <w:rsid w:val="00EE4BE2"/>
    <w:rsid w:val="00F00A73"/>
    <w:rsid w:val="00F03261"/>
    <w:rsid w:val="00F03BBD"/>
    <w:rsid w:val="00F125EC"/>
    <w:rsid w:val="00F12DD7"/>
    <w:rsid w:val="00F17B73"/>
    <w:rsid w:val="00F2363E"/>
    <w:rsid w:val="00F3393C"/>
    <w:rsid w:val="00F45075"/>
    <w:rsid w:val="00F53ABC"/>
    <w:rsid w:val="00F769A8"/>
    <w:rsid w:val="00F809B3"/>
    <w:rsid w:val="00F91DFC"/>
    <w:rsid w:val="00F91F11"/>
    <w:rsid w:val="00F92763"/>
    <w:rsid w:val="00F93175"/>
    <w:rsid w:val="00F949CE"/>
    <w:rsid w:val="00F96B43"/>
    <w:rsid w:val="00F97892"/>
    <w:rsid w:val="00F97B7A"/>
    <w:rsid w:val="00FC4F4F"/>
    <w:rsid w:val="00FC7DDD"/>
    <w:rsid w:val="00FD54F7"/>
    <w:rsid w:val="00FE5869"/>
    <w:rsid w:val="013255A1"/>
    <w:rsid w:val="01621CC3"/>
    <w:rsid w:val="01F82463"/>
    <w:rsid w:val="045D54CD"/>
    <w:rsid w:val="05687467"/>
    <w:rsid w:val="061163F2"/>
    <w:rsid w:val="0705506A"/>
    <w:rsid w:val="074D1A0E"/>
    <w:rsid w:val="07936DFE"/>
    <w:rsid w:val="07F0714E"/>
    <w:rsid w:val="091F4188"/>
    <w:rsid w:val="09C43ECE"/>
    <w:rsid w:val="0AB7152D"/>
    <w:rsid w:val="0AD93E42"/>
    <w:rsid w:val="0AFC7037"/>
    <w:rsid w:val="0B3B7215"/>
    <w:rsid w:val="0B8F44E0"/>
    <w:rsid w:val="0BA61866"/>
    <w:rsid w:val="0CA33A81"/>
    <w:rsid w:val="0D7B0600"/>
    <w:rsid w:val="0E0D5C63"/>
    <w:rsid w:val="0E211ABD"/>
    <w:rsid w:val="0E273159"/>
    <w:rsid w:val="0F3B57F2"/>
    <w:rsid w:val="10076E59"/>
    <w:rsid w:val="10115474"/>
    <w:rsid w:val="10A40D3D"/>
    <w:rsid w:val="10E322EF"/>
    <w:rsid w:val="10F301F1"/>
    <w:rsid w:val="11A809EB"/>
    <w:rsid w:val="11C1119D"/>
    <w:rsid w:val="1245157E"/>
    <w:rsid w:val="12B1301F"/>
    <w:rsid w:val="16105BDE"/>
    <w:rsid w:val="162A23DB"/>
    <w:rsid w:val="17237591"/>
    <w:rsid w:val="17C7343E"/>
    <w:rsid w:val="180D3FF5"/>
    <w:rsid w:val="18236FEB"/>
    <w:rsid w:val="18D760DA"/>
    <w:rsid w:val="197F13FA"/>
    <w:rsid w:val="19F212F8"/>
    <w:rsid w:val="1A33693B"/>
    <w:rsid w:val="1A6F1A63"/>
    <w:rsid w:val="1ADE19F5"/>
    <w:rsid w:val="1AF500D5"/>
    <w:rsid w:val="1D3D1877"/>
    <w:rsid w:val="1D7517BE"/>
    <w:rsid w:val="1F0C423B"/>
    <w:rsid w:val="1F2B6DF2"/>
    <w:rsid w:val="1FC72CBD"/>
    <w:rsid w:val="1FF80628"/>
    <w:rsid w:val="203F1E91"/>
    <w:rsid w:val="209C6962"/>
    <w:rsid w:val="20E43397"/>
    <w:rsid w:val="214C08FC"/>
    <w:rsid w:val="21C71EB3"/>
    <w:rsid w:val="21E776ED"/>
    <w:rsid w:val="236C60C0"/>
    <w:rsid w:val="23F43473"/>
    <w:rsid w:val="24BC6121"/>
    <w:rsid w:val="24EE1C59"/>
    <w:rsid w:val="264802C3"/>
    <w:rsid w:val="26B4182E"/>
    <w:rsid w:val="27802291"/>
    <w:rsid w:val="27E46352"/>
    <w:rsid w:val="28B05F87"/>
    <w:rsid w:val="28E834E5"/>
    <w:rsid w:val="29093E94"/>
    <w:rsid w:val="29F023EC"/>
    <w:rsid w:val="2A2D1392"/>
    <w:rsid w:val="2A86585E"/>
    <w:rsid w:val="2AAB59AD"/>
    <w:rsid w:val="2B4A6A63"/>
    <w:rsid w:val="2BB63F58"/>
    <w:rsid w:val="2C042BB9"/>
    <w:rsid w:val="2C414717"/>
    <w:rsid w:val="2C574AA6"/>
    <w:rsid w:val="2C7E0473"/>
    <w:rsid w:val="2D0B0246"/>
    <w:rsid w:val="2D96408E"/>
    <w:rsid w:val="2DEB6EA9"/>
    <w:rsid w:val="2DF24A34"/>
    <w:rsid w:val="2E273426"/>
    <w:rsid w:val="2E631CBE"/>
    <w:rsid w:val="2ECA4CC1"/>
    <w:rsid w:val="2EE87AF0"/>
    <w:rsid w:val="2F1C6B36"/>
    <w:rsid w:val="308A40E1"/>
    <w:rsid w:val="316C5EB5"/>
    <w:rsid w:val="31811804"/>
    <w:rsid w:val="31CC15FC"/>
    <w:rsid w:val="31EA1781"/>
    <w:rsid w:val="324D3B71"/>
    <w:rsid w:val="327F64AC"/>
    <w:rsid w:val="334231CC"/>
    <w:rsid w:val="343D395D"/>
    <w:rsid w:val="35140D0C"/>
    <w:rsid w:val="3710583E"/>
    <w:rsid w:val="37853325"/>
    <w:rsid w:val="38334ECF"/>
    <w:rsid w:val="383603F0"/>
    <w:rsid w:val="396978B7"/>
    <w:rsid w:val="3A526D49"/>
    <w:rsid w:val="3A7053D6"/>
    <w:rsid w:val="3A8243AA"/>
    <w:rsid w:val="3BEF7BF0"/>
    <w:rsid w:val="3BF568A8"/>
    <w:rsid w:val="3C0A1991"/>
    <w:rsid w:val="3C29556C"/>
    <w:rsid w:val="3CBD260C"/>
    <w:rsid w:val="3DA7116F"/>
    <w:rsid w:val="3E663B36"/>
    <w:rsid w:val="3EA65FF4"/>
    <w:rsid w:val="3EB56330"/>
    <w:rsid w:val="3F140217"/>
    <w:rsid w:val="3FCC3B90"/>
    <w:rsid w:val="401B73D4"/>
    <w:rsid w:val="40684797"/>
    <w:rsid w:val="41943334"/>
    <w:rsid w:val="42203FCC"/>
    <w:rsid w:val="42C07394"/>
    <w:rsid w:val="43511BFD"/>
    <w:rsid w:val="446F7323"/>
    <w:rsid w:val="448C0AE6"/>
    <w:rsid w:val="453B15CC"/>
    <w:rsid w:val="45A713CD"/>
    <w:rsid w:val="45DD59EC"/>
    <w:rsid w:val="46A0586D"/>
    <w:rsid w:val="473C160D"/>
    <w:rsid w:val="47691230"/>
    <w:rsid w:val="478F1802"/>
    <w:rsid w:val="47A12585"/>
    <w:rsid w:val="47E32E73"/>
    <w:rsid w:val="48036FAE"/>
    <w:rsid w:val="4808260A"/>
    <w:rsid w:val="487A4D49"/>
    <w:rsid w:val="48B70C1E"/>
    <w:rsid w:val="48BC7B40"/>
    <w:rsid w:val="492058F6"/>
    <w:rsid w:val="49697C5B"/>
    <w:rsid w:val="49CA0AC5"/>
    <w:rsid w:val="49E47BFA"/>
    <w:rsid w:val="4A6750AC"/>
    <w:rsid w:val="4A8515D9"/>
    <w:rsid w:val="4AA96BB7"/>
    <w:rsid w:val="4AFF1906"/>
    <w:rsid w:val="4BF7654A"/>
    <w:rsid w:val="4C0575F5"/>
    <w:rsid w:val="4C111EC4"/>
    <w:rsid w:val="4D793D57"/>
    <w:rsid w:val="4E1C4A1D"/>
    <w:rsid w:val="4E2C411B"/>
    <w:rsid w:val="4EBE46EF"/>
    <w:rsid w:val="507C50FE"/>
    <w:rsid w:val="514D7C48"/>
    <w:rsid w:val="528479E1"/>
    <w:rsid w:val="53682B3F"/>
    <w:rsid w:val="53A560A2"/>
    <w:rsid w:val="53A665D0"/>
    <w:rsid w:val="53B37BD1"/>
    <w:rsid w:val="53DA4C09"/>
    <w:rsid w:val="54C42668"/>
    <w:rsid w:val="54CB5892"/>
    <w:rsid w:val="54E07C45"/>
    <w:rsid w:val="55132EC7"/>
    <w:rsid w:val="55315669"/>
    <w:rsid w:val="55527916"/>
    <w:rsid w:val="568F6DE0"/>
    <w:rsid w:val="579670ED"/>
    <w:rsid w:val="57D0264A"/>
    <w:rsid w:val="5A892791"/>
    <w:rsid w:val="5AEB741A"/>
    <w:rsid w:val="5BAB1C32"/>
    <w:rsid w:val="5C87627D"/>
    <w:rsid w:val="5D0E0D8F"/>
    <w:rsid w:val="5D162BD0"/>
    <w:rsid w:val="5EA3342C"/>
    <w:rsid w:val="5EB719AD"/>
    <w:rsid w:val="5EE84FEE"/>
    <w:rsid w:val="5EED5413"/>
    <w:rsid w:val="5F1A57C3"/>
    <w:rsid w:val="5F887079"/>
    <w:rsid w:val="5F8C070A"/>
    <w:rsid w:val="60164FAD"/>
    <w:rsid w:val="615B3774"/>
    <w:rsid w:val="61B3258C"/>
    <w:rsid w:val="62284963"/>
    <w:rsid w:val="62A73A31"/>
    <w:rsid w:val="64282B93"/>
    <w:rsid w:val="6478081E"/>
    <w:rsid w:val="65F15AC0"/>
    <w:rsid w:val="65F81D22"/>
    <w:rsid w:val="664559D6"/>
    <w:rsid w:val="66460DA5"/>
    <w:rsid w:val="66741218"/>
    <w:rsid w:val="67952E29"/>
    <w:rsid w:val="68283BCA"/>
    <w:rsid w:val="69C84F61"/>
    <w:rsid w:val="69CD1B5B"/>
    <w:rsid w:val="6A5264F1"/>
    <w:rsid w:val="6B042047"/>
    <w:rsid w:val="6BB7488B"/>
    <w:rsid w:val="6BC81833"/>
    <w:rsid w:val="6BD43A3E"/>
    <w:rsid w:val="6C4C2D6F"/>
    <w:rsid w:val="6C6F61FD"/>
    <w:rsid w:val="6C735115"/>
    <w:rsid w:val="6D124803"/>
    <w:rsid w:val="6D145FBE"/>
    <w:rsid w:val="6F2861C8"/>
    <w:rsid w:val="6F40417A"/>
    <w:rsid w:val="6F6A3F7D"/>
    <w:rsid w:val="6F764DB5"/>
    <w:rsid w:val="6FAE33FC"/>
    <w:rsid w:val="6FDB6E77"/>
    <w:rsid w:val="6FE4697C"/>
    <w:rsid w:val="70140616"/>
    <w:rsid w:val="701B7A72"/>
    <w:rsid w:val="703C22BD"/>
    <w:rsid w:val="70D80666"/>
    <w:rsid w:val="7145570C"/>
    <w:rsid w:val="717E2551"/>
    <w:rsid w:val="73FB31AF"/>
    <w:rsid w:val="741C7712"/>
    <w:rsid w:val="74213E8D"/>
    <w:rsid w:val="74892B81"/>
    <w:rsid w:val="766A4841"/>
    <w:rsid w:val="768A3135"/>
    <w:rsid w:val="76D61927"/>
    <w:rsid w:val="77843429"/>
    <w:rsid w:val="77844552"/>
    <w:rsid w:val="779051BF"/>
    <w:rsid w:val="77B40670"/>
    <w:rsid w:val="77D84B93"/>
    <w:rsid w:val="78162D20"/>
    <w:rsid w:val="781E5B1E"/>
    <w:rsid w:val="782D6E01"/>
    <w:rsid w:val="784601EF"/>
    <w:rsid w:val="78C85565"/>
    <w:rsid w:val="79084990"/>
    <w:rsid w:val="79250DD4"/>
    <w:rsid w:val="7A166CE6"/>
    <w:rsid w:val="7A7063E2"/>
    <w:rsid w:val="7B7366A2"/>
    <w:rsid w:val="7C89187F"/>
    <w:rsid w:val="7CDE301D"/>
    <w:rsid w:val="7D153F10"/>
    <w:rsid w:val="7D1770A8"/>
    <w:rsid w:val="7DB734E0"/>
    <w:rsid w:val="7E21331E"/>
    <w:rsid w:val="7E2E2CB1"/>
    <w:rsid w:val="7EA12B84"/>
    <w:rsid w:val="7F24645E"/>
    <w:rsid w:val="7F2E7492"/>
    <w:rsid w:val="7FE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</w:pPr>
    <w:rPr>
      <w:rFonts w:ascii="Times New Roman" w:hAnsi="Times New Roman" w:eastAsia="宋体" w:cs="Arial"/>
      <w:color w:val="000000"/>
      <w:sz w:val="21"/>
      <w:szCs w:val="18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numPr>
        <w:ilvl w:val="0"/>
        <w:numId w:val="1"/>
      </w:numPr>
      <w:adjustRightInd w:val="0"/>
      <w:spacing w:before="312" w:beforeLines="100"/>
      <w:contextualSpacing/>
      <w:outlineLvl w:val="0"/>
    </w:pPr>
    <w:rPr>
      <w:rFonts w:cs="Times New Roman"/>
      <w:b/>
      <w:color w:val="000000" w:themeColor="text1"/>
      <w:sz w:val="36"/>
      <w:szCs w:val="24"/>
      <w:lang w:val="fr-FR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3"/>
    <w:qFormat/>
    <w:uiPriority w:val="0"/>
    <w:pPr>
      <w:numPr>
        <w:ilvl w:val="1"/>
        <w:numId w:val="2"/>
      </w:numPr>
      <w:adjustRightInd w:val="0"/>
      <w:outlineLvl w:val="1"/>
    </w:pPr>
    <w:rPr>
      <w:rFonts w:hAnsi="MS Gothic" w:cs="MS Gothic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next w:val="1"/>
    <w:semiHidden/>
    <w:qFormat/>
    <w:uiPriority w:val="0"/>
    <w:pPr>
      <w:numPr>
        <w:ilvl w:val="0"/>
        <w:numId w:val="3"/>
      </w:numPr>
    </w:pPr>
    <w:rPr>
      <w:color w:val="0000FF"/>
    </w:rPr>
  </w:style>
  <w:style w:type="paragraph" w:styleId="5">
    <w:name w:val="annotation text"/>
    <w:basedOn w:val="1"/>
    <w:link w:val="40"/>
    <w:semiHidden/>
    <w:unhideWhenUsed/>
    <w:qFormat/>
    <w:uiPriority w:val="99"/>
  </w:style>
  <w:style w:type="paragraph" w:styleId="6">
    <w:name w:val="Body Text"/>
    <w:basedOn w:val="1"/>
    <w:link w:val="22"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List Bullet 5"/>
    <w:basedOn w:val="1"/>
    <w:semiHidden/>
    <w:qFormat/>
    <w:uiPriority w:val="0"/>
    <w:pPr>
      <w:widowControl/>
      <w:numPr>
        <w:ilvl w:val="0"/>
        <w:numId w:val="4"/>
      </w:numPr>
    </w:pPr>
    <w:rPr>
      <w:rFonts w:ascii="MS Gothic" w:hAnsi="Arial" w:eastAsia="MS Gothic"/>
      <w:sz w:val="28"/>
    </w:rPr>
  </w:style>
  <w:style w:type="paragraph" w:styleId="9">
    <w:name w:val="footer"/>
    <w:basedOn w:val="1"/>
    <w:link w:val="30"/>
    <w:unhideWhenUsed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0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List Number 5"/>
    <w:basedOn w:val="1"/>
    <w:semiHidden/>
    <w:qFormat/>
    <w:uiPriority w:val="0"/>
    <w:pPr>
      <w:widowControl/>
      <w:numPr>
        <w:ilvl w:val="0"/>
        <w:numId w:val="5"/>
      </w:numPr>
    </w:pPr>
    <w:rPr>
      <w:rFonts w:ascii="MS Gothic" w:hAnsi="Arial" w:eastAsia="MS Gothic"/>
      <w:sz w:val="28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annotation subject"/>
    <w:basedOn w:val="5"/>
    <w:next w:val="5"/>
    <w:link w:val="41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0"/>
    <w:pPr>
      <w:snapToGrid w:val="0"/>
    </w:pPr>
    <w:rPr>
      <w:rFonts w:ascii="Century" w:hAnsi="Century" w:eastAsia="MS Minch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paragraph" w:customStyle="1" w:styleId="20">
    <w:name w:val="表格"/>
    <w:basedOn w:val="6"/>
    <w:next w:val="1"/>
    <w:link w:val="21"/>
    <w:qFormat/>
    <w:uiPriority w:val="0"/>
    <w:pPr>
      <w:numPr>
        <w:ilvl w:val="0"/>
        <w:numId w:val="6"/>
      </w:numPr>
      <w:jc w:val="center"/>
    </w:pPr>
    <w:rPr>
      <w:b/>
    </w:rPr>
  </w:style>
  <w:style w:type="character" w:customStyle="1" w:styleId="21">
    <w:name w:val="表格 Char"/>
    <w:basedOn w:val="22"/>
    <w:link w:val="20"/>
    <w:qFormat/>
    <w:uiPriority w:val="0"/>
    <w:rPr>
      <w:rFonts w:ascii="Times New Roman" w:hAnsi="Times New Roman" w:eastAsia="宋体"/>
      <w:b/>
    </w:rPr>
  </w:style>
  <w:style w:type="character" w:customStyle="1" w:styleId="22">
    <w:name w:val="正文文本 字符"/>
    <w:basedOn w:val="17"/>
    <w:link w:val="6"/>
    <w:qFormat/>
    <w:uiPriority w:val="99"/>
  </w:style>
  <w:style w:type="paragraph" w:customStyle="1" w:styleId="23">
    <w:name w:val="二级标题"/>
    <w:basedOn w:val="6"/>
    <w:next w:val="6"/>
    <w:link w:val="24"/>
    <w:qFormat/>
    <w:uiPriority w:val="0"/>
    <w:pPr>
      <w:numPr>
        <w:ilvl w:val="1"/>
        <w:numId w:val="7"/>
      </w:numPr>
      <w:spacing w:after="0"/>
      <w:outlineLvl w:val="1"/>
    </w:pPr>
    <w:rPr>
      <w:b/>
      <w:sz w:val="24"/>
    </w:rPr>
  </w:style>
  <w:style w:type="character" w:customStyle="1" w:styleId="24">
    <w:name w:val="二级标题 Char"/>
    <w:basedOn w:val="22"/>
    <w:link w:val="23"/>
    <w:qFormat/>
    <w:uiPriority w:val="0"/>
    <w:rPr>
      <w:rFonts w:ascii="Times New Roman" w:hAnsi="Times New Roman" w:eastAsia="宋体" w:cs="Arial"/>
      <w:b/>
      <w:color w:val="000000"/>
      <w:kern w:val="0"/>
      <w:sz w:val="24"/>
      <w:szCs w:val="18"/>
    </w:rPr>
  </w:style>
  <w:style w:type="paragraph" w:customStyle="1" w:styleId="25">
    <w:name w:val="一级标题"/>
    <w:basedOn w:val="6"/>
    <w:next w:val="6"/>
    <w:link w:val="26"/>
    <w:qFormat/>
    <w:uiPriority w:val="0"/>
    <w:pPr>
      <w:numPr>
        <w:ilvl w:val="0"/>
        <w:numId w:val="7"/>
      </w:numPr>
      <w:spacing w:before="240" w:after="0"/>
      <w:outlineLvl w:val="0"/>
    </w:pPr>
    <w:rPr>
      <w:b/>
      <w:sz w:val="28"/>
    </w:rPr>
  </w:style>
  <w:style w:type="character" w:customStyle="1" w:styleId="26">
    <w:name w:val="一级标题 Char"/>
    <w:basedOn w:val="22"/>
    <w:link w:val="25"/>
    <w:qFormat/>
    <w:uiPriority w:val="0"/>
    <w:rPr>
      <w:rFonts w:ascii="Times New Roman" w:hAnsi="Times New Roman"/>
      <w:b/>
      <w:sz w:val="28"/>
    </w:rPr>
  </w:style>
  <w:style w:type="paragraph" w:customStyle="1" w:styleId="27">
    <w:name w:val="题目"/>
    <w:basedOn w:val="1"/>
    <w:next w:val="6"/>
    <w:link w:val="28"/>
    <w:qFormat/>
    <w:uiPriority w:val="0"/>
    <w:pPr>
      <w:snapToGrid/>
      <w:jc w:val="center"/>
      <w:outlineLvl w:val="0"/>
    </w:pPr>
    <w:rPr>
      <w:rFonts w:cstheme="minorBidi"/>
      <w:b/>
      <w:color w:val="auto"/>
      <w:kern w:val="2"/>
      <w:sz w:val="44"/>
      <w:szCs w:val="22"/>
    </w:rPr>
  </w:style>
  <w:style w:type="character" w:customStyle="1" w:styleId="28">
    <w:name w:val="题目 Char"/>
    <w:basedOn w:val="17"/>
    <w:link w:val="27"/>
    <w:qFormat/>
    <w:uiPriority w:val="0"/>
    <w:rPr>
      <w:rFonts w:ascii="Times New Roman" w:hAnsi="Times New Roman" w:eastAsia="宋体"/>
      <w:b/>
      <w:sz w:val="44"/>
    </w:rPr>
  </w:style>
  <w:style w:type="character" w:customStyle="1" w:styleId="29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30">
    <w:name w:val="页脚 字符"/>
    <w:basedOn w:val="17"/>
    <w:link w:val="9"/>
    <w:qFormat/>
    <w:uiPriority w:val="99"/>
    <w:rPr>
      <w:sz w:val="18"/>
      <w:szCs w:val="18"/>
    </w:rPr>
  </w:style>
  <w:style w:type="paragraph" w:customStyle="1" w:styleId="31">
    <w:name w:val="文書名"/>
    <w:basedOn w:val="1"/>
    <w:semiHidden/>
    <w:qFormat/>
    <w:uiPriority w:val="0"/>
    <w:pPr>
      <w:jc w:val="center"/>
    </w:pPr>
    <w:rPr>
      <w:b/>
      <w:sz w:val="44"/>
    </w:rPr>
  </w:style>
  <w:style w:type="character" w:customStyle="1" w:styleId="32">
    <w:name w:val="标题 1 字符"/>
    <w:basedOn w:val="17"/>
    <w:link w:val="2"/>
    <w:qFormat/>
    <w:uiPriority w:val="0"/>
    <w:rPr>
      <w:rFonts w:ascii="Times New Roman" w:hAnsi="Times New Roman" w:eastAsia="宋体" w:cs="Times New Roman"/>
      <w:b/>
      <w:color w:val="000000" w:themeColor="text1"/>
      <w:kern w:val="0"/>
      <w:sz w:val="36"/>
      <w:szCs w:val="24"/>
      <w:lang w:val="fr-FR"/>
      <w14:textFill>
        <w14:solidFill>
          <w14:schemeClr w14:val="tx1"/>
        </w14:solidFill>
      </w14:textFill>
    </w:rPr>
  </w:style>
  <w:style w:type="character" w:customStyle="1" w:styleId="33">
    <w:name w:val="标题 2 字符"/>
    <w:basedOn w:val="17"/>
    <w:link w:val="3"/>
    <w:qFormat/>
    <w:uiPriority w:val="0"/>
    <w:rPr>
      <w:rFonts w:ascii="MS Gothic" w:hAnsi="MS Gothic" w:eastAsia="MS Gothic" w:cs="MS Gothic"/>
      <w:b/>
      <w:color w:val="000000" w:themeColor="text1"/>
      <w:kern w:val="0"/>
      <w:sz w:val="32"/>
      <w:szCs w:val="18"/>
      <w14:textFill>
        <w14:solidFill>
          <w14:schemeClr w14:val="tx1"/>
        </w14:solidFill>
      </w14:textFill>
    </w:rPr>
  </w:style>
  <w:style w:type="paragraph" w:customStyle="1" w:styleId="34">
    <w:name w:val="TOC 标题1"/>
    <w:basedOn w:val="2"/>
    <w:next w:val="1"/>
    <w:unhideWhenUsed/>
    <w:qFormat/>
    <w:uiPriority w:val="39"/>
    <w:pPr>
      <w:keepNext/>
      <w:keepLines/>
      <w:widowControl/>
      <w:numPr>
        <w:numId w:val="0"/>
      </w:numPr>
      <w:adjustRightInd/>
      <w:snapToGrid/>
      <w:spacing w:before="240" w:beforeLines="0" w:line="259" w:lineRule="auto"/>
      <w:contextualSpacing w:val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lang w:val="en-US"/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paragraph" w:customStyle="1" w:styleId="36">
    <w:name w:val="三级标题"/>
    <w:basedOn w:val="23"/>
    <w:next w:val="1"/>
    <w:link w:val="37"/>
    <w:qFormat/>
    <w:uiPriority w:val="0"/>
    <w:pPr>
      <w:numPr>
        <w:ilvl w:val="2"/>
      </w:numPr>
      <w:outlineLvl w:val="2"/>
    </w:pPr>
  </w:style>
  <w:style w:type="character" w:customStyle="1" w:styleId="37">
    <w:name w:val="三级标题 Char"/>
    <w:basedOn w:val="24"/>
    <w:link w:val="36"/>
    <w:qFormat/>
    <w:uiPriority w:val="0"/>
    <w:rPr>
      <w:rFonts w:ascii="Times New Roman" w:hAnsi="Times New Roman" w:eastAsia="宋体" w:cs="Arial"/>
      <w:color w:val="000000"/>
      <w:kern w:val="0"/>
      <w:sz w:val="24"/>
      <w:szCs w:val="18"/>
      <w:lang w:eastAsia="ja-JP"/>
    </w:rPr>
  </w:style>
  <w:style w:type="paragraph" w:customStyle="1" w:styleId="38">
    <w:name w:val="图例"/>
    <w:basedOn w:val="20"/>
    <w:next w:val="1"/>
    <w:link w:val="39"/>
    <w:qFormat/>
    <w:uiPriority w:val="0"/>
    <w:pPr>
      <w:numPr>
        <w:ilvl w:val="0"/>
        <w:numId w:val="8"/>
      </w:numPr>
    </w:pPr>
    <w:rPr>
      <w:rFonts w:ascii="Arial" w:hAnsi="Arial" w:cs="微软雅黑"/>
    </w:rPr>
  </w:style>
  <w:style w:type="character" w:customStyle="1" w:styleId="39">
    <w:name w:val="图例 Char"/>
    <w:basedOn w:val="21"/>
    <w:link w:val="38"/>
    <w:qFormat/>
    <w:uiPriority w:val="0"/>
    <w:rPr>
      <w:rFonts w:ascii="Arial" w:hAnsi="Arial" w:eastAsia="宋体" w:cs="微软雅黑"/>
      <w:color w:val="000000"/>
      <w:kern w:val="0"/>
      <w:szCs w:val="18"/>
    </w:rPr>
  </w:style>
  <w:style w:type="character" w:customStyle="1" w:styleId="40">
    <w:name w:val="批注文字 字符"/>
    <w:basedOn w:val="17"/>
    <w:link w:val="5"/>
    <w:semiHidden/>
    <w:qFormat/>
    <w:uiPriority w:val="99"/>
    <w:rPr>
      <w:rFonts w:cs="Arial"/>
      <w:color w:val="000000"/>
      <w:sz w:val="21"/>
      <w:szCs w:val="18"/>
    </w:rPr>
  </w:style>
  <w:style w:type="character" w:customStyle="1" w:styleId="41">
    <w:name w:val="批注主题 字符"/>
    <w:basedOn w:val="40"/>
    <w:link w:val="14"/>
    <w:semiHidden/>
    <w:qFormat/>
    <w:uiPriority w:val="99"/>
    <w:rPr>
      <w:rFonts w:cs="Arial"/>
      <w:b/>
      <w:bCs/>
      <w:color w:val="000000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emf"/><Relationship Id="rId12" Type="http://schemas.openxmlformats.org/officeDocument/2006/relationships/package" Target="embeddings/Microsoft_Visio___1.vsdx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relations xmlns="http://www.yonyou.com/relation"/>
</file>

<file path=customXml/item3.xml><?xml version="1.0" encoding="utf-8"?>
<formulas xmlns="http://www.yonyou.com/formula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E0C47A-1A5C-4761-9319-A9AB65922F0E}">
  <ds:schemaRefs/>
</ds:datastoreItem>
</file>

<file path=customXml/itemProps3.xml><?xml version="1.0" encoding="utf-8"?>
<ds:datastoreItem xmlns:ds="http://schemas.openxmlformats.org/officeDocument/2006/customXml" ds:itemID="{74B14203-1048-42E0-8710-1951FC6D7F54}">
  <ds:schemaRefs/>
</ds:datastoreItem>
</file>

<file path=customXml/itemProps4.xml><?xml version="1.0" encoding="utf-8"?>
<ds:datastoreItem xmlns:ds="http://schemas.openxmlformats.org/officeDocument/2006/customXml" ds:itemID="{29CF8AE3-FE85-412F-BBA2-3EC3B3AEDA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15</Pages>
  <Words>1414</Words>
  <Characters>8061</Characters>
  <Lines>67</Lines>
  <Paragraphs>18</Paragraphs>
  <TotalTime>3</TotalTime>
  <ScaleCrop>false</ScaleCrop>
  <LinksUpToDate>false</LinksUpToDate>
  <CharactersWithSpaces>9457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2020-08-31T07:04:00Z</dcterms:created>
  <dc:creator>董栋栋</dc:creator>
  <cp:lastModifiedBy>Impossible de la solitud</cp:lastModifiedBy>
  <dcterms:modified xsi:type="dcterms:W3CDTF">2021-07-23T08:25:29Z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6EC14388DBB04E63AD6CF7E9551F29BE</vt:lpwstr>
  </property>
</Properties>
</file>