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2020 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r>
        <w:br w:type="page"/>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r>
        <w:br w:type="page"/>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
        <w:br w:type="page"/>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r>
        <w:br w:type="page"/>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
        <w:br w:type="page"/>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r>
        <w:br w:type="page"/>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answer the questions by choosing the most suitable subheading from the list A–G for each of the numbered paragraphs (41–45). There are two extra subheadings which you do not need to use. Mark your answers on the ANSWER SHEET. (10 points)</w:t>
      </w:r>
    </w:p>
    <w:p>
      <w:pPr>
        <w:spacing w:after="0"/>
        <w:ind w:left="0" w:firstLine="420"/>
        <w:jc w:val="both"/>
      </w:pPr>
      <w:r>
        <w:rPr>
          <w:sz w:val="21"/>
        </w:rPr>
      </w:r>
    </w:p>
    <w:p>
      <w:pPr>
        <w:spacing w:after="0"/>
        <w:ind w:left="420" w:hanging="420"/>
        <w:jc w:val="both"/>
      </w:pPr>
      <w:r>
        <w:rPr>
          <w:sz w:val="21"/>
        </w:rPr>
        <w:t>[A] You are not alone</w:t>
      </w:r>
    </w:p>
    <w:p>
      <w:pPr>
        <w:spacing w:after="0"/>
        <w:ind w:left="420" w:hanging="420"/>
        <w:jc w:val="both"/>
      </w:pPr>
      <w:r>
        <w:rPr>
          <w:sz w:val="21"/>
        </w:rPr>
        <w:t>[B] Experience helps you grow</w:t>
      </w:r>
    </w:p>
    <w:p>
      <w:pPr>
        <w:spacing w:after="0"/>
        <w:ind w:left="420" w:hanging="420"/>
        <w:jc w:val="both"/>
      </w:pPr>
      <w:r>
        <w:rPr>
          <w:sz w:val="21"/>
        </w:rPr>
        <w:t>[C] Pave your own unique path</w:t>
      </w:r>
    </w:p>
    <w:p>
      <w:pPr>
        <w:spacing w:after="0"/>
        <w:ind w:left="420" w:hanging="420"/>
        <w:jc w:val="both"/>
      </w:pPr>
      <w:r>
        <w:rPr>
          <w:sz w:val="21"/>
        </w:rPr>
        <w:t>[D] Most of your fears are unreal</w:t>
      </w:r>
    </w:p>
    <w:p>
      <w:pPr>
        <w:spacing w:after="0"/>
        <w:ind w:left="420" w:hanging="420"/>
        <w:jc w:val="both"/>
      </w:pPr>
      <w:r>
        <w:rPr>
          <w:sz w:val="21"/>
        </w:rPr>
        <w:t>[E] Think about the present moment</w:t>
      </w:r>
    </w:p>
    <w:p>
      <w:pPr>
        <w:spacing w:after="0"/>
        <w:ind w:left="420" w:hanging="420"/>
        <w:jc w:val="both"/>
      </w:pPr>
      <w:r>
        <w:rPr>
          <w:sz w:val="21"/>
        </w:rPr>
        <w:t>[F] Don’t fear responsibility for your life</w:t>
      </w:r>
    </w:p>
    <w:p>
      <w:pPr>
        <w:spacing w:after="0"/>
        <w:ind w:left="420" w:hanging="420"/>
        <w:jc w:val="both"/>
      </w:pPr>
      <w:r>
        <w:rPr>
          <w:sz w:val="21"/>
        </w:rPr>
        <w:t>[G] There are many things to be grateful for</w:t>
      </w:r>
    </w:p>
    <w:p>
      <w:pPr>
        <w:spacing w:after="0"/>
        <w:ind w:left="0" w:firstLine="420"/>
        <w:jc w:val="both"/>
      </w:pPr>
      <w:r>
        <w:rPr>
          <w:sz w:val="21"/>
        </w:rPr>
        <w:t>Unfortunately, life is not a bed of roses. We are going through life facing sad experiences. Moreover, we are grieving various kinds of loss: a friendship, a romantic relationship or a house. Hard times may hold you down at what usually seems like the most inopportune time, but you should remember that they won’t last forever.</w:t>
      </w:r>
    </w:p>
    <w:p>
      <w:pPr>
        <w:spacing w:after="0"/>
        <w:ind w:left="0" w:firstLine="420"/>
        <w:jc w:val="both"/>
      </w:pPr>
      <w:r>
        <w:rPr>
          <w:sz w:val="21"/>
        </w:rPr>
        <w:t>When our time of mourning is over, we press forward, stronger with a greater understanding and respect for life. Furthermore, these losses make us mature and eventually move us toward future opportunities for growth and happiness. I want to share these old truths I’ve learned along the way.</w:t>
      </w:r>
    </w:p>
    <w:p>
      <w:pPr>
        <w:spacing w:after="0"/>
        <w:ind w:left="0" w:firstLine="420"/>
        <w:jc w:val="both"/>
      </w:pPr>
      <w:r>
        <w:rPr>
          <w:sz w:val="21"/>
        </w:rPr>
        <w:t>41. ______________________________</w:t>
      </w:r>
    </w:p>
    <w:p>
      <w:pPr>
        <w:spacing w:after="0"/>
        <w:ind w:left="0" w:firstLine="420"/>
        <w:jc w:val="both"/>
      </w:pPr>
      <w:r>
        <w:rPr>
          <w:sz w:val="21"/>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pPr>
        <w:spacing w:after="0"/>
        <w:ind w:left="0" w:firstLine="420"/>
        <w:jc w:val="both"/>
      </w:pPr>
      <w:r>
        <w:rPr>
          <w:sz w:val="21"/>
        </w:rPr>
        <w:t>42. ______________________________</w:t>
      </w:r>
    </w:p>
    <w:p>
      <w:pPr>
        <w:spacing w:after="0"/>
        <w:ind w:left="0" w:firstLine="420"/>
        <w:jc w:val="both"/>
      </w:pPr>
      <w:r>
        <w:rPr>
          <w:sz w:val="21"/>
        </w:rPr>
        <w:t>If you are surrounded by problems and cannot stop thinking about the past, try to focus on the present moment. Many of us are weighed down by the past or anxious about the future. You may feel guilt over your past, but you are poisoning the present with the things and circumstances you cannot change. Value the present moment and remember how fortunate you are to be alive. Enjoy the beauty of the world around and keep the eyes open to see the possibilities before you. Happiness is not a point of future and not a moment from the past, but a mindset that can be designed into the present.</w:t>
      </w:r>
    </w:p>
    <w:p>
      <w:pPr>
        <w:spacing w:after="0"/>
        <w:ind w:left="0" w:firstLine="420"/>
        <w:jc w:val="both"/>
      </w:pPr>
      <w:r>
        <w:rPr>
          <w:sz w:val="21"/>
        </w:rPr>
        <w:t>43. ______________________________</w:t>
      </w:r>
    </w:p>
    <w:p>
      <w:pPr>
        <w:spacing w:after="0"/>
        <w:ind w:left="0" w:firstLine="420"/>
        <w:jc w:val="both"/>
      </w:pPr>
      <w:r>
        <w:rPr>
          <w:sz w:val="21"/>
        </w:rPr>
        <w:t>Sometimes it is easy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pPr>
        <w:spacing w:after="0"/>
        <w:ind w:left="0" w:firstLine="420"/>
        <w:jc w:val="both"/>
      </w:pPr>
      <w:r>
        <w:rPr>
          <w:sz w:val="21"/>
        </w:rPr>
        <w:t>44. ______________________________</w:t>
      </w:r>
    </w:p>
    <w:p>
      <w:pPr>
        <w:spacing w:after="0"/>
        <w:ind w:left="0" w:firstLine="420"/>
        <w:jc w:val="both"/>
      </w:pPr>
      <w:r>
        <w:rPr>
          <w:sz w:val="21"/>
        </w:rPr>
        <w:t>No matter how isolated you might feel and how serious the situation is, you should always remember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encouragement.</w:t>
      </w:r>
    </w:p>
    <w:p>
      <w:pPr>
        <w:spacing w:after="0"/>
        <w:ind w:left="0" w:firstLine="420"/>
        <w:jc w:val="both"/>
      </w:pPr>
      <w:r>
        <w:rPr>
          <w:sz w:val="21"/>
        </w:rPr>
        <w:t>45. ______________________________</w:t>
      </w:r>
    </w:p>
    <w:p>
      <w:pPr>
        <w:spacing w:after="0"/>
        <w:ind w:left="0" w:firstLine="420"/>
        <w:jc w:val="both"/>
      </w:pPr>
      <w:r>
        <w:rPr>
          <w:sz w:val="21"/>
        </w:rPr>
        <w:t>Today many people find it difficult to trust their own opinion and seek balance by gaining objectivity from external sources. This way you devalue your opinion and show that you are incapable of managing your own life. When you are struggling to achieve something important you should believe in yourself and be sure that your decision is the best. You live in your skin, think your own thoughts, have your own values and make your own choices.</w:t>
      </w:r>
    </w:p>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Masazo Nonaka, the Japanese man holding the Guinness World Record for longest living male, turned 113 on last Wednesday. He was born in 1905, the same year Albert Einstein published his theory of relativity and Theodore Roosevelt was inaugurated for his second term as the 26th president of the United States.</w:t>
      </w:r>
    </w:p>
    <w:p>
      <w:pPr>
        <w:spacing w:after="0"/>
        <w:ind w:left="0" w:firstLine="420"/>
        <w:jc w:val="both"/>
      </w:pPr>
      <w:r>
        <w:rPr>
          <w:sz w:val="21"/>
        </w:rPr>
        <w:t>Nonaka grew up in Ashoro, a small town on the Japanese island of Hokkaido, with six brothers and one sister. He married in 1931, had five children, and ran an inn for most of his life.</w:t>
      </w:r>
    </w:p>
    <w:p>
      <w:pPr>
        <w:spacing w:after="0"/>
        <w:ind w:left="0" w:firstLine="420"/>
        <w:jc w:val="both"/>
      </w:pPr>
      <w:r>
        <w:rPr>
          <w:sz w:val="21"/>
        </w:rPr>
        <w:t>His secret to longevity? Sweets. It might not be most doctors’ suggestion, but Nonaka says he’s lived such a long life because he soaks in hot springs and eats plenty of sweets. His daughter, however, told Guinness that his long life is due to lack of stress—he lives his life on his own terms. “If he doesn’t want something, he’ll make sure everyone knows about it.”</w:t>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 have found something wrong with the food that you ordered from a restaurant. Write an email to the owner of this restaurant to</w:t>
      </w:r>
    </w:p>
    <w:p>
      <w:pPr>
        <w:spacing w:after="0"/>
        <w:ind w:left="400" w:firstLine="420"/>
        <w:jc w:val="both"/>
      </w:pPr>
      <w:r>
        <w:rPr>
          <w:sz w:val="21"/>
        </w:rPr>
        <w:t>1) make a complaint, and</w:t>
      </w:r>
    </w:p>
    <w:p>
      <w:pPr>
        <w:spacing w:after="0"/>
        <w:ind w:left="400" w:firstLine="420"/>
        <w:jc w:val="both"/>
      </w:pPr>
      <w:r>
        <w:rPr>
          <w:sz w:val="21"/>
        </w:rPr>
        <w:t>2) demand a prompt solution.</w:t>
      </w:r>
    </w:p>
    <w:p>
      <w:pPr>
        <w:spacing w:after="0"/>
        <w:ind w:left="0" w:firstLine="420"/>
        <w:jc w:val="both"/>
      </w:pPr>
      <w:r>
        <w:rPr>
          <w:sz w:val="21"/>
        </w:rPr>
        <w:t>You should write about 100 words on the ANSWER SHEET.</w:t>
      </w:r>
    </w:p>
    <w:p>
      <w:pPr>
        <w:spacing w:after="0"/>
        <w:ind w:left="0" w:firstLine="420"/>
        <w:jc w:val="both"/>
      </w:pPr>
      <w:r>
        <w:rPr>
          <w:sz w:val="21"/>
        </w:rPr>
        <w:t>Do not sign your own name at the end of the letter. Use“Li Ming”instead.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r>
        <w:br w:type="page"/>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2677614"/>
            <wp:docPr id="1" name="Picture 1"/>
            <wp:cNvGraphicFramePr>
              <a:graphicFrameLocks noChangeAspect="1"/>
            </wp:cNvGraphicFramePr>
            <a:graphic>
              <a:graphicData uri="http://schemas.openxmlformats.org/drawingml/2006/picture">
                <pic:pic>
                  <pic:nvPicPr>
                    <pic:cNvPr id="0" name="十-双线-图书馆流通.png"/>
                    <pic:cNvPicPr/>
                  </pic:nvPicPr>
                  <pic:blipFill>
                    <a:blip r:embed="rId16"/>
                    <a:stretch>
                      <a:fillRect/>
                    </a:stretch>
                  </pic:blipFill>
                  <pic:spPr>
                    <a:xfrm>
                      <a:off x="0" y="0"/>
                      <a:ext cx="4114800" cy="2677614"/>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