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1318"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Does the Evidence Support High-Dose Liposomal Amphotericin B in the Treatment of Mucormycosis?</w:t>
      </w:r>
    </w:p>
    <w:p w14:paraId="3F163C56"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Russell E. Lewis, PharmD</w:t>
      </w:r>
      <w:r w:rsidRPr="00635D78">
        <w:rPr>
          <w:rFonts w:ascii="Arial" w:hAnsi="Arial" w:cs="Arial"/>
          <w:sz w:val="24"/>
          <w:szCs w:val="24"/>
          <w:vertAlign w:val="superscript"/>
          <w:lang w:bidi="en"/>
        </w:rPr>
        <w:t>1</w:t>
      </w:r>
      <w:r w:rsidRPr="00635D78">
        <w:rPr>
          <w:rFonts w:ascii="Arial" w:hAnsi="Arial" w:cs="Arial"/>
          <w:sz w:val="24"/>
          <w:szCs w:val="24"/>
          <w:lang w:bidi="en"/>
        </w:rPr>
        <w:t xml:space="preserve">  and Dimitrios P. Kontoyiannis, MD, ScD2</w:t>
      </w:r>
      <w:r w:rsidRPr="00635D78">
        <w:rPr>
          <w:rFonts w:ascii="Arial" w:hAnsi="Arial" w:cs="Arial"/>
          <w:sz w:val="24"/>
          <w:szCs w:val="24"/>
          <w:vertAlign w:val="superscript"/>
          <w:lang w:bidi="en"/>
        </w:rPr>
        <w:t>#</w:t>
      </w:r>
    </w:p>
    <w:p w14:paraId="5315870F"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1 Department of Molecular Medicine, University of Padua, Padua Italy</w:t>
      </w:r>
    </w:p>
    <w:p w14:paraId="7BEB1FCA"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vertAlign w:val="superscript"/>
          <w:lang w:bidi="en"/>
        </w:rPr>
        <w:t xml:space="preserve">2 </w:t>
      </w:r>
      <w:r w:rsidRPr="00635D78">
        <w:rPr>
          <w:rFonts w:ascii="Arial" w:hAnsi="Arial" w:cs="Arial"/>
          <w:sz w:val="24"/>
          <w:szCs w:val="24"/>
          <w:lang w:bidi="en"/>
        </w:rPr>
        <w:t>Department of Infectious Diseases, Infection Control, and Employee Health, The University of Texas MD Anderson Cancer Center, Houston, Texas, USA</w:t>
      </w:r>
    </w:p>
    <w:p w14:paraId="062F8451" w14:textId="77777777" w:rsidR="00635D78" w:rsidRPr="00635D78" w:rsidRDefault="00635D78" w:rsidP="00635D78">
      <w:pPr>
        <w:pStyle w:val="Body0"/>
        <w:rPr>
          <w:rFonts w:ascii="Arial" w:hAnsi="Arial" w:cs="Arial"/>
          <w:sz w:val="24"/>
          <w:szCs w:val="24"/>
        </w:rPr>
      </w:pPr>
    </w:p>
    <w:p w14:paraId="67F3DBAF"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 Corresponding author</w:t>
      </w:r>
    </w:p>
    <w:p w14:paraId="113FB4A0"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Dimitrios P. Kontoyiannis, MD, ScD, Division of Internal Medicine, Department of Infectious Diseases, Infection Control and Employee Health, University of Texas MD Anderson Cancer Center, 1515 Holcombe Blvd, Unit 1460, Houston, TX 77030, USA. </w:t>
      </w:r>
    </w:p>
    <w:p w14:paraId="54010EC1"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Email:dkontoyi@mdanderson.org</w:t>
      </w:r>
    </w:p>
    <w:p w14:paraId="1E8B469E" w14:textId="77777777" w:rsidR="00640B29" w:rsidRPr="00117048" w:rsidRDefault="00640B29">
      <w:pPr>
        <w:pStyle w:val="Body0"/>
        <w:rPr>
          <w:rFonts w:ascii="Arial" w:hAnsi="Arial" w:cs="Arial"/>
          <w:sz w:val="24"/>
          <w:szCs w:val="24"/>
        </w:rPr>
      </w:pPr>
    </w:p>
    <w:p w14:paraId="6020EF51" w14:textId="77777777" w:rsidR="00640B29" w:rsidRPr="00117048" w:rsidRDefault="00640B29">
      <w:pPr>
        <w:pStyle w:val="Body0"/>
        <w:rPr>
          <w:rFonts w:ascii="Arial" w:hAnsi="Arial" w:cs="Arial"/>
          <w:sz w:val="24"/>
          <w:szCs w:val="24"/>
        </w:rPr>
      </w:pPr>
    </w:p>
    <w:p w14:paraId="6A89E10C" w14:textId="77777777" w:rsidR="00640B29" w:rsidRPr="00117048" w:rsidRDefault="00640B29">
      <w:pPr>
        <w:pStyle w:val="Body0"/>
        <w:rPr>
          <w:rFonts w:ascii="Arial" w:hAnsi="Arial" w:cs="Arial"/>
          <w:sz w:val="24"/>
          <w:szCs w:val="24"/>
        </w:rPr>
      </w:pPr>
    </w:p>
    <w:p w14:paraId="468B7568" w14:textId="77777777" w:rsidR="00640B29" w:rsidRPr="00117048" w:rsidRDefault="00640B29">
      <w:pPr>
        <w:pStyle w:val="Body0"/>
        <w:rPr>
          <w:rFonts w:ascii="Arial" w:hAnsi="Arial" w:cs="Arial"/>
          <w:sz w:val="24"/>
          <w:szCs w:val="24"/>
        </w:rPr>
      </w:pPr>
    </w:p>
    <w:p w14:paraId="6F23EDC5" w14:textId="77777777" w:rsidR="00640B29" w:rsidRPr="00117048" w:rsidRDefault="00640B29">
      <w:pPr>
        <w:pStyle w:val="Body0"/>
        <w:rPr>
          <w:rFonts w:ascii="Arial" w:hAnsi="Arial" w:cs="Arial"/>
          <w:sz w:val="24"/>
          <w:szCs w:val="24"/>
        </w:rPr>
      </w:pPr>
    </w:p>
    <w:p w14:paraId="50659A59" w14:textId="77777777" w:rsidR="00640B29" w:rsidRPr="00117048" w:rsidRDefault="00117048">
      <w:pPr>
        <w:pStyle w:val="Body0"/>
        <w:rPr>
          <w:rFonts w:ascii="Arial" w:hAnsi="Arial" w:cs="Arial"/>
          <w:sz w:val="24"/>
          <w:szCs w:val="24"/>
        </w:rPr>
      </w:pPr>
      <w:r w:rsidRPr="00117048">
        <w:rPr>
          <w:rFonts w:ascii="Arial" w:hAnsi="Arial" w:cs="Arial"/>
          <w:sz w:val="24"/>
          <w:szCs w:val="24"/>
        </w:rPr>
        <w:br w:type="page"/>
      </w:r>
      <w:r w:rsidRPr="00117048">
        <w:rPr>
          <w:rFonts w:ascii="Arial" w:hAnsi="Arial" w:cs="Arial"/>
          <w:b/>
          <w:bCs/>
          <w:sz w:val="24"/>
          <w:szCs w:val="24"/>
          <w:lang w:val="en" w:eastAsia="en" w:bidi="en"/>
        </w:rPr>
        <w:lastRenderedPageBreak/>
        <w:t>ABSTRACT</w:t>
      </w:r>
    </w:p>
    <w:p w14:paraId="7934FA49"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Introduction:</w:t>
      </w:r>
      <w:r w:rsidRPr="00635D78">
        <w:rPr>
          <w:rFonts w:ascii="Arial" w:hAnsi="Arial" w:cs="Arial"/>
          <w:sz w:val="24"/>
          <w:szCs w:val="24"/>
          <w:lang w:bidi="en"/>
        </w:rPr>
        <w:t xml:space="preserve"> Current guidelines recommend liposomal amphotericin B (L-AMB) as first-line therapy for mucormycosis with a broad dosing range of 5-10 mg/kg/day, but uncertainty persists regarding whether higher doses improve outcomes given the increased nephrotoxicity and cost associated with dose escalation. Moreover, preclinical studies suggest delivery to some tissue may be enhanced with a high-dose induction followed by lower-dose maintenance strategy versus continued daily high doses.</w:t>
      </w:r>
      <w:r w:rsidRPr="00635D78">
        <w:rPr>
          <w:rFonts w:ascii="Arial" w:hAnsi="Arial" w:cs="Arial"/>
          <w:b/>
          <w:bCs/>
          <w:sz w:val="24"/>
          <w:szCs w:val="24"/>
          <w:lang w:bidi="en"/>
        </w:rPr>
        <w:br/>
        <w:t>Areas covered</w:t>
      </w:r>
      <w:r w:rsidRPr="00635D78">
        <w:rPr>
          <w:rFonts w:ascii="Arial" w:hAnsi="Arial" w:cs="Arial"/>
          <w:sz w:val="24"/>
          <w:szCs w:val="24"/>
          <w:lang w:bidi="en"/>
        </w:rPr>
        <w:t xml:space="preserve">: We examined the preclinical evidence of concentration-dependent pharmacodynamics of AMB, animal model studies demonstrating dose-response relationships, and non-linear pharmacokinetics observed in humans, where plasma drug concentrations plateau at 10 mg/kg/day and paradoxically decline at higher doses. We summarize findings from a prospective pilot trial and recent observational studies comparing standard-dose (5-6 mg/kg/day) versus high-dose (≥6 mg/kg/day) L-AMB regimens. </w:t>
      </w:r>
    </w:p>
    <w:p w14:paraId="0072CB91" w14:textId="307F3C7C"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Expert opinion:</w:t>
      </w:r>
      <w:r w:rsidRPr="00635D78">
        <w:rPr>
          <w:rFonts w:ascii="Arial" w:hAnsi="Arial" w:cs="Arial"/>
          <w:sz w:val="24"/>
          <w:szCs w:val="24"/>
          <w:lang w:bidi="en"/>
        </w:rPr>
        <w:t xml:space="preserve"> Despite clear dose-response relationships in animal models, observational studies have failed to demonstrate a clear survival benefit with doses &gt; 5-6 mg/kg/day at increased risk of nephrotoxicity. Clinicians should prioritize standard dosing, considering escalation for specific scenarios where higher doses may be more important (e.g., CNS involvement, infection with </w:t>
      </w:r>
      <w:r w:rsidRPr="00635D78">
        <w:rPr>
          <w:rFonts w:ascii="Arial" w:hAnsi="Arial" w:cs="Arial"/>
          <w:i/>
          <w:iCs/>
          <w:sz w:val="24"/>
          <w:szCs w:val="24"/>
          <w:lang w:bidi="en"/>
        </w:rPr>
        <w:t>Cunninghamella bertholletiae</w:t>
      </w:r>
      <w:r w:rsidRPr="00635D78">
        <w:rPr>
          <w:rFonts w:ascii="Arial" w:hAnsi="Arial" w:cs="Arial"/>
          <w:sz w:val="24"/>
          <w:szCs w:val="24"/>
          <w:lang w:bidi="en"/>
        </w:rPr>
        <w:t>). Future research should focus on identifying patient subgroups with suboptimal L-AMB exposure, novel combination regimens, rather than empiric L-AMB dose escalation. Early diagnosis, surgical debridement and immune recovery appear to be more important for survival than L-AMB dosing intensity.</w:t>
      </w:r>
    </w:p>
    <w:p w14:paraId="21FBC17D" w14:textId="77777777" w:rsidR="00640B29" w:rsidRPr="00117048" w:rsidRDefault="00640B29">
      <w:pPr>
        <w:pStyle w:val="Body0"/>
        <w:rPr>
          <w:rFonts w:ascii="Arial" w:hAnsi="Arial" w:cs="Arial"/>
          <w:sz w:val="24"/>
          <w:szCs w:val="24"/>
        </w:rPr>
      </w:pPr>
    </w:p>
    <w:p w14:paraId="5C14D111"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lastRenderedPageBreak/>
        <w:t>Keywords:</w:t>
      </w:r>
      <w:r w:rsidRPr="00635D78">
        <w:rPr>
          <w:rFonts w:ascii="Arial" w:hAnsi="Arial" w:cs="Arial"/>
          <w:sz w:val="24"/>
          <w:szCs w:val="24"/>
          <w:lang w:bidi="en"/>
        </w:rPr>
        <w:t xml:space="preserve"> Liposomal amphotericin B; mucormycosis; high-dose; pharmacokinetics; nephrotoxicity; antifungal therapy; invasive fungal infection; dose optimization.</w:t>
      </w:r>
    </w:p>
    <w:p w14:paraId="77561314" w14:textId="77777777" w:rsidR="00635D78" w:rsidRPr="00635D78" w:rsidRDefault="00117048" w:rsidP="00635D78">
      <w:pPr>
        <w:pStyle w:val="Body0"/>
        <w:rPr>
          <w:rFonts w:ascii="Arial" w:hAnsi="Arial" w:cs="Arial"/>
          <w:sz w:val="24"/>
          <w:szCs w:val="24"/>
        </w:rPr>
      </w:pPr>
      <w:r w:rsidRPr="00117048">
        <w:rPr>
          <w:rFonts w:ascii="Arial" w:hAnsi="Arial" w:cs="Arial"/>
          <w:sz w:val="24"/>
          <w:szCs w:val="24"/>
        </w:rPr>
        <w:br w:type="page"/>
      </w:r>
      <w:r w:rsidR="00635D78" w:rsidRPr="00635D78">
        <w:rPr>
          <w:rFonts w:ascii="Arial" w:hAnsi="Arial" w:cs="Arial"/>
          <w:b/>
          <w:bCs/>
          <w:sz w:val="24"/>
          <w:szCs w:val="24"/>
          <w:lang w:bidi="en"/>
        </w:rPr>
        <w:lastRenderedPageBreak/>
        <w:t>Article highlights:</w:t>
      </w:r>
    </w:p>
    <w:p w14:paraId="3C26D0E4"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Despite clear dose-response relationships in animal models, observational studies and the Ambizygo pilot trial show no survival advantage with L-AMB doses exceeding 5-6 mg/kg/day, while nephrotoxicity (creatinine doubling in ~40% of patients) increases significantly with dose escalation.</w:t>
      </w:r>
    </w:p>
    <w:p w14:paraId="38288096"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Plasma AUC and Cmax plateau at 10 mg/kg/day and paradoxically decline at higher doses, suggesting saturable distribution pathways—meaning higher doses may not deliver more biologically active drug to target tissues like lungs, sinuses, or brain.</w:t>
      </w:r>
    </w:p>
    <w:p w14:paraId="04D9D875"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Characterizing L-AMB pharmacokinetic-pharmacodynamic relationships in mucormycosis is challenging because tissue-specific liposomal uptake and drug release kinetics—both influenced by local infectious burden and microenvironmental factors—determine microbiologically-active tissue concentrations in ways that cannot be inferred from serum measurements.</w:t>
      </w:r>
    </w:p>
    <w:p w14:paraId="3451AB70"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Clinicians should use L-AMB 5-6 mg/kg/day as the initial dose for most patients, reserving escalation only for specific scenarios (CNS or bone involvement, suspected suboptimal exposure) where close renal monitoring is feasible.</w:t>
      </w:r>
    </w:p>
    <w:p w14:paraId="3C2AC499"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Prospective PK studies with tissue sampling, identification of patient subgroups with suboptimal exposure, and evaluation of novel combination regimens or induction-maintenance strategies warrant further investigation rather than empiric dose escalation.</w:t>
      </w:r>
    </w:p>
    <w:p w14:paraId="4FC50469" w14:textId="77777777" w:rsidR="00635D78" w:rsidRPr="00635D78" w:rsidRDefault="00635D78" w:rsidP="00635D78">
      <w:pPr>
        <w:pStyle w:val="Body0"/>
        <w:numPr>
          <w:ilvl w:val="0"/>
          <w:numId w:val="1"/>
        </w:numPr>
        <w:rPr>
          <w:rFonts w:ascii="Arial" w:hAnsi="Arial" w:cs="Arial"/>
          <w:sz w:val="24"/>
          <w:szCs w:val="24"/>
        </w:rPr>
      </w:pPr>
      <w:r w:rsidRPr="00635D78">
        <w:rPr>
          <w:rFonts w:ascii="Arial" w:hAnsi="Arial" w:cs="Arial"/>
          <w:sz w:val="24"/>
          <w:szCs w:val="24"/>
          <w:lang w:bidi="en"/>
        </w:rPr>
        <w:t>Research should move toward exposure-guided dosing strategies, novel combinations (isavuconazole, ibrexafungerp, manogepix), and host-directed therapies rather than simple dose-response paradigms.</w:t>
      </w:r>
    </w:p>
    <w:p w14:paraId="47B2538D"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rPr>
        <w:br w:type="page"/>
      </w:r>
      <w:r w:rsidRPr="00635D78">
        <w:rPr>
          <w:rFonts w:ascii="Arial" w:hAnsi="Arial" w:cs="Arial"/>
          <w:b/>
          <w:bCs/>
          <w:sz w:val="24"/>
          <w:szCs w:val="24"/>
          <w:lang w:bidi="en"/>
        </w:rPr>
        <w:lastRenderedPageBreak/>
        <w:t>1. Introduction</w:t>
      </w:r>
    </w:p>
    <w:p w14:paraId="1F3C1D0B"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Invasive mucormycosis, caused primarily by </w:t>
      </w:r>
      <w:r w:rsidRPr="00635D78">
        <w:rPr>
          <w:rFonts w:ascii="Arial" w:hAnsi="Arial" w:cs="Arial"/>
          <w:i/>
          <w:iCs/>
          <w:sz w:val="24"/>
          <w:szCs w:val="24"/>
          <w:lang w:bidi="en"/>
        </w:rPr>
        <w:t>Rhizopus, Mucor</w:t>
      </w:r>
      <w:r w:rsidRPr="00635D78">
        <w:rPr>
          <w:rFonts w:ascii="Arial" w:hAnsi="Arial" w:cs="Arial"/>
          <w:sz w:val="24"/>
          <w:szCs w:val="24"/>
          <w:lang w:bidi="en"/>
        </w:rPr>
        <w:t xml:space="preserve">, and </w:t>
      </w:r>
      <w:r w:rsidRPr="00635D78">
        <w:rPr>
          <w:rFonts w:ascii="Arial" w:hAnsi="Arial" w:cs="Arial"/>
          <w:i/>
          <w:iCs/>
          <w:sz w:val="24"/>
          <w:szCs w:val="24"/>
          <w:lang w:bidi="en"/>
        </w:rPr>
        <w:t>Lichtheimia</w:t>
      </w:r>
      <w:r w:rsidRPr="00635D78">
        <w:rPr>
          <w:rFonts w:ascii="Arial" w:hAnsi="Arial" w:cs="Arial"/>
          <w:sz w:val="24"/>
          <w:szCs w:val="24"/>
          <w:lang w:bidi="en"/>
        </w:rPr>
        <w:t xml:space="preserve"> species of the order Mucorales, is a life-threatening fungal infection that has increased in incidence over the past two decades, predominantly affecting immunocompromised patients with hematologic malignancies, solid organ or hematopoietic cell transplantation, and poorly controlled diabetes mellitus </w:t>
      </w:r>
      <w:r w:rsidRPr="00635D78">
        <w:rPr>
          <w:rFonts w:ascii="Arial" w:hAnsi="Arial" w:cs="Arial"/>
          <w:sz w:val="24"/>
          <w:szCs w:val="24"/>
        </w:rPr>
        <w:fldChar w:fldCharType="begin"/>
      </w:r>
      <w:r w:rsidRPr="00635D78">
        <w:rPr>
          <w:rFonts w:ascii="Arial" w:hAnsi="Arial" w:cs="Arial"/>
          <w:sz w:val="24"/>
          <w:szCs w:val="24"/>
        </w:rPr>
        <w:instrText>ADDIN BEC{Skiada et al., 2025 #15919}</w:instrText>
      </w:r>
      <w:r w:rsidRPr="00635D78">
        <w:rPr>
          <w:rFonts w:ascii="Arial" w:hAnsi="Arial" w:cs="Arial"/>
          <w:sz w:val="24"/>
          <w:szCs w:val="24"/>
        </w:rPr>
        <w:fldChar w:fldCharType="separate"/>
      </w:r>
      <w:r w:rsidRPr="00635D78">
        <w:rPr>
          <w:rFonts w:ascii="Arial" w:hAnsi="Arial" w:cs="Arial"/>
          <w:sz w:val="24"/>
          <w:szCs w:val="24"/>
          <w:lang w:bidi="en"/>
        </w:rPr>
        <w:t>[1]</w:t>
      </w:r>
      <w:r w:rsidRPr="00635D78">
        <w:rPr>
          <w:rFonts w:ascii="Arial" w:hAnsi="Arial" w:cs="Arial"/>
          <w:sz w:val="24"/>
          <w:szCs w:val="24"/>
        </w:rPr>
        <w:fldChar w:fldCharType="end"/>
      </w:r>
      <w:r w:rsidRPr="00635D78">
        <w:rPr>
          <w:rFonts w:ascii="Arial" w:hAnsi="Arial" w:cs="Arial"/>
          <w:sz w:val="24"/>
          <w:szCs w:val="24"/>
          <w:lang w:bidi="en"/>
        </w:rPr>
        <w:t xml:space="preserve">. Characterized by aggressive angioinvasion and tissue necrosis, mucormycosis carries mortality rates of 40-80% depending on infection site, diagnostic and treatment delays, feasibility of surgical debridement, and host immune recovery </w:t>
      </w:r>
      <w:r w:rsidRPr="00635D78">
        <w:rPr>
          <w:rFonts w:ascii="Arial" w:hAnsi="Arial" w:cs="Arial"/>
          <w:sz w:val="24"/>
          <w:szCs w:val="24"/>
        </w:rPr>
        <w:fldChar w:fldCharType="begin"/>
      </w:r>
      <w:r w:rsidRPr="00635D78">
        <w:rPr>
          <w:rFonts w:ascii="Arial" w:hAnsi="Arial" w:cs="Arial"/>
          <w:sz w:val="24"/>
          <w:szCs w:val="24"/>
        </w:rPr>
        <w:instrText>ADDIN BEC{Sigera and Denning, 2023 #291844;Jeong et al., 2019 #69553}</w:instrText>
      </w:r>
      <w:r w:rsidRPr="00635D78">
        <w:rPr>
          <w:rFonts w:ascii="Arial" w:hAnsi="Arial" w:cs="Arial"/>
          <w:sz w:val="24"/>
          <w:szCs w:val="24"/>
        </w:rPr>
        <w:fldChar w:fldCharType="separate"/>
      </w:r>
      <w:r w:rsidRPr="00635D78">
        <w:rPr>
          <w:rFonts w:ascii="Arial" w:hAnsi="Arial" w:cs="Arial"/>
          <w:sz w:val="24"/>
          <w:szCs w:val="24"/>
          <w:lang w:bidi="en"/>
        </w:rPr>
        <w:t>[2,3]</w:t>
      </w:r>
      <w:r w:rsidRPr="00635D78">
        <w:rPr>
          <w:rFonts w:ascii="Arial" w:hAnsi="Arial" w:cs="Arial"/>
          <w:sz w:val="24"/>
          <w:szCs w:val="24"/>
        </w:rPr>
        <w:fldChar w:fldCharType="end"/>
      </w:r>
      <w:r w:rsidRPr="00635D78">
        <w:rPr>
          <w:rFonts w:ascii="Arial" w:hAnsi="Arial" w:cs="Arial"/>
          <w:sz w:val="24"/>
          <w:szCs w:val="24"/>
          <w:lang w:bidi="en"/>
        </w:rPr>
        <w:t xml:space="preserve">. Current guidelines recommend initial therapy with intravenous liposomal amphotericin B (L-AMB) until clinical stabilization, followed by step-down to posaconazole or isavuconazole </w:t>
      </w:r>
      <w:r w:rsidRPr="00635D78">
        <w:rPr>
          <w:rFonts w:ascii="Arial" w:hAnsi="Arial" w:cs="Arial"/>
          <w:sz w:val="24"/>
          <w:szCs w:val="24"/>
        </w:rPr>
        <w:fldChar w:fldCharType="begin"/>
      </w:r>
      <w:r w:rsidRPr="00635D78">
        <w:rPr>
          <w:rFonts w:ascii="Arial" w:hAnsi="Arial" w:cs="Arial"/>
          <w:sz w:val="24"/>
          <w:szCs w:val="24"/>
        </w:rPr>
        <w:instrText>ADDIN BEC{Skiada et al., 2013 #86325;Cornely et al., 2019 #122096}</w:instrText>
      </w:r>
      <w:r w:rsidRPr="00635D78">
        <w:rPr>
          <w:rFonts w:ascii="Arial" w:hAnsi="Arial" w:cs="Arial"/>
          <w:sz w:val="24"/>
          <w:szCs w:val="24"/>
        </w:rPr>
        <w:fldChar w:fldCharType="separate"/>
      </w:r>
      <w:r w:rsidRPr="00635D78">
        <w:rPr>
          <w:rFonts w:ascii="Arial" w:hAnsi="Arial" w:cs="Arial"/>
          <w:sz w:val="24"/>
          <w:szCs w:val="24"/>
          <w:lang w:bidi="en"/>
        </w:rPr>
        <w:t>[4,5]</w:t>
      </w:r>
      <w:r w:rsidRPr="00635D78">
        <w:rPr>
          <w:rFonts w:ascii="Arial" w:hAnsi="Arial" w:cs="Arial"/>
          <w:sz w:val="24"/>
          <w:szCs w:val="24"/>
        </w:rPr>
        <w:fldChar w:fldCharType="end"/>
      </w:r>
      <w:r w:rsidRPr="00635D78">
        <w:rPr>
          <w:rFonts w:ascii="Arial" w:hAnsi="Arial" w:cs="Arial"/>
          <w:sz w:val="24"/>
          <w:szCs w:val="24"/>
          <w:lang w:bidi="en"/>
        </w:rPr>
        <w:t>.</w:t>
      </w:r>
    </w:p>
    <w:p w14:paraId="6032FA26"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Due to the aggressiveness of the infection, higher L-AMB doses (&gt;5-6 mg/kg/day) are frequently recommended during the acute treatment phase of infection to rapidly load infected tissue to limit fungal invasion and dissemination </w:t>
      </w:r>
      <w:r w:rsidRPr="00635D78">
        <w:rPr>
          <w:rFonts w:ascii="Arial" w:hAnsi="Arial" w:cs="Arial"/>
          <w:sz w:val="24"/>
          <w:szCs w:val="24"/>
        </w:rPr>
        <w:fldChar w:fldCharType="begin"/>
      </w:r>
      <w:r w:rsidRPr="00635D78">
        <w:rPr>
          <w:rFonts w:ascii="Arial" w:hAnsi="Arial" w:cs="Arial"/>
          <w:sz w:val="24"/>
          <w:szCs w:val="24"/>
        </w:rPr>
        <w:instrText>ADDIN BEC{Kontoyiannis and Lewis, 2011 #86634}</w:instrText>
      </w:r>
      <w:r w:rsidRPr="00635D78">
        <w:rPr>
          <w:rFonts w:ascii="Arial" w:hAnsi="Arial" w:cs="Arial"/>
          <w:sz w:val="24"/>
          <w:szCs w:val="24"/>
        </w:rPr>
        <w:fldChar w:fldCharType="separate"/>
      </w:r>
      <w:r w:rsidRPr="00635D78">
        <w:rPr>
          <w:rFonts w:ascii="Arial" w:hAnsi="Arial" w:cs="Arial"/>
          <w:sz w:val="24"/>
          <w:szCs w:val="24"/>
          <w:lang w:bidi="en"/>
        </w:rPr>
        <w:t>[6]</w:t>
      </w:r>
      <w:r w:rsidRPr="00635D78">
        <w:rPr>
          <w:rFonts w:ascii="Arial" w:hAnsi="Arial" w:cs="Arial"/>
          <w:sz w:val="24"/>
          <w:szCs w:val="24"/>
        </w:rPr>
        <w:fldChar w:fldCharType="end"/>
      </w:r>
      <w:r w:rsidRPr="00635D78">
        <w:rPr>
          <w:rFonts w:ascii="Arial" w:hAnsi="Arial" w:cs="Arial"/>
          <w:sz w:val="24"/>
          <w:szCs w:val="24"/>
          <w:lang w:bidi="en"/>
        </w:rPr>
        <w:t xml:space="preserve">. While experimental animal models demonstrate a clear dose-response relationship for L-AMB </w:t>
      </w:r>
      <w:r w:rsidRPr="00635D78">
        <w:rPr>
          <w:rFonts w:ascii="Arial" w:hAnsi="Arial" w:cs="Arial"/>
          <w:sz w:val="24"/>
          <w:szCs w:val="24"/>
        </w:rPr>
        <w:fldChar w:fldCharType="begin"/>
      </w:r>
      <w:r w:rsidRPr="00635D78">
        <w:rPr>
          <w:rFonts w:ascii="Arial" w:hAnsi="Arial" w:cs="Arial"/>
          <w:sz w:val="24"/>
          <w:szCs w:val="24"/>
        </w:rPr>
        <w:instrText>ADDIN BEC{Lewis et al., 2010 #19655}</w:instrText>
      </w:r>
      <w:r w:rsidRPr="00635D78">
        <w:rPr>
          <w:rFonts w:ascii="Arial" w:hAnsi="Arial" w:cs="Arial"/>
          <w:sz w:val="24"/>
          <w:szCs w:val="24"/>
        </w:rPr>
        <w:fldChar w:fldCharType="separate"/>
      </w:r>
      <w:r w:rsidRPr="00635D78">
        <w:rPr>
          <w:rFonts w:ascii="Arial" w:hAnsi="Arial" w:cs="Arial"/>
          <w:sz w:val="24"/>
          <w:szCs w:val="24"/>
          <w:lang w:bidi="en"/>
        </w:rPr>
        <w:t>[7]</w:t>
      </w:r>
      <w:r w:rsidRPr="00635D78">
        <w:rPr>
          <w:rFonts w:ascii="Arial" w:hAnsi="Arial" w:cs="Arial"/>
          <w:sz w:val="24"/>
          <w:szCs w:val="24"/>
        </w:rPr>
        <w:fldChar w:fldCharType="end"/>
      </w:r>
      <w:r w:rsidRPr="00635D78">
        <w:rPr>
          <w:rFonts w:ascii="Arial" w:hAnsi="Arial" w:cs="Arial"/>
          <w:sz w:val="24"/>
          <w:szCs w:val="24"/>
          <w:lang w:bidi="en"/>
        </w:rPr>
        <w:t xml:space="preserve">, prospective trials and observational studies </w:t>
      </w:r>
      <w:r w:rsidRPr="00635D78">
        <w:rPr>
          <w:rFonts w:ascii="Arial" w:hAnsi="Arial" w:cs="Arial"/>
          <w:sz w:val="24"/>
          <w:szCs w:val="24"/>
        </w:rPr>
        <w:fldChar w:fldCharType="begin"/>
      </w:r>
      <w:r w:rsidRPr="00635D78">
        <w:rPr>
          <w:rFonts w:ascii="Arial" w:hAnsi="Arial" w:cs="Arial"/>
          <w:sz w:val="24"/>
          <w:szCs w:val="24"/>
        </w:rPr>
        <w:instrText>ADDIN BEC{Lanternier et al., 2015 #10205;Spellberg et al., 2012 #96698;Tashiro et al., 2023 #222766}</w:instrText>
      </w:r>
      <w:r w:rsidRPr="00635D78">
        <w:rPr>
          <w:rFonts w:ascii="Arial" w:hAnsi="Arial" w:cs="Arial"/>
          <w:sz w:val="24"/>
          <w:szCs w:val="24"/>
        </w:rPr>
        <w:fldChar w:fldCharType="separate"/>
      </w:r>
      <w:r w:rsidRPr="00635D78">
        <w:rPr>
          <w:rFonts w:ascii="Arial" w:hAnsi="Arial" w:cs="Arial"/>
          <w:sz w:val="24"/>
          <w:szCs w:val="24"/>
          <w:lang w:bidi="en"/>
        </w:rPr>
        <w:t>[8–10]</w:t>
      </w:r>
      <w:r w:rsidRPr="00635D78">
        <w:rPr>
          <w:rFonts w:ascii="Arial" w:hAnsi="Arial" w:cs="Arial"/>
          <w:sz w:val="24"/>
          <w:szCs w:val="24"/>
        </w:rPr>
        <w:fldChar w:fldCharType="end"/>
      </w:r>
      <w:r w:rsidRPr="00635D78">
        <w:rPr>
          <w:rFonts w:ascii="Arial" w:hAnsi="Arial" w:cs="Arial"/>
          <w:sz w:val="24"/>
          <w:szCs w:val="24"/>
          <w:lang w:bidi="en"/>
        </w:rPr>
        <w:t xml:space="preserve"> have not shown improved outcomes with higher L-AMB dosing. Yet current guidelines for management of mucormycosis recommend a broad initial dosing range for liposomal amphotericin B of 5-10 mg/kg/day with avoidance of slow de-escalation of the dose </w:t>
      </w:r>
      <w:r w:rsidRPr="00635D78">
        <w:rPr>
          <w:rFonts w:ascii="Arial" w:hAnsi="Arial" w:cs="Arial"/>
          <w:sz w:val="24"/>
          <w:szCs w:val="24"/>
        </w:rPr>
        <w:fldChar w:fldCharType="begin"/>
      </w:r>
      <w:r w:rsidRPr="00635D78">
        <w:rPr>
          <w:rFonts w:ascii="Arial" w:hAnsi="Arial" w:cs="Arial"/>
          <w:sz w:val="24"/>
          <w:szCs w:val="24"/>
        </w:rPr>
        <w:instrText>ADDIN BEC{Cornely et al., 2019 #122096}</w:instrText>
      </w:r>
      <w:r w:rsidRPr="00635D78">
        <w:rPr>
          <w:rFonts w:ascii="Arial" w:hAnsi="Arial" w:cs="Arial"/>
          <w:sz w:val="24"/>
          <w:szCs w:val="24"/>
        </w:rPr>
        <w:fldChar w:fldCharType="separate"/>
      </w:r>
      <w:r w:rsidRPr="00635D78">
        <w:rPr>
          <w:rFonts w:ascii="Arial" w:hAnsi="Arial" w:cs="Arial"/>
          <w:sz w:val="24"/>
          <w:szCs w:val="24"/>
          <w:lang w:bidi="en"/>
        </w:rPr>
        <w:t>[5]</w:t>
      </w:r>
      <w:r w:rsidRPr="00635D78">
        <w:rPr>
          <w:rFonts w:ascii="Arial" w:hAnsi="Arial" w:cs="Arial"/>
          <w:sz w:val="24"/>
          <w:szCs w:val="24"/>
        </w:rPr>
        <w:fldChar w:fldCharType="end"/>
      </w:r>
      <w:r w:rsidRPr="00635D78">
        <w:rPr>
          <w:rFonts w:ascii="Arial" w:hAnsi="Arial" w:cs="Arial"/>
          <w:sz w:val="24"/>
          <w:szCs w:val="24"/>
          <w:lang w:bidi="en"/>
        </w:rPr>
        <w:t>.</w:t>
      </w:r>
    </w:p>
    <w:p w14:paraId="1EB364C4"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Uncertainty regarding the optimal dosing of L-AMB is clinically important as higher doses often carry increased risks of nephrotoxicity and higher drug costs </w:t>
      </w:r>
      <w:r w:rsidRPr="00635D78">
        <w:rPr>
          <w:rFonts w:ascii="Arial" w:hAnsi="Arial" w:cs="Arial"/>
          <w:sz w:val="24"/>
          <w:szCs w:val="24"/>
        </w:rPr>
        <w:fldChar w:fldCharType="begin"/>
      </w:r>
      <w:r w:rsidRPr="00635D78">
        <w:rPr>
          <w:rFonts w:ascii="Arial" w:hAnsi="Arial" w:cs="Arial"/>
          <w:sz w:val="24"/>
          <w:szCs w:val="24"/>
        </w:rPr>
        <w:instrText>ADDIN BEC{Jeong et al., 2019 #69553}</w:instrText>
      </w:r>
      <w:r w:rsidRPr="00635D78">
        <w:rPr>
          <w:rFonts w:ascii="Arial" w:hAnsi="Arial" w:cs="Arial"/>
          <w:sz w:val="24"/>
          <w:szCs w:val="24"/>
        </w:rPr>
        <w:fldChar w:fldCharType="separate"/>
      </w:r>
      <w:r w:rsidRPr="00635D78">
        <w:rPr>
          <w:rFonts w:ascii="Arial" w:hAnsi="Arial" w:cs="Arial"/>
          <w:sz w:val="24"/>
          <w:szCs w:val="24"/>
          <w:lang w:bidi="en"/>
        </w:rPr>
        <w:t>[3]</w:t>
      </w:r>
      <w:r w:rsidRPr="00635D78">
        <w:rPr>
          <w:rFonts w:ascii="Arial" w:hAnsi="Arial" w:cs="Arial"/>
          <w:sz w:val="24"/>
          <w:szCs w:val="24"/>
        </w:rPr>
        <w:fldChar w:fldCharType="end"/>
      </w:r>
      <w:r w:rsidRPr="00635D78">
        <w:rPr>
          <w:rFonts w:ascii="Arial" w:hAnsi="Arial" w:cs="Arial"/>
          <w:sz w:val="24"/>
          <w:szCs w:val="24"/>
          <w:lang w:bidi="en"/>
        </w:rPr>
        <w:t xml:space="preserve">. In this review, we critically evaluate the pharmacokinetic, preclinical, and clinical evidence supporting dose escalation, examine patient-specific factors that may influence the benefit-risk ratio of high-dose L-AMB therapy for mucormycosis, and provide </w:t>
      </w:r>
      <w:r w:rsidRPr="00635D78">
        <w:rPr>
          <w:rFonts w:ascii="Arial" w:hAnsi="Arial" w:cs="Arial"/>
          <w:sz w:val="24"/>
          <w:szCs w:val="24"/>
          <w:lang w:bidi="en"/>
        </w:rPr>
        <w:lastRenderedPageBreak/>
        <w:t>practical recommendations for individualizing dosing of this essential antifungal medication. For the purposes of this review, we define “standard-dose” L-AMB as 5-6 mg/kg/day (the minimum recommended dose in current guidelines and listed in package labeling) and “high-dose” as &gt;6 mg/kg/day. Where specific studies used different thresholds (e.g., ≥7 mg/kg/day or 10 mg/kg/day), we explicitly state the threshold used in that study.</w:t>
      </w:r>
    </w:p>
    <w:p w14:paraId="632D6853" w14:textId="77777777" w:rsidR="00635D78" w:rsidRPr="00635D78" w:rsidRDefault="00635D78" w:rsidP="00635D78">
      <w:pPr>
        <w:pStyle w:val="Body0"/>
        <w:rPr>
          <w:rFonts w:ascii="Arial" w:hAnsi="Arial" w:cs="Arial"/>
          <w:sz w:val="24"/>
          <w:szCs w:val="24"/>
        </w:rPr>
      </w:pPr>
    </w:p>
    <w:p w14:paraId="60083009"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2. Methods</w:t>
      </w:r>
    </w:p>
    <w:p w14:paraId="3527BB16"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This narrative review synthesizes evidence from PubMed/MEDLINE searches using terms including 'liposomal amphotericin B,' 'mucormycosis,' 'dose,' 'pharmacokinetics,' and 'pharmacodynamics,' supplemented by reference mining and expert knowledge of the field. We prioritized: (1) prospective clinical trials; (2) large retrospective cohorts with multivariate adjustment; (3) pharmacokinetic/pharmacodynamic studies in humans; and (4) animal model studies directly comparing L-AMB dose-response relationships. This is a narrative rather than systematic review; therefore, study selection was not protocol-driven but aimed to provide comprehensive coverage of the relevant evidence base.</w:t>
      </w:r>
    </w:p>
    <w:p w14:paraId="50411175"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3. Pharmacodynamics of liposomal amphotericin B</w:t>
      </w:r>
    </w:p>
    <w:p w14:paraId="6B47A6DE"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Amphotericin B (AMB) is a polyene macrolide antifungal agent with broad-spectrum activity against most clinically relevant fungi. Its amphiphilic structure renders it insoluble in body fluids at a neutral pH. The primary mechanism of antifungal action has long thought to involve binding to ergosterol in fungal cell membranes, forming transmembrane channels that disrupt membrane integrity and cause lethal ion leakage, particularly of potassium. However, more recent studies using solid-state NMR suggest amphotericin B forms extramembrane aggregates or “sponges” that </w:t>
      </w:r>
      <w:r w:rsidRPr="00635D78">
        <w:rPr>
          <w:rFonts w:ascii="Arial" w:hAnsi="Arial" w:cs="Arial"/>
          <w:sz w:val="24"/>
          <w:szCs w:val="24"/>
          <w:lang w:bidi="en"/>
        </w:rPr>
        <w:lastRenderedPageBreak/>
        <w:t xml:space="preserve">extract ergosterol from the fungal cell wall </w:t>
      </w:r>
      <w:r w:rsidRPr="00635D78">
        <w:rPr>
          <w:rFonts w:ascii="Arial" w:hAnsi="Arial" w:cs="Arial"/>
          <w:sz w:val="24"/>
          <w:szCs w:val="24"/>
        </w:rPr>
        <w:fldChar w:fldCharType="begin"/>
      </w:r>
      <w:r w:rsidRPr="00635D78">
        <w:rPr>
          <w:rFonts w:ascii="Arial" w:hAnsi="Arial" w:cs="Arial"/>
          <w:sz w:val="24"/>
          <w:szCs w:val="24"/>
        </w:rPr>
        <w:instrText>ADDIN BEC{Anderson et al., 2014 #94648;Lewandowska et al., 2021 #150624}</w:instrText>
      </w:r>
      <w:r w:rsidRPr="00635D78">
        <w:rPr>
          <w:rFonts w:ascii="Arial" w:hAnsi="Arial" w:cs="Arial"/>
          <w:sz w:val="24"/>
          <w:szCs w:val="24"/>
        </w:rPr>
        <w:fldChar w:fldCharType="separate"/>
      </w:r>
      <w:r w:rsidRPr="00635D78">
        <w:rPr>
          <w:rFonts w:ascii="Arial" w:hAnsi="Arial" w:cs="Arial"/>
          <w:sz w:val="24"/>
          <w:szCs w:val="24"/>
          <w:lang w:bidi="en"/>
        </w:rPr>
        <w:t>[11,12]</w:t>
      </w:r>
      <w:r w:rsidRPr="00635D78">
        <w:rPr>
          <w:rFonts w:ascii="Arial" w:hAnsi="Arial" w:cs="Arial"/>
          <w:sz w:val="24"/>
          <w:szCs w:val="24"/>
        </w:rPr>
        <w:fldChar w:fldCharType="end"/>
      </w:r>
      <w:r w:rsidRPr="00635D78">
        <w:rPr>
          <w:rFonts w:ascii="Arial" w:hAnsi="Arial" w:cs="Arial"/>
          <w:sz w:val="24"/>
          <w:szCs w:val="24"/>
          <w:lang w:bidi="en"/>
        </w:rPr>
        <w:t xml:space="preserve">. When incorporated into a liposome, the polyene remains inside the liposome carrier until drug is released when the intact liposome encounters ergosterol in the fungal cell membrane </w:t>
      </w:r>
      <w:r w:rsidRPr="00635D78">
        <w:rPr>
          <w:rFonts w:ascii="Arial" w:hAnsi="Arial" w:cs="Arial"/>
          <w:sz w:val="24"/>
          <w:szCs w:val="24"/>
        </w:rPr>
        <w:fldChar w:fldCharType="begin"/>
      </w:r>
      <w:r w:rsidRPr="00635D78">
        <w:rPr>
          <w:rFonts w:ascii="Arial" w:hAnsi="Arial" w:cs="Arial"/>
          <w:sz w:val="24"/>
          <w:szCs w:val="24"/>
        </w:rPr>
        <w:instrText>ADDIN BEC{Walker et al., 2018 #148401}</w:instrText>
      </w:r>
      <w:r w:rsidRPr="00635D78">
        <w:rPr>
          <w:rFonts w:ascii="Arial" w:hAnsi="Arial" w:cs="Arial"/>
          <w:sz w:val="24"/>
          <w:szCs w:val="24"/>
        </w:rPr>
        <w:fldChar w:fldCharType="separate"/>
      </w:r>
      <w:r w:rsidRPr="00635D78">
        <w:rPr>
          <w:rFonts w:ascii="Arial" w:hAnsi="Arial" w:cs="Arial"/>
          <w:sz w:val="24"/>
          <w:szCs w:val="24"/>
          <w:lang w:bidi="en"/>
        </w:rPr>
        <w:t>[13]</w:t>
      </w:r>
      <w:r w:rsidRPr="00635D78">
        <w:rPr>
          <w:rFonts w:ascii="Arial" w:hAnsi="Arial" w:cs="Arial"/>
          <w:sz w:val="24"/>
          <w:szCs w:val="24"/>
        </w:rPr>
        <w:fldChar w:fldCharType="end"/>
      </w:r>
      <w:r w:rsidRPr="00635D78">
        <w:rPr>
          <w:rFonts w:ascii="Arial" w:hAnsi="Arial" w:cs="Arial"/>
          <w:sz w:val="24"/>
          <w:szCs w:val="24"/>
          <w:lang w:bidi="en"/>
        </w:rPr>
        <w:t>.</w:t>
      </w:r>
    </w:p>
    <w:p w14:paraId="36D98C08"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Compared to conventional amphotericin-B deoxycholate formulations, clinical use of L-AMB is associated with fewer delayed (2-6 hour) infusion-related reactions mediated by proinflammatory cytokines (e.g., Interleukin (IL-1ß, IL-6, IL-8) and prostaglandin E2 release. However, an immediate unique type-1 hypersensitivity reaction termed “complement activation-related pseudo allergy” (CARPA) can develop within minutes of L-AMB infusion characterized by a triad of symptoms including: (1) chest pain, dyspnea, hypoxia; (2) abdominal, flank, or leg pain; and (3) flushing and urticaria </w:t>
      </w:r>
      <w:r w:rsidRPr="00635D78">
        <w:rPr>
          <w:rFonts w:ascii="Arial" w:hAnsi="Arial" w:cs="Arial"/>
          <w:sz w:val="24"/>
          <w:szCs w:val="24"/>
        </w:rPr>
        <w:fldChar w:fldCharType="begin"/>
      </w:r>
      <w:r w:rsidRPr="00635D78">
        <w:rPr>
          <w:rFonts w:ascii="Arial" w:hAnsi="Arial" w:cs="Arial"/>
          <w:sz w:val="24"/>
          <w:szCs w:val="24"/>
        </w:rPr>
        <w:instrText>ADDIN BEC{Szebeni, 2005 #32110}</w:instrText>
      </w:r>
      <w:r w:rsidRPr="00635D78">
        <w:rPr>
          <w:rFonts w:ascii="Arial" w:hAnsi="Arial" w:cs="Arial"/>
          <w:sz w:val="24"/>
          <w:szCs w:val="24"/>
        </w:rPr>
        <w:fldChar w:fldCharType="separate"/>
      </w:r>
      <w:r w:rsidRPr="00635D78">
        <w:rPr>
          <w:rFonts w:ascii="Arial" w:hAnsi="Arial" w:cs="Arial"/>
          <w:sz w:val="24"/>
          <w:szCs w:val="24"/>
          <w:lang w:bidi="en"/>
        </w:rPr>
        <w:t>[14]</w:t>
      </w:r>
      <w:r w:rsidRPr="00635D78">
        <w:rPr>
          <w:rFonts w:ascii="Arial" w:hAnsi="Arial" w:cs="Arial"/>
          <w:sz w:val="24"/>
          <w:szCs w:val="24"/>
        </w:rPr>
        <w:fldChar w:fldCharType="end"/>
      </w:r>
      <w:r w:rsidRPr="00635D78">
        <w:rPr>
          <w:rFonts w:ascii="Arial" w:hAnsi="Arial" w:cs="Arial"/>
          <w:sz w:val="24"/>
          <w:szCs w:val="24"/>
          <w:lang w:bidi="en"/>
        </w:rPr>
        <w:t xml:space="preserve">. Amphotericin B-associated nephrotoxicity, which arises through constriction of renal arterioles and damage to the distal tubular membranes, results in loss of potassium, magnesium, and bicarbonate that can progress renal tubular acidosis and decreased glomerular filtration. The onset is delayed with the liposomal formulation due to the preferential distribution of the drug to organs rich in reticuloendothelial cells and lack of glomerular filtration of the liposome carrier </w:t>
      </w:r>
      <w:r w:rsidRPr="00635D78">
        <w:rPr>
          <w:rFonts w:ascii="Arial" w:hAnsi="Arial" w:cs="Arial"/>
          <w:sz w:val="24"/>
          <w:szCs w:val="24"/>
        </w:rPr>
        <w:fldChar w:fldCharType="begin"/>
      </w:r>
      <w:r w:rsidRPr="00635D78">
        <w:rPr>
          <w:rFonts w:ascii="Arial" w:hAnsi="Arial" w:cs="Arial"/>
          <w:sz w:val="24"/>
          <w:szCs w:val="24"/>
        </w:rPr>
        <w:instrText>ADDIN BEC{Adler-Moore et al., 2019 #154551}</w:instrText>
      </w:r>
      <w:r w:rsidRPr="00635D78">
        <w:rPr>
          <w:rFonts w:ascii="Arial" w:hAnsi="Arial" w:cs="Arial"/>
          <w:sz w:val="24"/>
          <w:szCs w:val="24"/>
        </w:rPr>
        <w:fldChar w:fldCharType="separate"/>
      </w:r>
      <w:r w:rsidRPr="00635D78">
        <w:rPr>
          <w:rFonts w:ascii="Arial" w:hAnsi="Arial" w:cs="Arial"/>
          <w:sz w:val="24"/>
          <w:szCs w:val="24"/>
          <w:lang w:bidi="en"/>
        </w:rPr>
        <w:t>[15]</w:t>
      </w:r>
      <w:r w:rsidRPr="00635D78">
        <w:rPr>
          <w:rFonts w:ascii="Arial" w:hAnsi="Arial" w:cs="Arial"/>
          <w:sz w:val="24"/>
          <w:szCs w:val="24"/>
        </w:rPr>
        <w:fldChar w:fldCharType="end"/>
      </w:r>
      <w:r w:rsidRPr="00635D78">
        <w:rPr>
          <w:rFonts w:ascii="Arial" w:hAnsi="Arial" w:cs="Arial"/>
          <w:sz w:val="24"/>
          <w:szCs w:val="24"/>
          <w:lang w:bidi="en"/>
        </w:rPr>
        <w:t>.</w:t>
      </w:r>
    </w:p>
    <w:p w14:paraId="52DDF2A3"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Patients receiving liposomal amphotericin B (L-AMB) require daily monitoring of serum creatinine, potassium, and magnesium. Dose reduction or extended dosing intervals should be considered if creatinine rises to more than twice baseline or exceeds 2.0 mg/dL. Kidney protection strategies include avoiding other nephrotoxic drugs (aminoglycosides, calcineurin inhibitors, contrast agents) and administering intravenous saline before infusions, although the volume must often be titrated to patient’s cardiovascular function. Importantly, the acceptable threshold for kidney injury depends on disease severity: in life-threatening infections such as mucormycosis, maintaining adequate antifungal exposure may take priority over kidney protection, whereas more conservative approaches are reasonable in less </w:t>
      </w:r>
      <w:r w:rsidRPr="00635D78">
        <w:rPr>
          <w:rFonts w:ascii="Arial" w:hAnsi="Arial" w:cs="Arial"/>
          <w:sz w:val="24"/>
          <w:szCs w:val="24"/>
          <w:lang w:bidi="en"/>
        </w:rPr>
        <w:lastRenderedPageBreak/>
        <w:t xml:space="preserve">severe cases or when effective alternative agents are available. </w:t>
      </w:r>
    </w:p>
    <w:p w14:paraId="27B227FD"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Amphotericin B exhibits concentration-dependent killing and prolonged post-antifungal effects in yeast and molds, with antifungal activity linked to the C</w:t>
      </w:r>
      <w:r w:rsidRPr="00635D78">
        <w:rPr>
          <w:rFonts w:ascii="Arial" w:hAnsi="Arial" w:cs="Arial"/>
          <w:sz w:val="24"/>
          <w:szCs w:val="24"/>
          <w:vertAlign w:val="subscript"/>
          <w:lang w:bidi="en"/>
        </w:rPr>
        <w:t>max</w:t>
      </w:r>
      <w:r w:rsidRPr="00635D78">
        <w:rPr>
          <w:rFonts w:ascii="Arial" w:hAnsi="Arial" w:cs="Arial"/>
          <w:sz w:val="24"/>
          <w:szCs w:val="24"/>
          <w:lang w:bidi="en"/>
        </w:rPr>
        <w:t>/MIC and AUC</w:t>
      </w:r>
      <w:r w:rsidRPr="00635D78">
        <w:rPr>
          <w:rFonts w:ascii="Arial" w:hAnsi="Arial" w:cs="Arial"/>
          <w:sz w:val="24"/>
          <w:szCs w:val="24"/>
          <w:vertAlign w:val="subscript"/>
          <w:lang w:bidi="en"/>
        </w:rPr>
        <w:t>0-24</w:t>
      </w:r>
      <w:r w:rsidRPr="00635D78">
        <w:rPr>
          <w:rFonts w:ascii="Arial" w:hAnsi="Arial" w:cs="Arial"/>
          <w:sz w:val="24"/>
          <w:szCs w:val="24"/>
          <w:lang w:bidi="en"/>
        </w:rPr>
        <w:t xml:space="preserve">/MIC of the dosing regimen- thus supporting the concept that higher, infrequently administered dosing regimens will exhibit better antifungal efficacy </w:t>
      </w:r>
      <w:r w:rsidRPr="00635D78">
        <w:rPr>
          <w:rFonts w:ascii="Arial" w:hAnsi="Arial" w:cs="Arial"/>
          <w:sz w:val="24"/>
          <w:szCs w:val="24"/>
        </w:rPr>
        <w:fldChar w:fldCharType="begin"/>
      </w:r>
      <w:r w:rsidRPr="00635D78">
        <w:rPr>
          <w:rFonts w:ascii="Arial" w:hAnsi="Arial" w:cs="Arial"/>
          <w:sz w:val="24"/>
          <w:szCs w:val="24"/>
        </w:rPr>
        <w:instrText>ADDIN BEC{Andes et al., 2006 #37516;Andes et al., 2001 #39419;Wiederhold et al., 2006 #216895}</w:instrText>
      </w:r>
      <w:r w:rsidRPr="00635D78">
        <w:rPr>
          <w:rFonts w:ascii="Arial" w:hAnsi="Arial" w:cs="Arial"/>
          <w:sz w:val="24"/>
          <w:szCs w:val="24"/>
        </w:rPr>
        <w:fldChar w:fldCharType="separate"/>
      </w:r>
      <w:r w:rsidRPr="00635D78">
        <w:rPr>
          <w:rFonts w:ascii="Arial" w:hAnsi="Arial" w:cs="Arial"/>
          <w:sz w:val="24"/>
          <w:szCs w:val="24"/>
          <w:lang w:bidi="en"/>
        </w:rPr>
        <w:t>[16–18]</w:t>
      </w:r>
      <w:r w:rsidRPr="00635D78">
        <w:rPr>
          <w:rFonts w:ascii="Arial" w:hAnsi="Arial" w:cs="Arial"/>
          <w:sz w:val="24"/>
          <w:szCs w:val="24"/>
        </w:rPr>
        <w:fldChar w:fldCharType="end"/>
      </w:r>
      <w:r w:rsidRPr="00635D78">
        <w:rPr>
          <w:rFonts w:ascii="Arial" w:hAnsi="Arial" w:cs="Arial"/>
          <w:sz w:val="24"/>
          <w:szCs w:val="24"/>
          <w:lang w:bidi="en"/>
        </w:rPr>
        <w:t>. In neutropenic and rabbit models of aspergillosis, near-maximal antifungal efficacy is observed when the total serum amphotericin B concentrations C</w:t>
      </w:r>
      <w:r w:rsidRPr="00635D78">
        <w:rPr>
          <w:rFonts w:ascii="Arial" w:hAnsi="Arial" w:cs="Arial"/>
          <w:sz w:val="24"/>
          <w:szCs w:val="24"/>
          <w:vertAlign w:val="subscript"/>
          <w:lang w:bidi="en"/>
        </w:rPr>
        <w:t>max</w:t>
      </w:r>
      <w:r w:rsidRPr="00635D78">
        <w:rPr>
          <w:rFonts w:ascii="Arial" w:hAnsi="Arial" w:cs="Arial"/>
          <w:sz w:val="24"/>
          <w:szCs w:val="24"/>
          <w:lang w:bidi="en"/>
        </w:rPr>
        <w:t>/MIC surpasses 2.5 or and AUC</w:t>
      </w:r>
      <w:r w:rsidRPr="00635D78">
        <w:rPr>
          <w:rFonts w:ascii="Arial" w:hAnsi="Arial" w:cs="Arial"/>
          <w:sz w:val="24"/>
          <w:szCs w:val="24"/>
          <w:vertAlign w:val="subscript"/>
          <w:lang w:bidi="en"/>
        </w:rPr>
        <w:t>0-24</w:t>
      </w:r>
      <w:r w:rsidRPr="00635D78">
        <w:rPr>
          <w:rFonts w:ascii="Arial" w:hAnsi="Arial" w:cs="Arial"/>
          <w:sz w:val="24"/>
          <w:szCs w:val="24"/>
          <w:lang w:bidi="en"/>
        </w:rPr>
        <w:t xml:space="preserve">/MIC of 13.6 </w:t>
      </w:r>
      <w:r w:rsidRPr="00635D78">
        <w:rPr>
          <w:rFonts w:ascii="Arial" w:hAnsi="Arial" w:cs="Arial"/>
          <w:sz w:val="24"/>
          <w:szCs w:val="24"/>
        </w:rPr>
        <w:fldChar w:fldCharType="begin"/>
      </w:r>
      <w:r w:rsidRPr="00635D78">
        <w:rPr>
          <w:rFonts w:ascii="Arial" w:hAnsi="Arial" w:cs="Arial"/>
          <w:sz w:val="24"/>
          <w:szCs w:val="24"/>
        </w:rPr>
        <w:instrText>ADDIN BEC{Al-Nakeeb et al., 2015 #63631}</w:instrText>
      </w:r>
      <w:r w:rsidRPr="00635D78">
        <w:rPr>
          <w:rFonts w:ascii="Arial" w:hAnsi="Arial" w:cs="Arial"/>
          <w:sz w:val="24"/>
          <w:szCs w:val="24"/>
        </w:rPr>
        <w:fldChar w:fldCharType="separate"/>
      </w:r>
      <w:r w:rsidRPr="00635D78">
        <w:rPr>
          <w:rFonts w:ascii="Arial" w:hAnsi="Arial" w:cs="Arial"/>
          <w:sz w:val="24"/>
          <w:szCs w:val="24"/>
          <w:lang w:bidi="en"/>
        </w:rPr>
        <w:t>[19]</w:t>
      </w:r>
      <w:r w:rsidRPr="00635D78">
        <w:rPr>
          <w:rFonts w:ascii="Arial" w:hAnsi="Arial" w:cs="Arial"/>
          <w:sz w:val="24"/>
          <w:szCs w:val="24"/>
        </w:rPr>
        <w:fldChar w:fldCharType="end"/>
      </w:r>
      <w:r w:rsidRPr="00635D78">
        <w:rPr>
          <w:rFonts w:ascii="Arial" w:hAnsi="Arial" w:cs="Arial"/>
          <w:sz w:val="24"/>
          <w:szCs w:val="24"/>
          <w:lang w:bidi="en"/>
        </w:rPr>
        <w:t xml:space="preserve">. However, encapsulation of amphotericin B in the unilamellar liposomes changes the pharmacokinetics and pharmacodynamics of the drug, reducing drug interactions with mammalian cell membranes while enhancing tissue distribution and reducing toxicity compared with conventional amphotericin B deoxycholate </w:t>
      </w:r>
      <w:r w:rsidRPr="00635D78">
        <w:rPr>
          <w:rFonts w:ascii="Arial" w:hAnsi="Arial" w:cs="Arial"/>
          <w:sz w:val="24"/>
          <w:szCs w:val="24"/>
        </w:rPr>
        <w:fldChar w:fldCharType="begin"/>
      </w:r>
      <w:r w:rsidRPr="00635D78">
        <w:rPr>
          <w:rFonts w:ascii="Arial" w:hAnsi="Arial" w:cs="Arial"/>
          <w:sz w:val="24"/>
          <w:szCs w:val="24"/>
        </w:rPr>
        <w:instrText>ADDIN BEC{Groll et al., 2019 #7879}</w:instrText>
      </w:r>
      <w:r w:rsidRPr="00635D78">
        <w:rPr>
          <w:rFonts w:ascii="Arial" w:hAnsi="Arial" w:cs="Arial"/>
          <w:sz w:val="24"/>
          <w:szCs w:val="24"/>
        </w:rPr>
        <w:fldChar w:fldCharType="separate"/>
      </w:r>
      <w:r w:rsidRPr="00635D78">
        <w:rPr>
          <w:rFonts w:ascii="Arial" w:hAnsi="Arial" w:cs="Arial"/>
          <w:sz w:val="24"/>
          <w:szCs w:val="24"/>
          <w:lang w:bidi="en"/>
        </w:rPr>
        <w:t>[20]</w:t>
      </w:r>
      <w:r w:rsidRPr="00635D78">
        <w:rPr>
          <w:rFonts w:ascii="Arial" w:hAnsi="Arial" w:cs="Arial"/>
          <w:sz w:val="24"/>
          <w:szCs w:val="24"/>
        </w:rPr>
        <w:fldChar w:fldCharType="end"/>
      </w:r>
      <w:r w:rsidRPr="00635D78">
        <w:rPr>
          <w:rFonts w:ascii="Arial" w:hAnsi="Arial" w:cs="Arial"/>
          <w:sz w:val="24"/>
          <w:szCs w:val="24"/>
          <w:lang w:bidi="en"/>
        </w:rPr>
        <w:t xml:space="preserve">. Hence, the relationship between serum drug concentrations, which contain both non-biologically active drug encased inside liposomes and free drug versus microbiologically-active tissue concentrations is variable and dependent on tissue-specific liposomal uptake, drug release kinetics, and local microenvironmental factors </w:t>
      </w:r>
      <w:r w:rsidRPr="00635D78">
        <w:rPr>
          <w:rFonts w:ascii="Arial" w:hAnsi="Arial" w:cs="Arial"/>
          <w:sz w:val="24"/>
          <w:szCs w:val="24"/>
        </w:rPr>
        <w:fldChar w:fldCharType="begin"/>
      </w:r>
      <w:r w:rsidRPr="00635D78">
        <w:rPr>
          <w:rFonts w:ascii="Arial" w:hAnsi="Arial" w:cs="Arial"/>
          <w:sz w:val="24"/>
          <w:szCs w:val="24"/>
        </w:rPr>
        <w:instrText>ADDIN BEC{Groll et al., 2019 #7879}</w:instrText>
      </w:r>
      <w:r w:rsidRPr="00635D78">
        <w:rPr>
          <w:rFonts w:ascii="Arial" w:hAnsi="Arial" w:cs="Arial"/>
          <w:sz w:val="24"/>
          <w:szCs w:val="24"/>
        </w:rPr>
        <w:fldChar w:fldCharType="separate"/>
      </w:r>
      <w:r w:rsidRPr="00635D78">
        <w:rPr>
          <w:rFonts w:ascii="Arial" w:hAnsi="Arial" w:cs="Arial"/>
          <w:sz w:val="24"/>
          <w:szCs w:val="24"/>
          <w:lang w:bidi="en"/>
        </w:rPr>
        <w:t>[20]</w:t>
      </w:r>
      <w:r w:rsidRPr="00635D78">
        <w:rPr>
          <w:rFonts w:ascii="Arial" w:hAnsi="Arial" w:cs="Arial"/>
          <w:sz w:val="24"/>
          <w:szCs w:val="24"/>
        </w:rPr>
        <w:fldChar w:fldCharType="end"/>
      </w:r>
      <w:r w:rsidRPr="00635D78">
        <w:rPr>
          <w:rFonts w:ascii="Arial" w:hAnsi="Arial" w:cs="Arial"/>
          <w:sz w:val="24"/>
          <w:szCs w:val="24"/>
          <w:lang w:bidi="en"/>
        </w:rPr>
        <w:t xml:space="preserve">. </w:t>
      </w:r>
    </w:p>
    <w:p w14:paraId="78B4E767"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Few studies have explored the pharmacodynamics of escalating L-AMB doses in animal models of mucormycosis. Using a neutropenic mouse model of pulmonary mucormycosis, Lewis et al. </w:t>
      </w:r>
      <w:r w:rsidRPr="00635D78">
        <w:rPr>
          <w:rFonts w:ascii="Arial" w:hAnsi="Arial" w:cs="Arial"/>
          <w:sz w:val="24"/>
          <w:szCs w:val="24"/>
        </w:rPr>
        <w:fldChar w:fldCharType="begin"/>
      </w:r>
      <w:r w:rsidRPr="00635D78">
        <w:rPr>
          <w:rFonts w:ascii="Arial" w:hAnsi="Arial" w:cs="Arial"/>
          <w:sz w:val="24"/>
          <w:szCs w:val="24"/>
        </w:rPr>
        <w:instrText>ADDIN BEC{Lewis et al., 2010 #19655}</w:instrText>
      </w:r>
      <w:r w:rsidRPr="00635D78">
        <w:rPr>
          <w:rFonts w:ascii="Arial" w:hAnsi="Arial" w:cs="Arial"/>
          <w:sz w:val="24"/>
          <w:szCs w:val="24"/>
        </w:rPr>
        <w:fldChar w:fldCharType="separate"/>
      </w:r>
      <w:r w:rsidRPr="00635D78">
        <w:rPr>
          <w:rFonts w:ascii="Arial" w:hAnsi="Arial" w:cs="Arial"/>
          <w:sz w:val="24"/>
          <w:szCs w:val="24"/>
          <w:lang w:bidi="en"/>
        </w:rPr>
        <w:t>[7]</w:t>
      </w:r>
      <w:r w:rsidRPr="00635D78">
        <w:rPr>
          <w:rFonts w:ascii="Arial" w:hAnsi="Arial" w:cs="Arial"/>
          <w:sz w:val="24"/>
          <w:szCs w:val="24"/>
        </w:rPr>
        <w:fldChar w:fldCharType="end"/>
      </w:r>
      <w:r w:rsidRPr="00635D78">
        <w:rPr>
          <w:rFonts w:ascii="Arial" w:hAnsi="Arial" w:cs="Arial"/>
          <w:sz w:val="24"/>
          <w:szCs w:val="24"/>
          <w:lang w:bidi="en"/>
        </w:rPr>
        <w:t xml:space="preserve">  reported improved clearance of </w:t>
      </w:r>
      <w:r w:rsidRPr="00635D78">
        <w:rPr>
          <w:rFonts w:ascii="Arial" w:hAnsi="Arial" w:cs="Arial"/>
          <w:i/>
          <w:iCs/>
          <w:sz w:val="24"/>
          <w:szCs w:val="24"/>
          <w:lang w:bidi="en"/>
        </w:rPr>
        <w:t>Rhizopus oryzae</w:t>
      </w:r>
      <w:r w:rsidRPr="00635D78">
        <w:rPr>
          <w:rFonts w:ascii="Arial" w:hAnsi="Arial" w:cs="Arial"/>
          <w:sz w:val="24"/>
          <w:szCs w:val="24"/>
          <w:lang w:bidi="en"/>
        </w:rPr>
        <w:t xml:space="preserve"> lung fungal burden as daily intravenous doses of L-AMB increased from 5 mg/kg to 10 mg/kg daily. Fungal clearance correlated with lung tissue homogenate concentrations of AMB surpassing the mean fungicidal concentration (MFC) of the R. oryzae isolate (8 mg/L) inoculated in animals. Interestingly, total lung concentrations of amphotericin B decreased after 72 hours as fungal burden declined despite sustained 10 mg/kg/day dosing, suggesting possible saturation of drug accumulation in the lung or decreased distribution of the liposomes to the lung with fungal </w:t>
      </w:r>
      <w:r w:rsidRPr="00635D78">
        <w:rPr>
          <w:rFonts w:ascii="Arial" w:hAnsi="Arial" w:cs="Arial"/>
          <w:sz w:val="24"/>
          <w:szCs w:val="24"/>
          <w:lang w:bidi="en"/>
        </w:rPr>
        <w:lastRenderedPageBreak/>
        <w:t>clearance.</w:t>
      </w:r>
    </w:p>
    <w:p w14:paraId="4F1E5A18"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Similar animal studies have explored initial dosage escalation (10 mg/kg/day x 72 hours) followed by de-escalation to 3 mg/kg/day daily doses to treat "resistant" pathogens such as </w:t>
      </w:r>
      <w:r w:rsidRPr="00635D78">
        <w:rPr>
          <w:rFonts w:ascii="Arial" w:hAnsi="Arial" w:cs="Arial"/>
          <w:i/>
          <w:iCs/>
          <w:sz w:val="24"/>
          <w:szCs w:val="24"/>
          <w:lang w:bidi="en"/>
        </w:rPr>
        <w:t>Aspergillus terreus</w:t>
      </w:r>
      <w:r w:rsidRPr="00635D78">
        <w:rPr>
          <w:rFonts w:ascii="Arial" w:hAnsi="Arial" w:cs="Arial"/>
          <w:sz w:val="24"/>
          <w:szCs w:val="24"/>
          <w:lang w:bidi="en"/>
        </w:rPr>
        <w:t xml:space="preserve">. Lewis et al found that a 10 mg/kg /day x 72 hours induction-deescalation strategy resulted in greater reduction in lung fungal burden versus daily L-AMB doses of 10-20 mg/kg/day </w:t>
      </w:r>
      <w:r w:rsidRPr="00635D78">
        <w:rPr>
          <w:rFonts w:ascii="Arial" w:hAnsi="Arial" w:cs="Arial"/>
          <w:sz w:val="24"/>
          <w:szCs w:val="24"/>
        </w:rPr>
        <w:fldChar w:fldCharType="begin"/>
      </w:r>
      <w:r w:rsidRPr="00635D78">
        <w:rPr>
          <w:rFonts w:ascii="Arial" w:hAnsi="Arial" w:cs="Arial"/>
          <w:sz w:val="24"/>
          <w:szCs w:val="24"/>
        </w:rPr>
        <w:instrText>ADDIN BEC{Lewis et al., 2013 #164791}</w:instrText>
      </w:r>
      <w:r w:rsidRPr="00635D78">
        <w:rPr>
          <w:rFonts w:ascii="Arial" w:hAnsi="Arial" w:cs="Arial"/>
          <w:sz w:val="24"/>
          <w:szCs w:val="24"/>
        </w:rPr>
        <w:fldChar w:fldCharType="separate"/>
      </w:r>
      <w:r w:rsidRPr="00635D78">
        <w:rPr>
          <w:rFonts w:ascii="Arial" w:hAnsi="Arial" w:cs="Arial"/>
          <w:sz w:val="24"/>
          <w:szCs w:val="24"/>
          <w:lang w:bidi="en"/>
        </w:rPr>
        <w:t>[21]</w:t>
      </w:r>
      <w:r w:rsidRPr="00635D78">
        <w:rPr>
          <w:rFonts w:ascii="Arial" w:hAnsi="Arial" w:cs="Arial"/>
          <w:sz w:val="24"/>
          <w:szCs w:val="24"/>
        </w:rPr>
        <w:fldChar w:fldCharType="end"/>
      </w:r>
      <w:r w:rsidRPr="00635D78">
        <w:rPr>
          <w:rFonts w:ascii="Arial" w:hAnsi="Arial" w:cs="Arial"/>
          <w:sz w:val="24"/>
          <w:szCs w:val="24"/>
          <w:lang w:bidi="en"/>
        </w:rPr>
        <w:t xml:space="preserve">. Interestingly, total amphotericin B lung tissue homogenate concentrations were higher at Day+7 of infection in the 10 → 3 mg/kg/day dosing group versus animals that received 10 mg/kg/day sustained dosing. A possible explanation relates to L-AMB's multicompartmental pharmacokinetics and tissue distribution patterns. Initial high doses rapidly saturate the reticuloendothelial system (liver, spleen), allowing subsequent doses to distribute more proportionally to other tissues including the lung. With continued high-dose administration, ongoing RES uptake may “compete” with lung distribution </w:t>
      </w:r>
      <w:r w:rsidRPr="00635D78">
        <w:rPr>
          <w:rFonts w:ascii="Arial" w:hAnsi="Arial" w:cs="Arial"/>
          <w:sz w:val="24"/>
          <w:szCs w:val="24"/>
        </w:rPr>
        <w:fldChar w:fldCharType="begin"/>
      </w:r>
      <w:r w:rsidRPr="00635D78">
        <w:rPr>
          <w:rFonts w:ascii="Arial" w:hAnsi="Arial" w:cs="Arial"/>
          <w:sz w:val="24"/>
          <w:szCs w:val="24"/>
        </w:rPr>
        <w:instrText>ADDIN BEC{Groll et al., 2019 #7879}</w:instrText>
      </w:r>
      <w:r w:rsidRPr="00635D78">
        <w:rPr>
          <w:rFonts w:ascii="Arial" w:hAnsi="Arial" w:cs="Arial"/>
          <w:sz w:val="24"/>
          <w:szCs w:val="24"/>
        </w:rPr>
        <w:fldChar w:fldCharType="separate"/>
      </w:r>
      <w:r w:rsidRPr="00635D78">
        <w:rPr>
          <w:rFonts w:ascii="Arial" w:hAnsi="Arial" w:cs="Arial"/>
          <w:sz w:val="24"/>
          <w:szCs w:val="24"/>
          <w:lang w:bidi="en"/>
        </w:rPr>
        <w:t>[20]</w:t>
      </w:r>
      <w:r w:rsidRPr="00635D78">
        <w:rPr>
          <w:rFonts w:ascii="Arial" w:hAnsi="Arial" w:cs="Arial"/>
          <w:sz w:val="24"/>
          <w:szCs w:val="24"/>
        </w:rPr>
        <w:fldChar w:fldCharType="end"/>
      </w:r>
      <w:r w:rsidRPr="00635D78">
        <w:rPr>
          <w:rFonts w:ascii="Arial" w:hAnsi="Arial" w:cs="Arial"/>
          <w:sz w:val="24"/>
          <w:szCs w:val="24"/>
          <w:lang w:bidi="en"/>
        </w:rPr>
        <w:t xml:space="preserve">.  Additionally, lower maintenance doses after initial loading may result in less rapid redistribution from tissues back to plasma for elimination. This finding supports the biological plausibility of induction-maintenance dosing strategies, though clinical validation remains lacking. In their review of animal model studies, Adler-Moore and colleagues described clear patterns of non-linear tissue uptake of L-AMB or/or differential saturated uptake with higher dosing </w:t>
      </w:r>
      <w:r w:rsidRPr="00635D78">
        <w:rPr>
          <w:rFonts w:ascii="Arial" w:hAnsi="Arial" w:cs="Arial"/>
          <w:sz w:val="24"/>
          <w:szCs w:val="24"/>
        </w:rPr>
        <w:fldChar w:fldCharType="begin"/>
      </w:r>
      <w:r w:rsidRPr="00635D78">
        <w:rPr>
          <w:rFonts w:ascii="Arial" w:hAnsi="Arial" w:cs="Arial"/>
          <w:sz w:val="24"/>
          <w:szCs w:val="24"/>
        </w:rPr>
        <w:instrText>ADDIN BEC{Adler-Moore et al., 2019 #154551}</w:instrText>
      </w:r>
      <w:r w:rsidRPr="00635D78">
        <w:rPr>
          <w:rFonts w:ascii="Arial" w:hAnsi="Arial" w:cs="Arial"/>
          <w:sz w:val="24"/>
          <w:szCs w:val="24"/>
        </w:rPr>
        <w:fldChar w:fldCharType="separate"/>
      </w:r>
      <w:r w:rsidRPr="00635D78">
        <w:rPr>
          <w:rFonts w:ascii="Arial" w:hAnsi="Arial" w:cs="Arial"/>
          <w:sz w:val="24"/>
          <w:szCs w:val="24"/>
          <w:lang w:bidi="en"/>
        </w:rPr>
        <w:t>[15]</w:t>
      </w:r>
      <w:r w:rsidRPr="00635D78">
        <w:rPr>
          <w:rFonts w:ascii="Arial" w:hAnsi="Arial" w:cs="Arial"/>
          <w:sz w:val="24"/>
          <w:szCs w:val="24"/>
        </w:rPr>
        <w:fldChar w:fldCharType="end"/>
      </w:r>
      <w:r w:rsidRPr="00635D78">
        <w:rPr>
          <w:rFonts w:ascii="Arial" w:hAnsi="Arial" w:cs="Arial"/>
          <w:sz w:val="24"/>
          <w:szCs w:val="24"/>
          <w:lang w:bidi="en"/>
        </w:rPr>
        <w:t>.</w:t>
      </w:r>
    </w:p>
    <w:p w14:paraId="5A733856"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Studies using diabetic ketoacidosis and pulmonary mucormycosis infection models by Ibrahim's research group at UCLA </w:t>
      </w:r>
      <w:r w:rsidRPr="00635D78">
        <w:rPr>
          <w:rFonts w:ascii="Arial" w:hAnsi="Arial" w:cs="Arial"/>
          <w:sz w:val="24"/>
          <w:szCs w:val="24"/>
        </w:rPr>
        <w:fldChar w:fldCharType="begin"/>
      </w:r>
      <w:r w:rsidRPr="00635D78">
        <w:rPr>
          <w:rFonts w:ascii="Arial" w:hAnsi="Arial" w:cs="Arial"/>
          <w:sz w:val="24"/>
          <w:szCs w:val="24"/>
        </w:rPr>
        <w:instrText>ADDIN BEC{Ibrahim et al., 2008 #56499;Luo et al., 2013 #40861;Gebremariam et al., 2021 #114928;Gebremariam et al., 2024 #15826;Gebremariam et al., 2022 #140436;Gu et al., 2024 #195716}</w:instrText>
      </w:r>
      <w:r w:rsidRPr="00635D78">
        <w:rPr>
          <w:rFonts w:ascii="Arial" w:hAnsi="Arial" w:cs="Arial"/>
          <w:sz w:val="24"/>
          <w:szCs w:val="24"/>
        </w:rPr>
        <w:fldChar w:fldCharType="separate"/>
      </w:r>
      <w:r w:rsidRPr="00635D78">
        <w:rPr>
          <w:rFonts w:ascii="Arial" w:hAnsi="Arial" w:cs="Arial"/>
          <w:sz w:val="24"/>
          <w:szCs w:val="24"/>
          <w:lang w:bidi="en"/>
        </w:rPr>
        <w:t>[22–27]</w:t>
      </w:r>
      <w:r w:rsidRPr="00635D78">
        <w:rPr>
          <w:rFonts w:ascii="Arial" w:hAnsi="Arial" w:cs="Arial"/>
          <w:sz w:val="24"/>
          <w:szCs w:val="24"/>
        </w:rPr>
        <w:fldChar w:fldCharType="end"/>
      </w:r>
      <w:r w:rsidRPr="00635D78">
        <w:rPr>
          <w:rFonts w:ascii="Arial" w:hAnsi="Arial" w:cs="Arial"/>
          <w:sz w:val="24"/>
          <w:szCs w:val="24"/>
          <w:lang w:bidi="en"/>
        </w:rPr>
        <w:t xml:space="preserve"> and Takemoto et al. </w:t>
      </w:r>
      <w:r w:rsidRPr="00635D78">
        <w:rPr>
          <w:rFonts w:ascii="Arial" w:hAnsi="Arial" w:cs="Arial"/>
          <w:sz w:val="24"/>
          <w:szCs w:val="24"/>
        </w:rPr>
        <w:fldChar w:fldCharType="begin"/>
      </w:r>
      <w:r w:rsidRPr="00635D78">
        <w:rPr>
          <w:rFonts w:ascii="Arial" w:hAnsi="Arial" w:cs="Arial"/>
          <w:sz w:val="24"/>
          <w:szCs w:val="24"/>
        </w:rPr>
        <w:instrText>ADDIN BEC{Takemoto et al., 2010 #238730}</w:instrText>
      </w:r>
      <w:r w:rsidRPr="00635D78">
        <w:rPr>
          <w:rFonts w:ascii="Arial" w:hAnsi="Arial" w:cs="Arial"/>
          <w:sz w:val="24"/>
          <w:szCs w:val="24"/>
        </w:rPr>
        <w:fldChar w:fldCharType="separate"/>
      </w:r>
      <w:r w:rsidRPr="00635D78">
        <w:rPr>
          <w:rFonts w:ascii="Arial" w:hAnsi="Arial" w:cs="Arial"/>
          <w:sz w:val="24"/>
          <w:szCs w:val="24"/>
          <w:lang w:bidi="en"/>
        </w:rPr>
        <w:t>[28]</w:t>
      </w:r>
      <w:r w:rsidRPr="00635D78">
        <w:rPr>
          <w:rFonts w:ascii="Arial" w:hAnsi="Arial" w:cs="Arial"/>
          <w:sz w:val="24"/>
          <w:szCs w:val="24"/>
        </w:rPr>
        <w:fldChar w:fldCharType="end"/>
      </w:r>
      <w:r w:rsidRPr="00635D78">
        <w:rPr>
          <w:rFonts w:ascii="Arial" w:hAnsi="Arial" w:cs="Arial"/>
          <w:sz w:val="24"/>
          <w:szCs w:val="24"/>
          <w:lang w:bidi="en"/>
        </w:rPr>
        <w:t xml:space="preserve"> have  confirmed that L-AMB doses ≥10 mg/kg/day achieve superior tissue fungal clearance compared to lower doses, particularly in the central nervous system. In a review of L-AMB tissue penetration data from animal models, Adler-Moore et al. noted that accumulation of L-AMB in tissue  increases in a dose-dependent manner </w:t>
      </w:r>
      <w:r w:rsidRPr="00635D78">
        <w:rPr>
          <w:rFonts w:ascii="Arial" w:hAnsi="Arial" w:cs="Arial"/>
          <w:sz w:val="24"/>
          <w:szCs w:val="24"/>
        </w:rPr>
        <w:fldChar w:fldCharType="begin"/>
      </w:r>
      <w:r w:rsidRPr="00635D78">
        <w:rPr>
          <w:rFonts w:ascii="Arial" w:hAnsi="Arial" w:cs="Arial"/>
          <w:sz w:val="24"/>
          <w:szCs w:val="24"/>
        </w:rPr>
        <w:instrText>ADDIN BEC{Adler-Moore et al., 2019 #154551}</w:instrText>
      </w:r>
      <w:r w:rsidRPr="00635D78">
        <w:rPr>
          <w:rFonts w:ascii="Arial" w:hAnsi="Arial" w:cs="Arial"/>
          <w:sz w:val="24"/>
          <w:szCs w:val="24"/>
        </w:rPr>
        <w:fldChar w:fldCharType="separate"/>
      </w:r>
      <w:r w:rsidRPr="00635D78">
        <w:rPr>
          <w:rFonts w:ascii="Arial" w:hAnsi="Arial" w:cs="Arial"/>
          <w:sz w:val="24"/>
          <w:szCs w:val="24"/>
          <w:lang w:bidi="en"/>
        </w:rPr>
        <w:t>[15]</w:t>
      </w:r>
      <w:r w:rsidRPr="00635D78">
        <w:rPr>
          <w:rFonts w:ascii="Arial" w:hAnsi="Arial" w:cs="Arial"/>
          <w:sz w:val="24"/>
          <w:szCs w:val="24"/>
        </w:rPr>
        <w:fldChar w:fldCharType="end"/>
      </w:r>
      <w:r w:rsidRPr="00635D78">
        <w:rPr>
          <w:rFonts w:ascii="Arial" w:hAnsi="Arial" w:cs="Arial"/>
          <w:sz w:val="24"/>
          <w:szCs w:val="24"/>
          <w:lang w:bidi="en"/>
        </w:rPr>
        <w:t xml:space="preserve">. However, the dose-response relationship varied by organ, exhibiting linear kinetics in </w:t>
      </w:r>
      <w:r w:rsidRPr="00635D78">
        <w:rPr>
          <w:rFonts w:ascii="Arial" w:hAnsi="Arial" w:cs="Arial"/>
          <w:sz w:val="24"/>
          <w:szCs w:val="24"/>
          <w:lang w:bidi="en"/>
        </w:rPr>
        <w:lastRenderedPageBreak/>
        <w:t>some tissues and non-linear kinetics in others, influenced by both animal species and infection status. The liver and spleen consistently showed the highest drug retention across all animal infection models.</w:t>
      </w:r>
    </w:p>
    <w:p w14:paraId="1145317B" w14:textId="3396EC4E"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Several important limitations must be considered when extrapolating preclinical dose-response findings to clinical practice. Murine models of mucormycosis typically employ standardized immunosuppression regimens (neutropenia or diabetic ketoacidosis) that do not fully reflect the heterogeneous immune states encountered in patients with hematologic malignancies, solid organ transplantation, or uncontrolled diabetes. Furthermore, antifungal therapy in animal models is generally initiated shortly after experimental infection, whereas clinical diagnosis of mucormycosis is frequently delayed, potentially altering the relationship between drug exposure and therapeutic response. Finally, patient-specific factors affecting L-AMB distribution and </w:t>
      </w:r>
      <w:r w:rsidR="00ED2AA3" w:rsidRPr="00635D78">
        <w:rPr>
          <w:rFonts w:ascii="Arial" w:hAnsi="Arial" w:cs="Arial"/>
          <w:sz w:val="24"/>
          <w:szCs w:val="24"/>
          <w:lang w:bidi="en"/>
        </w:rPr>
        <w:t xml:space="preserve">elimination, </w:t>
      </w:r>
      <w:r w:rsidRPr="00635D78">
        <w:rPr>
          <w:rFonts w:ascii="Arial" w:hAnsi="Arial" w:cs="Arial"/>
          <w:sz w:val="24"/>
          <w:szCs w:val="24"/>
          <w:lang w:bidi="en"/>
        </w:rPr>
        <w:t xml:space="preserve">including obesity, critical illness, fluid overload, and concurrent nephrotoxic medications—are not captured in preclinical models, limiting the direct applicability of animal-derived pharmacodynamic targets to individualized dosing </w:t>
      </w:r>
      <w:r w:rsidR="00ED2AA3" w:rsidRPr="00635D78">
        <w:rPr>
          <w:rFonts w:ascii="Arial" w:hAnsi="Arial" w:cs="Arial"/>
          <w:sz w:val="24"/>
          <w:szCs w:val="24"/>
          <w:lang w:bidi="en"/>
        </w:rPr>
        <w:t>decisions.</w:t>
      </w:r>
    </w:p>
    <w:p w14:paraId="2688074A"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4. Should L-AMB dosing in mucormycosis be genus or species specific?</w:t>
      </w:r>
    </w:p>
    <w:p w14:paraId="4B8C5FEC" w14:textId="50991273"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The concept of using higher antifungal doses to treat yeast and some resistant </w:t>
      </w:r>
      <w:r w:rsidRPr="00635D78">
        <w:rPr>
          <w:rFonts w:ascii="Arial" w:hAnsi="Arial" w:cs="Arial"/>
          <w:i/>
          <w:iCs/>
          <w:sz w:val="24"/>
          <w:szCs w:val="24"/>
          <w:lang w:bidi="en"/>
        </w:rPr>
        <w:t xml:space="preserve">Aspergillus </w:t>
      </w:r>
      <w:r w:rsidRPr="00635D78">
        <w:rPr>
          <w:rFonts w:ascii="Arial" w:hAnsi="Arial" w:cs="Arial"/>
          <w:sz w:val="24"/>
          <w:szCs w:val="24"/>
          <w:lang w:bidi="en"/>
        </w:rPr>
        <w:t xml:space="preserve">spp. is generally accepted for triazole antifungals but not established for L-AMB even for these more common fungal infections. Frequently clinicians must empirically initiate L-AMB therapy for suspected mucormycosis based on rapidly progressing clinical or radiographic signs - e.g., breakthrough sinusitis on </w:t>
      </w:r>
      <w:r w:rsidRPr="00635D78">
        <w:rPr>
          <w:rFonts w:ascii="Arial" w:hAnsi="Arial" w:cs="Arial"/>
          <w:i/>
          <w:iCs/>
          <w:sz w:val="24"/>
          <w:szCs w:val="24"/>
          <w:lang w:bidi="en"/>
        </w:rPr>
        <w:t>Aspergillus</w:t>
      </w:r>
      <w:r w:rsidRPr="00635D78">
        <w:rPr>
          <w:rFonts w:ascii="Arial" w:hAnsi="Arial" w:cs="Arial"/>
          <w:sz w:val="24"/>
          <w:szCs w:val="24"/>
          <w:lang w:bidi="en"/>
        </w:rPr>
        <w:t xml:space="preserve">-active antifungal therapy, hard palate or nasal bridge necrosis, reverse halo sign on computed tomography- before an infecting isolate is recovered and identified to the species level. No studies have demonstrated the utility of </w:t>
      </w:r>
      <w:r w:rsidRPr="00635D78">
        <w:rPr>
          <w:rFonts w:ascii="Arial" w:hAnsi="Arial" w:cs="Arial"/>
          <w:i/>
          <w:iCs/>
          <w:sz w:val="24"/>
          <w:szCs w:val="24"/>
          <w:lang w:bidi="en"/>
        </w:rPr>
        <w:t xml:space="preserve">in vitro </w:t>
      </w:r>
      <w:r w:rsidRPr="00635D78">
        <w:rPr>
          <w:rFonts w:ascii="Arial" w:hAnsi="Arial" w:cs="Arial"/>
          <w:sz w:val="24"/>
          <w:szCs w:val="24"/>
          <w:lang w:bidi="en"/>
        </w:rPr>
        <w:t xml:space="preserve">susceptibility testing for guiding amphotericin B dosing </w:t>
      </w:r>
      <w:r w:rsidRPr="00635D78">
        <w:rPr>
          <w:rFonts w:ascii="Arial" w:hAnsi="Arial" w:cs="Arial"/>
          <w:sz w:val="24"/>
          <w:szCs w:val="24"/>
        </w:rPr>
        <w:fldChar w:fldCharType="begin"/>
      </w:r>
      <w:r w:rsidRPr="00635D78">
        <w:rPr>
          <w:rFonts w:ascii="Arial" w:hAnsi="Arial" w:cs="Arial"/>
          <w:sz w:val="24"/>
          <w:szCs w:val="24"/>
        </w:rPr>
        <w:instrText>ADDIN BEC{Cornely et al., 2019 #122096}</w:instrText>
      </w:r>
      <w:r w:rsidRPr="00635D78">
        <w:rPr>
          <w:rFonts w:ascii="Arial" w:hAnsi="Arial" w:cs="Arial"/>
          <w:sz w:val="24"/>
          <w:szCs w:val="24"/>
        </w:rPr>
        <w:fldChar w:fldCharType="separate"/>
      </w:r>
      <w:r w:rsidRPr="00635D78">
        <w:rPr>
          <w:rFonts w:ascii="Arial" w:hAnsi="Arial" w:cs="Arial"/>
          <w:sz w:val="24"/>
          <w:szCs w:val="24"/>
          <w:lang w:bidi="en"/>
        </w:rPr>
        <w:t>[5]</w:t>
      </w:r>
      <w:r w:rsidRPr="00635D78">
        <w:rPr>
          <w:rFonts w:ascii="Arial" w:hAnsi="Arial" w:cs="Arial"/>
          <w:sz w:val="24"/>
          <w:szCs w:val="24"/>
        </w:rPr>
        <w:fldChar w:fldCharType="end"/>
      </w:r>
      <w:r w:rsidRPr="00635D78">
        <w:rPr>
          <w:rFonts w:ascii="Arial" w:hAnsi="Arial" w:cs="Arial"/>
          <w:i/>
          <w:iCs/>
          <w:sz w:val="24"/>
          <w:szCs w:val="24"/>
          <w:lang w:bidi="en"/>
        </w:rPr>
        <w:t xml:space="preserve">. In vitro </w:t>
      </w:r>
      <w:r w:rsidRPr="00635D78">
        <w:rPr>
          <w:rFonts w:ascii="Arial" w:hAnsi="Arial" w:cs="Arial"/>
          <w:sz w:val="24"/>
          <w:szCs w:val="24"/>
          <w:lang w:bidi="en"/>
        </w:rPr>
        <w:t xml:space="preserve">susceptibility </w:t>
      </w:r>
      <w:r w:rsidRPr="00635D78">
        <w:rPr>
          <w:rFonts w:ascii="Arial" w:hAnsi="Arial" w:cs="Arial"/>
          <w:sz w:val="24"/>
          <w:szCs w:val="24"/>
          <w:lang w:bidi="en"/>
        </w:rPr>
        <w:lastRenderedPageBreak/>
        <w:t>testing reveals modest MIC differences among Mucorales genera, with</w:t>
      </w:r>
      <w:r w:rsidRPr="00635D78">
        <w:rPr>
          <w:rFonts w:ascii="Arial" w:hAnsi="Arial" w:cs="Arial"/>
          <w:i/>
          <w:iCs/>
          <w:sz w:val="24"/>
          <w:szCs w:val="24"/>
          <w:lang w:bidi="en"/>
        </w:rPr>
        <w:t xml:space="preserve"> Rhizopus</w:t>
      </w:r>
      <w:r w:rsidRPr="00635D78">
        <w:rPr>
          <w:rFonts w:ascii="Arial" w:hAnsi="Arial" w:cs="Arial"/>
          <w:sz w:val="24"/>
          <w:szCs w:val="24"/>
          <w:lang w:bidi="en"/>
        </w:rPr>
        <w:t xml:space="preserve"> and </w:t>
      </w:r>
      <w:r w:rsidRPr="00635D78">
        <w:rPr>
          <w:rFonts w:ascii="Arial" w:hAnsi="Arial" w:cs="Arial"/>
          <w:i/>
          <w:iCs/>
          <w:sz w:val="24"/>
          <w:szCs w:val="24"/>
          <w:lang w:bidi="en"/>
        </w:rPr>
        <w:t xml:space="preserve">Mucor </w:t>
      </w:r>
      <w:r w:rsidRPr="00635D78">
        <w:rPr>
          <w:rFonts w:ascii="Arial" w:hAnsi="Arial" w:cs="Arial"/>
          <w:sz w:val="24"/>
          <w:szCs w:val="24"/>
          <w:lang w:bidi="en"/>
        </w:rPr>
        <w:t xml:space="preserve">species demonstrating similar susceptibility profiles, while </w:t>
      </w:r>
      <w:r w:rsidRPr="00635D78">
        <w:rPr>
          <w:rFonts w:ascii="Arial" w:hAnsi="Arial" w:cs="Arial"/>
          <w:i/>
          <w:iCs/>
          <w:sz w:val="24"/>
          <w:szCs w:val="24"/>
          <w:lang w:bidi="en"/>
        </w:rPr>
        <w:t>Cunninghamella</w:t>
      </w:r>
      <w:r w:rsidRPr="00635D78">
        <w:rPr>
          <w:rFonts w:ascii="Arial" w:hAnsi="Arial" w:cs="Arial"/>
          <w:sz w:val="24"/>
          <w:szCs w:val="24"/>
          <w:lang w:bidi="en"/>
        </w:rPr>
        <w:t xml:space="preserve"> and </w:t>
      </w:r>
      <w:r w:rsidRPr="00635D78">
        <w:rPr>
          <w:rFonts w:ascii="Arial" w:hAnsi="Arial" w:cs="Arial"/>
          <w:i/>
          <w:iCs/>
          <w:sz w:val="24"/>
          <w:szCs w:val="24"/>
          <w:lang w:bidi="en"/>
        </w:rPr>
        <w:t>Lichtheimia</w:t>
      </w:r>
      <w:r w:rsidRPr="00635D78">
        <w:rPr>
          <w:rFonts w:ascii="Arial" w:hAnsi="Arial" w:cs="Arial"/>
          <w:sz w:val="24"/>
          <w:szCs w:val="24"/>
          <w:lang w:bidi="en"/>
        </w:rPr>
        <w:t xml:space="preserve"> species tend to exhibit higher MICs </w:t>
      </w:r>
      <w:r w:rsidRPr="00635D78">
        <w:rPr>
          <w:rFonts w:ascii="Arial" w:hAnsi="Arial" w:cs="Arial"/>
          <w:sz w:val="24"/>
          <w:szCs w:val="24"/>
        </w:rPr>
        <w:fldChar w:fldCharType="begin"/>
      </w:r>
      <w:r w:rsidRPr="00635D78">
        <w:rPr>
          <w:rFonts w:ascii="Arial" w:hAnsi="Arial" w:cs="Arial"/>
          <w:sz w:val="24"/>
          <w:szCs w:val="24"/>
        </w:rPr>
        <w:instrText>ADDIN BEC{Guinea et al., 2017 #49546}</w:instrText>
      </w:r>
      <w:r w:rsidRPr="00635D78">
        <w:rPr>
          <w:rFonts w:ascii="Arial" w:hAnsi="Arial" w:cs="Arial"/>
          <w:sz w:val="24"/>
          <w:szCs w:val="24"/>
        </w:rPr>
        <w:fldChar w:fldCharType="separate"/>
      </w:r>
      <w:r w:rsidRPr="00635D78">
        <w:rPr>
          <w:rFonts w:ascii="Arial" w:hAnsi="Arial" w:cs="Arial"/>
          <w:sz w:val="24"/>
          <w:szCs w:val="24"/>
          <w:lang w:bidi="en"/>
        </w:rPr>
        <w:t>[29]</w:t>
      </w:r>
      <w:r w:rsidRPr="00635D78">
        <w:rPr>
          <w:rFonts w:ascii="Arial" w:hAnsi="Arial" w:cs="Arial"/>
          <w:sz w:val="24"/>
          <w:szCs w:val="24"/>
        </w:rPr>
        <w:fldChar w:fldCharType="end"/>
      </w:r>
      <w:r w:rsidRPr="00635D78">
        <w:rPr>
          <w:rFonts w:ascii="Arial" w:hAnsi="Arial" w:cs="Arial"/>
          <w:sz w:val="24"/>
          <w:szCs w:val="24"/>
          <w:lang w:bidi="en"/>
        </w:rPr>
        <w:t xml:space="preserve">. As discussed previously, animal model studies consistently demonstrate equivalent efficacy of L-AMB at 10-15 mg/kg against both </w:t>
      </w:r>
      <w:r w:rsidRPr="00635D78">
        <w:rPr>
          <w:rFonts w:ascii="Arial" w:hAnsi="Arial" w:cs="Arial"/>
          <w:i/>
          <w:iCs/>
          <w:sz w:val="24"/>
          <w:szCs w:val="24"/>
          <w:lang w:bidi="en"/>
        </w:rPr>
        <w:t>Rhizopus</w:t>
      </w:r>
      <w:r w:rsidRPr="00635D78">
        <w:rPr>
          <w:rFonts w:ascii="Arial" w:hAnsi="Arial" w:cs="Arial"/>
          <w:sz w:val="24"/>
          <w:szCs w:val="24"/>
          <w:lang w:bidi="en"/>
        </w:rPr>
        <w:t xml:space="preserve"> and </w:t>
      </w:r>
      <w:r w:rsidRPr="00635D78">
        <w:rPr>
          <w:rFonts w:ascii="Arial" w:hAnsi="Arial" w:cs="Arial"/>
          <w:i/>
          <w:iCs/>
          <w:sz w:val="24"/>
          <w:szCs w:val="24"/>
          <w:lang w:bidi="en"/>
        </w:rPr>
        <w:t>Mucor</w:t>
      </w:r>
      <w:r w:rsidRPr="00635D78">
        <w:rPr>
          <w:rFonts w:ascii="Arial" w:hAnsi="Arial" w:cs="Arial"/>
          <w:sz w:val="24"/>
          <w:szCs w:val="24"/>
          <w:lang w:bidi="en"/>
        </w:rPr>
        <w:t xml:space="preserve"> species, with no differential dosing required to achieve comparable survival and tissue burden reductions. </w:t>
      </w:r>
      <w:r w:rsidRPr="00635D78">
        <w:rPr>
          <w:rFonts w:ascii="Arial" w:hAnsi="Arial" w:cs="Arial"/>
          <w:i/>
          <w:iCs/>
          <w:sz w:val="24"/>
          <w:szCs w:val="24"/>
          <w:lang w:bidi="en"/>
        </w:rPr>
        <w:t>Cunninghamella bertholletiae</w:t>
      </w:r>
      <w:r w:rsidRPr="00635D78">
        <w:rPr>
          <w:rFonts w:ascii="Arial" w:hAnsi="Arial" w:cs="Arial"/>
          <w:sz w:val="24"/>
          <w:szCs w:val="24"/>
          <w:lang w:bidi="en"/>
        </w:rPr>
        <w:t xml:space="preserve"> may be an exception, demonstrating reduced in vitro susceptibility to AMB (geometric mean MIC 2 µg/mL vs. &lt; 1 2 µg/mL for </w:t>
      </w:r>
      <w:r w:rsidRPr="00635D78">
        <w:rPr>
          <w:rFonts w:ascii="Arial" w:hAnsi="Arial" w:cs="Arial"/>
          <w:i/>
          <w:iCs/>
          <w:sz w:val="24"/>
          <w:szCs w:val="24"/>
          <w:lang w:bidi="en"/>
        </w:rPr>
        <w:t>Rhizopus, Lichtheimia and Mucor</w:t>
      </w:r>
      <w:r w:rsidRPr="00635D78">
        <w:rPr>
          <w:rFonts w:ascii="Arial" w:hAnsi="Arial" w:cs="Arial"/>
          <w:sz w:val="24"/>
          <w:szCs w:val="24"/>
          <w:lang w:bidi="en"/>
        </w:rPr>
        <w:t xml:space="preserve"> ) higher clinical mortality despite standard therapy in several case series </w:t>
      </w:r>
      <w:r w:rsidRPr="00635D78">
        <w:rPr>
          <w:rFonts w:ascii="Arial" w:hAnsi="Arial" w:cs="Arial"/>
          <w:sz w:val="24"/>
          <w:szCs w:val="24"/>
        </w:rPr>
        <w:fldChar w:fldCharType="begin"/>
      </w:r>
      <w:r w:rsidRPr="00635D78">
        <w:rPr>
          <w:rFonts w:ascii="Arial" w:hAnsi="Arial" w:cs="Arial"/>
          <w:sz w:val="24"/>
          <w:szCs w:val="24"/>
        </w:rPr>
        <w:instrText>ADDIN BEC{Guinea et al., 2017 #49546}</w:instrText>
      </w:r>
      <w:r w:rsidRPr="00635D78">
        <w:rPr>
          <w:rFonts w:ascii="Arial" w:hAnsi="Arial" w:cs="Arial"/>
          <w:sz w:val="24"/>
          <w:szCs w:val="24"/>
        </w:rPr>
        <w:fldChar w:fldCharType="separate"/>
      </w:r>
      <w:r w:rsidRPr="00635D78">
        <w:rPr>
          <w:rFonts w:ascii="Arial" w:hAnsi="Arial" w:cs="Arial"/>
          <w:sz w:val="24"/>
          <w:szCs w:val="24"/>
          <w:lang w:bidi="en"/>
        </w:rPr>
        <w:t>[29]</w:t>
      </w:r>
      <w:r w:rsidRPr="00635D78">
        <w:rPr>
          <w:rFonts w:ascii="Arial" w:hAnsi="Arial" w:cs="Arial"/>
          <w:sz w:val="24"/>
          <w:szCs w:val="24"/>
        </w:rPr>
        <w:fldChar w:fldCharType="end"/>
      </w:r>
      <w:r w:rsidRPr="00635D78">
        <w:rPr>
          <w:rFonts w:ascii="Arial" w:hAnsi="Arial" w:cs="Arial"/>
          <w:sz w:val="24"/>
          <w:szCs w:val="24"/>
          <w:lang w:bidi="en"/>
        </w:rPr>
        <w:t xml:space="preserve">. However, clinical outcome data stratified by species remain limited, and no studies have tested whether dose escalation improves outcomes for less susceptible species. Notably, the large Japanese nationwide analysis of 82 patients found that species of Mucorales had no detectable effect on survival; instead, prolonged neutropenia and persistent hyperglycemia were the factors most strongly associated with clinical outcome </w:t>
      </w:r>
      <w:r w:rsidRPr="00635D78">
        <w:rPr>
          <w:rFonts w:ascii="Arial" w:hAnsi="Arial" w:cs="Arial"/>
          <w:sz w:val="24"/>
          <w:szCs w:val="24"/>
        </w:rPr>
        <w:fldChar w:fldCharType="begin"/>
      </w:r>
      <w:r w:rsidRPr="00635D78">
        <w:rPr>
          <w:rFonts w:ascii="Arial" w:hAnsi="Arial" w:cs="Arial"/>
          <w:sz w:val="24"/>
          <w:szCs w:val="24"/>
        </w:rPr>
        <w:instrText>ADDIN BEC{Tashiro et al., 2023 #222766}</w:instrText>
      </w:r>
      <w:r w:rsidRPr="00635D78">
        <w:rPr>
          <w:rFonts w:ascii="Arial" w:hAnsi="Arial" w:cs="Arial"/>
          <w:sz w:val="24"/>
          <w:szCs w:val="24"/>
        </w:rPr>
        <w:fldChar w:fldCharType="separate"/>
      </w:r>
      <w:r w:rsidRPr="00635D78">
        <w:rPr>
          <w:rFonts w:ascii="Arial" w:hAnsi="Arial" w:cs="Arial"/>
          <w:sz w:val="24"/>
          <w:szCs w:val="24"/>
          <w:lang w:bidi="en"/>
        </w:rPr>
        <w:t>[10]</w:t>
      </w:r>
      <w:r w:rsidRPr="00635D78">
        <w:rPr>
          <w:rFonts w:ascii="Arial" w:hAnsi="Arial" w:cs="Arial"/>
          <w:sz w:val="24"/>
          <w:szCs w:val="24"/>
        </w:rPr>
        <w:fldChar w:fldCharType="end"/>
      </w:r>
      <w:r w:rsidRPr="00635D78">
        <w:rPr>
          <w:rFonts w:ascii="Arial" w:hAnsi="Arial" w:cs="Arial"/>
          <w:sz w:val="24"/>
          <w:szCs w:val="24"/>
          <w:lang w:bidi="en"/>
        </w:rPr>
        <w:t xml:space="preserve">. While species identification may inform prognosis, current data are insufficient to recommend species-specific dosing adjustments. For CNS involvement, higher doses may be warranted due to limited blood-brain barrier penetration rather than species-specific considerations. We acknowledge this as an important area for future research, particularly prospective studies correlating species-level MIC data with clinical outcomes and drug </w:t>
      </w:r>
      <w:r w:rsidR="00ED2AA3" w:rsidRPr="00635D78">
        <w:rPr>
          <w:rFonts w:ascii="Arial" w:hAnsi="Arial" w:cs="Arial"/>
          <w:sz w:val="24"/>
          <w:szCs w:val="24"/>
          <w:lang w:bidi="en"/>
        </w:rPr>
        <w:t>exposure.</w:t>
      </w:r>
    </w:p>
    <w:p w14:paraId="6348C9DB"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5. Human pharmacokinetics</w:t>
      </w:r>
    </w:p>
    <w:p w14:paraId="7A74D0B0"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Following intravenous administration, liposomal amphotericin B (L-AMB) maintains its physicochemical integrity circulating in the bloodstream over extended periods, resulting in prolonged residence time within the central compartment (Figure 1). The drug is then taken up primarily by organs rich in reticuloendothelial cells (i.e. liver, </w:t>
      </w:r>
      <w:r w:rsidRPr="00635D78">
        <w:rPr>
          <w:rFonts w:ascii="Arial" w:hAnsi="Arial" w:cs="Arial"/>
          <w:sz w:val="24"/>
          <w:szCs w:val="24"/>
          <w:lang w:bidi="en"/>
        </w:rPr>
        <w:lastRenderedPageBreak/>
        <w:t>spleen) and then redistributes to other body compartments including the lung, kidney and central nervous system.</w:t>
      </w:r>
    </w:p>
    <w:p w14:paraId="6E76F2FC"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The drug exhibits non-linear pharmacokinetics with substantial interpatient pharmacokinetic variability across therapeutic doses. At doses of 1.0, 2.5, 5.0, and 7.5 mg/kg, first-day mean AUCs increased disproportionally (32, 71, 294, and 534 µg·h/mL, respectively) . Concurrently, mean plasma clearance declined at higher doses, decreasing from 39-51 mL/h/kg at 1.0-2.5 mg/kg/day to 21-25 mL/h/kg at 5.0-7.5 mg/kg/day </w:t>
      </w:r>
      <w:r w:rsidRPr="00635D78">
        <w:rPr>
          <w:rFonts w:ascii="Arial" w:hAnsi="Arial" w:cs="Arial"/>
          <w:sz w:val="24"/>
          <w:szCs w:val="24"/>
        </w:rPr>
        <w:fldChar w:fldCharType="begin"/>
      </w:r>
      <w:r w:rsidRPr="00635D78">
        <w:rPr>
          <w:rFonts w:ascii="Arial" w:hAnsi="Arial" w:cs="Arial"/>
          <w:sz w:val="24"/>
          <w:szCs w:val="24"/>
        </w:rPr>
        <w:instrText>ADDIN BEC{Walsh et al., 1998 #27869}</w:instrText>
      </w:r>
      <w:r w:rsidRPr="00635D78">
        <w:rPr>
          <w:rFonts w:ascii="Arial" w:hAnsi="Arial" w:cs="Arial"/>
          <w:sz w:val="24"/>
          <w:szCs w:val="24"/>
        </w:rPr>
        <w:fldChar w:fldCharType="separate"/>
      </w:r>
      <w:r w:rsidRPr="00635D78">
        <w:rPr>
          <w:rFonts w:ascii="Arial" w:hAnsi="Arial" w:cs="Arial"/>
          <w:sz w:val="24"/>
          <w:szCs w:val="24"/>
          <w:lang w:bidi="en"/>
        </w:rPr>
        <w:t>[30]</w:t>
      </w:r>
      <w:r w:rsidRPr="00635D78">
        <w:rPr>
          <w:rFonts w:ascii="Arial" w:hAnsi="Arial" w:cs="Arial"/>
          <w:sz w:val="24"/>
          <w:szCs w:val="24"/>
        </w:rPr>
        <w:fldChar w:fldCharType="end"/>
      </w:r>
      <w:r w:rsidRPr="00635D78">
        <w:rPr>
          <w:rFonts w:ascii="Arial" w:hAnsi="Arial" w:cs="Arial"/>
          <w:sz w:val="24"/>
          <w:szCs w:val="24"/>
          <w:lang w:bidi="en"/>
        </w:rPr>
        <w:t xml:space="preserve">. There are relatively few data describing how the distribution of L-AMB changes over time- i.e. whether saturation in tissue update alters the distribution of the drug </w:t>
      </w:r>
      <w:r w:rsidRPr="00635D78">
        <w:rPr>
          <w:rFonts w:ascii="Arial" w:hAnsi="Arial" w:cs="Arial"/>
          <w:sz w:val="24"/>
          <w:szCs w:val="24"/>
        </w:rPr>
        <w:fldChar w:fldCharType="begin"/>
      </w:r>
      <w:r w:rsidRPr="00635D78">
        <w:rPr>
          <w:rFonts w:ascii="Arial" w:hAnsi="Arial" w:cs="Arial"/>
          <w:sz w:val="24"/>
          <w:szCs w:val="24"/>
        </w:rPr>
        <w:instrText>ADDIN BEC{Groll et al., 2019 #7879}</w:instrText>
      </w:r>
      <w:r w:rsidRPr="00635D78">
        <w:rPr>
          <w:rFonts w:ascii="Arial" w:hAnsi="Arial" w:cs="Arial"/>
          <w:sz w:val="24"/>
          <w:szCs w:val="24"/>
        </w:rPr>
        <w:fldChar w:fldCharType="separate"/>
      </w:r>
      <w:r w:rsidRPr="00635D78">
        <w:rPr>
          <w:rFonts w:ascii="Arial" w:hAnsi="Arial" w:cs="Arial"/>
          <w:sz w:val="24"/>
          <w:szCs w:val="24"/>
          <w:lang w:bidi="en"/>
        </w:rPr>
        <w:t>[20]</w:t>
      </w:r>
      <w:r w:rsidRPr="00635D78">
        <w:rPr>
          <w:rFonts w:ascii="Arial" w:hAnsi="Arial" w:cs="Arial"/>
          <w:sz w:val="24"/>
          <w:szCs w:val="24"/>
        </w:rPr>
        <w:fldChar w:fldCharType="end"/>
      </w:r>
      <w:r w:rsidRPr="00635D78">
        <w:rPr>
          <w:rFonts w:ascii="Arial" w:hAnsi="Arial" w:cs="Arial"/>
          <w:sz w:val="24"/>
          <w:szCs w:val="24"/>
          <w:lang w:bidi="en"/>
        </w:rPr>
        <w:t>.</w:t>
      </w:r>
    </w:p>
    <w:p w14:paraId="6454A1E9"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The non-linear behavior of L-AMB pharmacokinetic  becomes more pronounced with further dose escalation. A subsequent Phase I/II trial evaluating 10, 12.5, and 15 mg/kg/day L-AMB in patients with invasive mold infections reported mean AUC and Cmax values plateaued at 10 mg/kg/day and paradoxically declined at doses of 12.5 and 15 mg/kg/day, indicating saturable distribution or elimination pathways </w:t>
      </w:r>
      <w:r w:rsidRPr="00635D78">
        <w:rPr>
          <w:rFonts w:ascii="Arial" w:hAnsi="Arial" w:cs="Arial"/>
          <w:sz w:val="24"/>
          <w:szCs w:val="24"/>
        </w:rPr>
        <w:fldChar w:fldCharType="begin"/>
      </w:r>
      <w:r w:rsidRPr="00635D78">
        <w:rPr>
          <w:rFonts w:ascii="Arial" w:hAnsi="Arial" w:cs="Arial"/>
          <w:sz w:val="24"/>
          <w:szCs w:val="24"/>
        </w:rPr>
        <w:instrText>ADDIN BEC{Walsh et al., 1998 #27869}</w:instrText>
      </w:r>
      <w:r w:rsidRPr="00635D78">
        <w:rPr>
          <w:rFonts w:ascii="Arial" w:hAnsi="Arial" w:cs="Arial"/>
          <w:sz w:val="24"/>
          <w:szCs w:val="24"/>
        </w:rPr>
        <w:fldChar w:fldCharType="separate"/>
      </w:r>
      <w:r w:rsidRPr="00635D78">
        <w:rPr>
          <w:rFonts w:ascii="Arial" w:hAnsi="Arial" w:cs="Arial"/>
          <w:sz w:val="24"/>
          <w:szCs w:val="24"/>
          <w:lang w:bidi="en"/>
        </w:rPr>
        <w:t>[30]</w:t>
      </w:r>
      <w:r w:rsidRPr="00635D78">
        <w:rPr>
          <w:rFonts w:ascii="Arial" w:hAnsi="Arial" w:cs="Arial"/>
          <w:sz w:val="24"/>
          <w:szCs w:val="24"/>
        </w:rPr>
        <w:fldChar w:fldCharType="end"/>
      </w:r>
      <w:r w:rsidRPr="00635D78">
        <w:rPr>
          <w:rFonts w:ascii="Arial" w:hAnsi="Arial" w:cs="Arial"/>
          <w:sz w:val="24"/>
          <w:szCs w:val="24"/>
          <w:lang w:bidi="en"/>
        </w:rPr>
        <w:t xml:space="preserve">. Therefore, it is unclear whether L-AMB daily dosages exceeding 10 mg/kg distribute more drug to target organs such as the lung, sinuses or brain, which are the most frequent sites of infection in invasive mucormycosis. Finally, human PK studies showed that, compared to AMB-deochycolate, liposomal AMB increases total AMB concentrations while decreasing unbound AMB concentrations in plasma as a result of sequestration of the drug in long-circulating liposomes </w:t>
      </w:r>
      <w:r w:rsidRPr="00635D78">
        <w:rPr>
          <w:rFonts w:ascii="Arial" w:hAnsi="Arial" w:cs="Arial"/>
          <w:sz w:val="24"/>
          <w:szCs w:val="24"/>
        </w:rPr>
        <w:fldChar w:fldCharType="begin"/>
      </w:r>
      <w:r w:rsidRPr="00635D78">
        <w:rPr>
          <w:rFonts w:ascii="Arial" w:hAnsi="Arial" w:cs="Arial"/>
          <w:sz w:val="24"/>
          <w:szCs w:val="24"/>
        </w:rPr>
        <w:instrText>ADDIN BEC{Bekersky et al., 1999 #71367;Bekersky et al., 2002 #38588}</w:instrText>
      </w:r>
      <w:r w:rsidRPr="00635D78">
        <w:rPr>
          <w:rFonts w:ascii="Arial" w:hAnsi="Arial" w:cs="Arial"/>
          <w:sz w:val="24"/>
          <w:szCs w:val="24"/>
        </w:rPr>
        <w:fldChar w:fldCharType="separate"/>
      </w:r>
      <w:r w:rsidRPr="00635D78">
        <w:rPr>
          <w:rFonts w:ascii="Arial" w:hAnsi="Arial" w:cs="Arial"/>
          <w:sz w:val="24"/>
          <w:szCs w:val="24"/>
          <w:lang w:bidi="en"/>
        </w:rPr>
        <w:t>[31,32]</w:t>
      </w:r>
      <w:r w:rsidRPr="00635D78">
        <w:rPr>
          <w:rFonts w:ascii="Arial" w:hAnsi="Arial" w:cs="Arial"/>
          <w:sz w:val="24"/>
          <w:szCs w:val="24"/>
        </w:rPr>
        <w:fldChar w:fldCharType="end"/>
      </w:r>
      <w:r w:rsidRPr="00635D78">
        <w:rPr>
          <w:rFonts w:ascii="Arial" w:hAnsi="Arial" w:cs="Arial"/>
          <w:sz w:val="24"/>
          <w:szCs w:val="24"/>
          <w:lang w:bidi="en"/>
        </w:rPr>
        <w:t xml:space="preserve"> however the clinical significance of this is uncertain</w:t>
      </w:r>
      <w:r w:rsidRPr="00635D78">
        <w:rPr>
          <w:rFonts w:ascii="Arial" w:hAnsi="Arial" w:cs="Arial"/>
          <w:b/>
          <w:bCs/>
          <w:sz w:val="24"/>
          <w:szCs w:val="24"/>
          <w:lang w:bidi="en"/>
        </w:rPr>
        <w:t xml:space="preserve">. </w:t>
      </w:r>
      <w:r w:rsidRPr="00635D78">
        <w:rPr>
          <w:rFonts w:ascii="Arial" w:hAnsi="Arial" w:cs="Arial"/>
          <w:sz w:val="24"/>
          <w:szCs w:val="24"/>
          <w:lang w:bidi="en"/>
        </w:rPr>
        <w:t>Table 1 provides an overview of the pharmacokinetic and pharmacodynamic properties of liposomal AMB</w:t>
      </w:r>
      <w:r w:rsidRPr="00635D78">
        <w:rPr>
          <w:rFonts w:ascii="Arial" w:hAnsi="Arial" w:cs="Arial"/>
          <w:b/>
          <w:bCs/>
          <w:sz w:val="24"/>
          <w:szCs w:val="24"/>
          <w:lang w:bidi="en"/>
        </w:rPr>
        <w:t>.</w:t>
      </w:r>
    </w:p>
    <w:p w14:paraId="1DD444EF"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Establishing meaningful pharmacokinetic-pharmacodynamic relationships for liposomal amphotericin B (L-AMB) is complicated by several factors. Routine assays measure total plasma amphotericin B concentrations, yet the pharmacologically </w:t>
      </w:r>
      <w:r w:rsidRPr="00635D78">
        <w:rPr>
          <w:rFonts w:ascii="Arial" w:hAnsi="Arial" w:cs="Arial"/>
          <w:sz w:val="24"/>
          <w:szCs w:val="24"/>
          <w:lang w:bidi="en"/>
        </w:rPr>
        <w:lastRenderedPageBreak/>
        <w:t>active fraction is the free (unbound) drug; amphotericin B exhibits complex protein binding that includes association with lipoproteins, making free concentrations difficult to determine reliably. More fundamentally, the relationship between plasma and tissue exposure is problematic for L-AMB due to preferential uptake by the reticuloendothelial system (liver, spleen, bone marrow), meaning that higher plasma concentrations do not necessarily translate to proportionally higher concentrations at infected tissue sites—particularly those outside the reticuloendothelial system such as lung, brain, or sinus tissue. These factors collectively limit the utility of plasma drug monitoring and help explain why clear concentration-response relationships have been difficult to establish for L-AMB in clinical studies.</w:t>
      </w:r>
    </w:p>
    <w:p w14:paraId="73653DC4"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6. Clinical studies</w:t>
      </w:r>
    </w:p>
    <w:p w14:paraId="0DFF8A35" w14:textId="2489A37F"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Several observational studies and one prospective pilot study evaluated clinical outcomes following administration of HD L-AMB (Table 2). The most informative trial to date was a pilot study lead by Lanternier et al. (Ambizygo trial), which prospectively evaluated high-dose liposomal amphotericin B (10 mg/kg/day) for 4 weeks in 33 patients with mucormycosis, with 71% undergoing surgical debridement </w:t>
      </w:r>
      <w:bookmarkStart w:id="0" w:name="_Hlk221028361"/>
      <w:r w:rsidRPr="00635D78">
        <w:rPr>
          <w:rFonts w:ascii="Arial" w:hAnsi="Arial" w:cs="Arial"/>
          <w:sz w:val="24"/>
          <w:szCs w:val="24"/>
        </w:rPr>
        <w:fldChar w:fldCharType="begin"/>
      </w:r>
      <w:r w:rsidRPr="00635D78">
        <w:rPr>
          <w:rFonts w:ascii="Arial" w:hAnsi="Arial" w:cs="Arial"/>
          <w:sz w:val="24"/>
          <w:szCs w:val="24"/>
        </w:rPr>
        <w:instrText>ADDIN BEC{Lanternier et al., 2015 #10205}</w:instrText>
      </w:r>
      <w:r w:rsidRPr="00635D78">
        <w:rPr>
          <w:rFonts w:ascii="Arial" w:hAnsi="Arial" w:cs="Arial"/>
          <w:sz w:val="24"/>
          <w:szCs w:val="24"/>
        </w:rPr>
        <w:fldChar w:fldCharType="separate"/>
      </w:r>
      <w:r w:rsidRPr="00635D78">
        <w:rPr>
          <w:rFonts w:ascii="Arial" w:hAnsi="Arial" w:cs="Arial"/>
          <w:sz w:val="24"/>
          <w:szCs w:val="24"/>
          <w:lang w:bidi="en"/>
        </w:rPr>
        <w:t>[8]</w:t>
      </w:r>
      <w:r w:rsidRPr="00635D78">
        <w:rPr>
          <w:rFonts w:ascii="Arial" w:hAnsi="Arial" w:cs="Arial"/>
          <w:sz w:val="24"/>
          <w:szCs w:val="24"/>
        </w:rPr>
        <w:fldChar w:fldCharType="end"/>
      </w:r>
      <w:bookmarkEnd w:id="0"/>
      <w:r w:rsidRPr="00635D78">
        <w:rPr>
          <w:rFonts w:ascii="Arial" w:hAnsi="Arial" w:cs="Arial"/>
          <w:sz w:val="24"/>
          <w:szCs w:val="24"/>
          <w:lang w:bidi="en"/>
        </w:rPr>
        <w:t>.  The overall response rate was 36% at week 4 and 45% at week 12, with mortality rates of 38% and 53% at weeks 12 and 24, respectively. Creatinine doubling occurred in 40% of patients, though renal dysfunction was reversible in 63% within 3 months. This study demonstrated that high-dose L-AMB combined with surgery achieved response rates comparable to other first-line therapies, despite increased but manageable nephrotoxicity.</w:t>
      </w:r>
      <w:r w:rsidRPr="00635D78">
        <w:rPr>
          <w:rFonts w:ascii="Arial" w:hAnsi="Arial" w:cs="Arial"/>
          <w:sz w:val="24"/>
          <w:szCs w:val="24"/>
        </w:rPr>
        <w:t xml:space="preserve"> Risk for nephrotoxicity could be influenced by the underlying host as it was more common in patients with diabetes mellitus. </w:t>
      </w:r>
      <w:r w:rsidR="00ED2AA3" w:rsidRPr="00635D78">
        <w:rPr>
          <w:rFonts w:ascii="Arial" w:hAnsi="Arial" w:cs="Arial"/>
          <w:sz w:val="24"/>
          <w:szCs w:val="24"/>
        </w:rPr>
        <w:t>Toxicity</w:t>
      </w:r>
      <w:r w:rsidRPr="00635D78">
        <w:rPr>
          <w:rFonts w:ascii="Arial" w:hAnsi="Arial" w:cs="Arial"/>
          <w:sz w:val="24"/>
          <w:szCs w:val="24"/>
        </w:rPr>
        <w:t xml:space="preserve"> can be host dependent, seen more commonly in the diabetes subgroup </w:t>
      </w:r>
      <w:r w:rsidRPr="00635D78">
        <w:rPr>
          <w:rFonts w:ascii="Arial" w:hAnsi="Arial" w:cs="Arial"/>
          <w:sz w:val="24"/>
          <w:szCs w:val="24"/>
        </w:rPr>
        <w:fldChar w:fldCharType="begin"/>
      </w:r>
      <w:r w:rsidRPr="00635D78">
        <w:rPr>
          <w:rFonts w:ascii="Arial" w:hAnsi="Arial" w:cs="Arial"/>
          <w:sz w:val="24"/>
          <w:szCs w:val="24"/>
        </w:rPr>
        <w:instrText>ADDIN BEC{Lanternier et al., 2015 #10205}</w:instrText>
      </w:r>
      <w:r w:rsidRPr="00635D78">
        <w:rPr>
          <w:rFonts w:ascii="Arial" w:hAnsi="Arial" w:cs="Arial"/>
          <w:sz w:val="24"/>
          <w:szCs w:val="24"/>
        </w:rPr>
        <w:fldChar w:fldCharType="separate"/>
      </w:r>
      <w:r w:rsidRPr="00635D78">
        <w:rPr>
          <w:rFonts w:ascii="Arial" w:hAnsi="Arial" w:cs="Arial"/>
          <w:sz w:val="24"/>
          <w:szCs w:val="24"/>
          <w:lang w:bidi="en"/>
        </w:rPr>
        <w:t>[8]</w:t>
      </w:r>
      <w:r w:rsidRPr="00635D78">
        <w:rPr>
          <w:rFonts w:ascii="Arial" w:hAnsi="Arial" w:cs="Arial"/>
          <w:sz w:val="24"/>
          <w:szCs w:val="24"/>
        </w:rPr>
        <w:fldChar w:fldCharType="end"/>
      </w:r>
      <w:r w:rsidRPr="00635D78">
        <w:rPr>
          <w:rFonts w:ascii="Arial" w:hAnsi="Arial" w:cs="Arial"/>
          <w:sz w:val="24"/>
          <w:szCs w:val="24"/>
        </w:rPr>
        <w:t xml:space="preserve">. It is unclear of nephrotoxicity is seen at an earlier point after the initiation of high-dose L AMB compared to patients who receive regular doses of L-AMB. </w:t>
      </w:r>
    </w:p>
    <w:p w14:paraId="1F65CC6D" w14:textId="77777777" w:rsidR="00635D78" w:rsidRPr="00635D78" w:rsidRDefault="00635D78" w:rsidP="00635D78">
      <w:pPr>
        <w:pStyle w:val="Body0"/>
        <w:rPr>
          <w:rFonts w:ascii="Arial" w:hAnsi="Arial" w:cs="Arial"/>
          <w:sz w:val="24"/>
          <w:szCs w:val="24"/>
        </w:rPr>
      </w:pPr>
    </w:p>
    <w:p w14:paraId="1F603BC7"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Although not specific for mucormycosis, the AmBiLoad trial was a randomized, double-blind study of 201 patients with invasive mold infections (97% aspergillosis) comparing liposomal amphotericin B at 3 mg/kg/day versus 10 mg/kg/day for 14 days followed by 3 mg/kg/day </w:t>
      </w:r>
      <w:r w:rsidRPr="00635D78">
        <w:rPr>
          <w:rFonts w:ascii="Arial" w:hAnsi="Arial" w:cs="Arial"/>
          <w:sz w:val="24"/>
          <w:szCs w:val="24"/>
        </w:rPr>
        <w:fldChar w:fldCharType="begin"/>
      </w:r>
      <w:r w:rsidRPr="00635D78">
        <w:rPr>
          <w:rFonts w:ascii="Arial" w:hAnsi="Arial" w:cs="Arial"/>
          <w:sz w:val="24"/>
          <w:szCs w:val="24"/>
        </w:rPr>
        <w:instrText>ADDIN BEC{Cornely et al., 2017 #34343}</w:instrText>
      </w:r>
      <w:r w:rsidRPr="00635D78">
        <w:rPr>
          <w:rFonts w:ascii="Arial" w:hAnsi="Arial" w:cs="Arial"/>
          <w:sz w:val="24"/>
          <w:szCs w:val="24"/>
        </w:rPr>
        <w:fldChar w:fldCharType="separate"/>
      </w:r>
      <w:r w:rsidRPr="00635D78">
        <w:rPr>
          <w:rFonts w:ascii="Arial" w:hAnsi="Arial" w:cs="Arial"/>
          <w:sz w:val="24"/>
          <w:szCs w:val="24"/>
          <w:lang w:bidi="en"/>
        </w:rPr>
        <w:t>[33]</w:t>
      </w:r>
      <w:r w:rsidRPr="00635D78">
        <w:rPr>
          <w:rFonts w:ascii="Arial" w:hAnsi="Arial" w:cs="Arial"/>
          <w:sz w:val="24"/>
          <w:szCs w:val="24"/>
        </w:rPr>
        <w:fldChar w:fldCharType="end"/>
      </w:r>
      <w:r w:rsidRPr="00635D78">
        <w:rPr>
          <w:rFonts w:ascii="Arial" w:hAnsi="Arial" w:cs="Arial"/>
          <w:sz w:val="24"/>
          <w:szCs w:val="24"/>
          <w:lang w:bidi="en"/>
        </w:rPr>
        <w:t>. No significant differences in favorable response (50% vs 46%) or 12-week survival (72% vs 59%) were observed between standard and high-dose groups, while nephrotoxicity (14% vs 31%, P&lt;0.01) and grade 3 hypokalemia (16% vs 30%, P=0.015) were significantly higher in the high-dose group. The trial established that 3 mg/kg/day liposomal amphotericin B is effective for invasive aspergillosis with no additional benefit from dose escalation to 10 mg/kg/day.</w:t>
      </w:r>
    </w:p>
    <w:p w14:paraId="49E21463"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Retrospective observational studies of invasive mucormycosis have failed to identify a signal of improved outcomes for patients treated with higher versus standard doses of L-AMB (Table 2)  </w:t>
      </w:r>
      <w:r w:rsidRPr="00635D78">
        <w:rPr>
          <w:rFonts w:ascii="Arial" w:hAnsi="Arial" w:cs="Arial"/>
          <w:sz w:val="24"/>
          <w:szCs w:val="24"/>
        </w:rPr>
        <w:fldChar w:fldCharType="begin"/>
      </w:r>
      <w:r w:rsidRPr="00635D78">
        <w:rPr>
          <w:rFonts w:ascii="Arial" w:hAnsi="Arial" w:cs="Arial"/>
          <w:sz w:val="24"/>
          <w:szCs w:val="24"/>
        </w:rPr>
        <w:instrText>ADDIN BEC{Tashiro et al., 2023 #222766;Jeong et al., 2019 #69553;Valiante et al., 2023 #215031;Stover et al., 2024 #68709;Elitzur et al., 2021 #67121;Risum et al., 2020 #311960}</w:instrText>
      </w:r>
      <w:r w:rsidRPr="00635D78">
        <w:rPr>
          <w:rFonts w:ascii="Arial" w:hAnsi="Arial" w:cs="Arial"/>
          <w:sz w:val="24"/>
          <w:szCs w:val="24"/>
        </w:rPr>
        <w:fldChar w:fldCharType="separate"/>
      </w:r>
      <w:r w:rsidRPr="00635D78">
        <w:rPr>
          <w:rFonts w:ascii="Arial" w:hAnsi="Arial" w:cs="Arial"/>
          <w:sz w:val="24"/>
          <w:szCs w:val="24"/>
          <w:lang w:bidi="en"/>
        </w:rPr>
        <w:t>[3,10,34–37]</w:t>
      </w:r>
      <w:r w:rsidRPr="00635D78">
        <w:rPr>
          <w:rFonts w:ascii="Arial" w:hAnsi="Arial" w:cs="Arial"/>
          <w:sz w:val="24"/>
          <w:szCs w:val="24"/>
        </w:rPr>
        <w:fldChar w:fldCharType="end"/>
      </w:r>
      <w:r w:rsidRPr="00635D78">
        <w:rPr>
          <w:rFonts w:ascii="Arial" w:hAnsi="Arial" w:cs="Arial"/>
          <w:sz w:val="24"/>
          <w:szCs w:val="24"/>
          <w:lang w:bidi="en"/>
        </w:rPr>
        <w:t xml:space="preserve"> However, interpretation of patient outcomes is confounded by unstandardized diagnosis, frequent use or combination therapy and surgical resection, and differences in host immunosuppression and underlying disease status.</w:t>
      </w:r>
    </w:p>
    <w:p w14:paraId="013504AB"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7. Scenarios where dosage escalation may still be considered</w:t>
      </w:r>
    </w:p>
    <w:p w14:paraId="6A00BA68"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While the available evidence does not support routine dose escalation of liposomal amphotericin B, certain clinical scenarios may warrant consideration of higher doses on an individualized basis. These include: CNS involvement, bone or osteoarticular infections where adequate tissue penetration is uncertain; progressive disease despite standard dosing when surgical debridement is not feasible; and patients infected with </w:t>
      </w:r>
      <w:r w:rsidRPr="00635D78">
        <w:rPr>
          <w:rFonts w:ascii="Arial" w:hAnsi="Arial" w:cs="Arial"/>
          <w:i/>
          <w:iCs/>
          <w:sz w:val="24"/>
          <w:szCs w:val="24"/>
          <w:lang w:bidi="en"/>
        </w:rPr>
        <w:t>Cunninghamella.</w:t>
      </w:r>
      <w:r w:rsidRPr="00635D78">
        <w:rPr>
          <w:rFonts w:ascii="Arial" w:hAnsi="Arial" w:cs="Arial"/>
          <w:sz w:val="24"/>
          <w:szCs w:val="24"/>
          <w:lang w:bidi="en"/>
        </w:rPr>
        <w:t xml:space="preserve"> It should be emphasized that these considerations represent expert opinion in the absence of controlled data, and the decision to </w:t>
      </w:r>
      <w:r w:rsidRPr="00635D78">
        <w:rPr>
          <w:rFonts w:ascii="Arial" w:hAnsi="Arial" w:cs="Arial"/>
          <w:sz w:val="24"/>
          <w:szCs w:val="24"/>
          <w:lang w:bidi="en"/>
        </w:rPr>
        <w:lastRenderedPageBreak/>
        <w:t>escalate dosing must weigh potential benefits against increased nephrotoxicity risk in each individual patient.</w:t>
      </w:r>
    </w:p>
    <w:p w14:paraId="38FC2104"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 xml:space="preserve">8. Conclusions </w:t>
      </w:r>
    </w:p>
    <w:p w14:paraId="3B8B77B6"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Collectively, there remains little evidence that higher-dose (&gt;5-6 mg/kg/day) L-AMB improves outcomes for mucormycosis. While preclinical models demonstrate broad dose-dependent efficacy, observational retrospective studies and the pilot AmBizygo pilot trial have failed to demonstrate improved survival with dose escalation beyond 5 mg/kg/day, despite increased nephrotoxicity risks. Several key knowledge gaps must be addressed to optimize L-AMB dosing strategies for this devastating infection.</w:t>
      </w:r>
    </w:p>
    <w:p w14:paraId="707C521D" w14:textId="2B5AEFA2"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First, the non-linear pharmacokinetics and apparent plateau in tissue distribution at doses exceeding 10 mg/kg/day warrant further investigation through prospective pharmacokinetic studies with tissue sampling. Understanding whether higher doses deliver more biologically active amphotericin B to target sites such as lungs, sinuses, and </w:t>
      </w:r>
      <w:r w:rsidR="00ED2AA3" w:rsidRPr="00635D78">
        <w:rPr>
          <w:rFonts w:ascii="Arial" w:hAnsi="Arial" w:cs="Arial"/>
          <w:sz w:val="24"/>
          <w:szCs w:val="24"/>
          <w:lang w:bidi="en"/>
        </w:rPr>
        <w:t xml:space="preserve">brain, </w:t>
      </w:r>
      <w:r w:rsidRPr="00635D78">
        <w:rPr>
          <w:rFonts w:ascii="Arial" w:hAnsi="Arial" w:cs="Arial"/>
          <w:sz w:val="24"/>
          <w:szCs w:val="24"/>
          <w:lang w:bidi="en"/>
        </w:rPr>
        <w:t>the most common sites of mucormycosis—is critical. Pharmacokinetic studies have also not explored more chronic phases of the infection, when tissue uptake of L-AMB may be saturated versus acute phases of the infection. Studies measuring free (non-liposome encapsulated) amphotericin B concentrations in infected tissues, rather than total drug concentrations, would provide more relevant pharmacodynamic targets. Moreover, identifying patient subgroups who achieve suboptimal drug exposure at standard doses—potentially due to high body weight, critical illness, or extracorporeal membrane oxygenation—may reveal populations who could benefit from dose escalation or shorter “induction” phases of high-dose treatment.</w:t>
      </w:r>
    </w:p>
    <w:p w14:paraId="6C6709EF" w14:textId="58DB9936"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Third, prospective randomized controlled trials comparing standard (5 mg/kg/day) versus high-dose (10 mg/kg/day) L-AMB </w:t>
      </w:r>
      <w:r w:rsidR="00ED2AA3" w:rsidRPr="00635D78">
        <w:rPr>
          <w:rFonts w:ascii="Arial" w:hAnsi="Arial" w:cs="Arial"/>
          <w:sz w:val="24"/>
          <w:szCs w:val="24"/>
          <w:lang w:bidi="en"/>
        </w:rPr>
        <w:t>remains</w:t>
      </w:r>
      <w:r w:rsidRPr="00635D78">
        <w:rPr>
          <w:rFonts w:ascii="Arial" w:hAnsi="Arial" w:cs="Arial"/>
          <w:sz w:val="24"/>
          <w:szCs w:val="24"/>
          <w:lang w:bidi="en"/>
        </w:rPr>
        <w:t xml:space="preserve"> the gold standard for establishing </w:t>
      </w:r>
      <w:r w:rsidRPr="00635D78">
        <w:rPr>
          <w:rFonts w:ascii="Arial" w:hAnsi="Arial" w:cs="Arial"/>
          <w:sz w:val="24"/>
          <w:szCs w:val="24"/>
          <w:lang w:bidi="en"/>
        </w:rPr>
        <w:lastRenderedPageBreak/>
        <w:t xml:space="preserve">optimal dosing but face significant feasibility challenges given the rarity and heterogeneity of mucormycosis. Collaborative international registry studies with standardized treatment protocols and detailed pharmacokinetic sampling could provide valuable real-world evidence. Ideally, such studies should stratify patients by infection site (particularly CNS involvement, where higher doses are commonly recommended), underlying immunosuppression, and timing of surgical debridement to identify patient-specific factors that modify the dose-response relationship. Notably recent studies have shown that infrequent high-dosages of L-AMB  (10 mg/kg once weekly) are as effective in the treatment of cryptococcal meningoencephalitis </w:t>
      </w:r>
      <w:r w:rsidRPr="00635D78">
        <w:rPr>
          <w:rFonts w:ascii="Arial" w:hAnsi="Arial" w:cs="Arial"/>
          <w:sz w:val="24"/>
          <w:szCs w:val="24"/>
        </w:rPr>
        <w:fldChar w:fldCharType="begin"/>
      </w:r>
      <w:r w:rsidRPr="00635D78">
        <w:rPr>
          <w:rFonts w:ascii="Arial" w:hAnsi="Arial" w:cs="Arial"/>
          <w:sz w:val="24"/>
          <w:szCs w:val="24"/>
        </w:rPr>
        <w:instrText>ADDIN BEC{Jarvis et al., 2022 #256197}</w:instrText>
      </w:r>
      <w:r w:rsidRPr="00635D78">
        <w:rPr>
          <w:rFonts w:ascii="Arial" w:hAnsi="Arial" w:cs="Arial"/>
          <w:sz w:val="24"/>
          <w:szCs w:val="24"/>
        </w:rPr>
        <w:fldChar w:fldCharType="separate"/>
      </w:r>
      <w:r w:rsidRPr="00635D78">
        <w:rPr>
          <w:rFonts w:ascii="Arial" w:hAnsi="Arial" w:cs="Arial"/>
          <w:sz w:val="24"/>
          <w:szCs w:val="24"/>
          <w:lang w:bidi="en"/>
        </w:rPr>
        <w:t>[38]</w:t>
      </w:r>
      <w:r w:rsidRPr="00635D78">
        <w:rPr>
          <w:rFonts w:ascii="Arial" w:hAnsi="Arial" w:cs="Arial"/>
          <w:sz w:val="24"/>
          <w:szCs w:val="24"/>
        </w:rPr>
        <w:fldChar w:fldCharType="end"/>
      </w:r>
      <w:r w:rsidRPr="00635D78">
        <w:rPr>
          <w:rFonts w:ascii="Arial" w:hAnsi="Arial" w:cs="Arial"/>
          <w:sz w:val="24"/>
          <w:szCs w:val="24"/>
          <w:lang w:bidi="en"/>
        </w:rPr>
        <w:t xml:space="preserve">, but the evidence supporting the efficacy of these regimens was based on a pharmacodynamic (early fungicidal activity in the cerebral spinal fluid) rather than pharmacokinetic endpoints </w:t>
      </w:r>
      <w:r w:rsidRPr="00635D78">
        <w:rPr>
          <w:rFonts w:ascii="Arial" w:hAnsi="Arial" w:cs="Arial"/>
          <w:sz w:val="24"/>
          <w:szCs w:val="24"/>
        </w:rPr>
        <w:fldChar w:fldCharType="begin"/>
      </w:r>
      <w:r w:rsidRPr="00635D78">
        <w:rPr>
          <w:rFonts w:ascii="Arial" w:hAnsi="Arial" w:cs="Arial"/>
          <w:sz w:val="24"/>
          <w:szCs w:val="24"/>
        </w:rPr>
        <w:instrText>ADDIN BEC{Stott et al., 2025 #21980}</w:instrText>
      </w:r>
      <w:r w:rsidRPr="00635D78">
        <w:rPr>
          <w:rFonts w:ascii="Arial" w:hAnsi="Arial" w:cs="Arial"/>
          <w:sz w:val="24"/>
          <w:szCs w:val="24"/>
        </w:rPr>
        <w:fldChar w:fldCharType="separate"/>
      </w:r>
      <w:r w:rsidRPr="00635D78">
        <w:rPr>
          <w:rFonts w:ascii="Arial" w:hAnsi="Arial" w:cs="Arial"/>
          <w:sz w:val="24"/>
          <w:szCs w:val="24"/>
          <w:lang w:bidi="en"/>
        </w:rPr>
        <w:t>[39]</w:t>
      </w:r>
      <w:r w:rsidRPr="00635D78">
        <w:rPr>
          <w:rFonts w:ascii="Arial" w:hAnsi="Arial" w:cs="Arial"/>
          <w:sz w:val="24"/>
          <w:szCs w:val="24"/>
        </w:rPr>
        <w:fldChar w:fldCharType="end"/>
      </w:r>
      <w:r w:rsidRPr="00635D78">
        <w:rPr>
          <w:rFonts w:ascii="Arial" w:hAnsi="Arial" w:cs="Arial"/>
          <w:sz w:val="24"/>
          <w:szCs w:val="24"/>
          <w:lang w:bidi="en"/>
        </w:rPr>
        <w:t>. Therefore, it is unclear whether similar dosing strategies can be adopted for the treatment mucormycosis without similar pharmacodynamic biomarkers.</w:t>
      </w:r>
    </w:p>
    <w:p w14:paraId="47F50924" w14:textId="1BACD0E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Fourth, the observational studies reviewed demonstrate that surgical debridement is more strongly associated with survival than antifungal dosing regimen- although confounding by indication bias may overestimate the benefits of surgery in </w:t>
      </w:r>
      <w:r w:rsidR="00ED2AA3" w:rsidRPr="00635D78">
        <w:rPr>
          <w:rFonts w:ascii="Arial" w:hAnsi="Arial" w:cs="Arial"/>
          <w:sz w:val="24"/>
          <w:szCs w:val="24"/>
          <w:lang w:bidi="en"/>
        </w:rPr>
        <w:t>this analysis</w:t>
      </w:r>
      <w:r w:rsidRPr="00635D78">
        <w:rPr>
          <w:rFonts w:ascii="Arial" w:hAnsi="Arial" w:cs="Arial"/>
          <w:sz w:val="24"/>
          <w:szCs w:val="24"/>
          <w:lang w:bidi="en"/>
        </w:rPr>
        <w:t xml:space="preserve">. Future research should focus on integrated treatment strategies that optimize the synergy between surgical source control and antifungal therapy. Studies examining </w:t>
      </w:r>
      <w:r w:rsidR="00ED2AA3" w:rsidRPr="00635D78">
        <w:rPr>
          <w:rFonts w:ascii="Arial" w:hAnsi="Arial" w:cs="Arial"/>
          <w:sz w:val="24"/>
          <w:szCs w:val="24"/>
          <w:lang w:bidi="en"/>
        </w:rPr>
        <w:t>whether</w:t>
      </w:r>
      <w:r w:rsidRPr="00635D78">
        <w:rPr>
          <w:rFonts w:ascii="Arial" w:hAnsi="Arial" w:cs="Arial"/>
          <w:sz w:val="24"/>
          <w:szCs w:val="24"/>
          <w:lang w:bidi="en"/>
        </w:rPr>
        <w:t xml:space="preserve"> escalation specifically benefits patients with unresectable disease or delayed surgical intervention would address a clinically relevant question.</w:t>
      </w:r>
    </w:p>
    <w:p w14:paraId="1E6C7289"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Fifth, novel amphotericin B formulations or combination regimens may overcome the limitations of current L-AMB dosing. Although recent observational studies have not found a major benefit for combinations of L-AMB with echinocandins or triazoles in mucormycosis </w:t>
      </w:r>
      <w:r w:rsidRPr="00635D78">
        <w:rPr>
          <w:rFonts w:ascii="Arial" w:hAnsi="Arial" w:cs="Arial"/>
          <w:sz w:val="24"/>
          <w:szCs w:val="24"/>
        </w:rPr>
        <w:fldChar w:fldCharType="begin"/>
      </w:r>
      <w:r w:rsidRPr="00635D78">
        <w:rPr>
          <w:rFonts w:ascii="Arial" w:hAnsi="Arial" w:cs="Arial"/>
          <w:sz w:val="24"/>
          <w:szCs w:val="24"/>
        </w:rPr>
        <w:instrText>ADDIN BEC{Kyvernitakis et al., 2016 #154422}</w:instrText>
      </w:r>
      <w:r w:rsidRPr="00635D78">
        <w:rPr>
          <w:rFonts w:ascii="Arial" w:hAnsi="Arial" w:cs="Arial"/>
          <w:sz w:val="24"/>
          <w:szCs w:val="24"/>
        </w:rPr>
        <w:fldChar w:fldCharType="separate"/>
      </w:r>
      <w:r w:rsidRPr="00635D78">
        <w:rPr>
          <w:rFonts w:ascii="Arial" w:hAnsi="Arial" w:cs="Arial"/>
          <w:sz w:val="24"/>
          <w:szCs w:val="24"/>
          <w:lang w:bidi="en"/>
        </w:rPr>
        <w:t>[40]</w:t>
      </w:r>
      <w:r w:rsidRPr="00635D78">
        <w:rPr>
          <w:rFonts w:ascii="Arial" w:hAnsi="Arial" w:cs="Arial"/>
          <w:sz w:val="24"/>
          <w:szCs w:val="24"/>
        </w:rPr>
        <w:fldChar w:fldCharType="end"/>
      </w:r>
      <w:r w:rsidRPr="00635D78">
        <w:rPr>
          <w:rFonts w:ascii="Arial" w:hAnsi="Arial" w:cs="Arial"/>
          <w:sz w:val="24"/>
          <w:szCs w:val="24"/>
          <w:lang w:bidi="en"/>
        </w:rPr>
        <w:t xml:space="preserve"> , animal models have demonstrated improved survival and fungal clearance when L-AMB is combined with isavuconazole </w:t>
      </w:r>
      <w:r w:rsidRPr="00635D78">
        <w:rPr>
          <w:rFonts w:ascii="Arial" w:hAnsi="Arial" w:cs="Arial"/>
          <w:sz w:val="24"/>
          <w:szCs w:val="24"/>
        </w:rPr>
        <w:fldChar w:fldCharType="begin"/>
      </w:r>
      <w:r w:rsidRPr="00635D78">
        <w:rPr>
          <w:rFonts w:ascii="Arial" w:hAnsi="Arial" w:cs="Arial"/>
          <w:sz w:val="24"/>
          <w:szCs w:val="24"/>
        </w:rPr>
        <w:instrText>ADDIN BEC{Gebremariam et al., 2021 #114928}</w:instrText>
      </w:r>
      <w:r w:rsidRPr="00635D78">
        <w:rPr>
          <w:rFonts w:ascii="Arial" w:hAnsi="Arial" w:cs="Arial"/>
          <w:sz w:val="24"/>
          <w:szCs w:val="24"/>
        </w:rPr>
        <w:fldChar w:fldCharType="separate"/>
      </w:r>
      <w:r w:rsidRPr="00635D78">
        <w:rPr>
          <w:rFonts w:ascii="Arial" w:hAnsi="Arial" w:cs="Arial"/>
          <w:sz w:val="24"/>
          <w:szCs w:val="24"/>
          <w:lang w:bidi="en"/>
        </w:rPr>
        <w:t>[24]</w:t>
      </w:r>
      <w:r w:rsidRPr="00635D78">
        <w:rPr>
          <w:rFonts w:ascii="Arial" w:hAnsi="Arial" w:cs="Arial"/>
          <w:sz w:val="24"/>
          <w:szCs w:val="24"/>
        </w:rPr>
        <w:fldChar w:fldCharType="end"/>
      </w:r>
      <w:r w:rsidRPr="00635D78">
        <w:rPr>
          <w:rFonts w:ascii="Arial" w:hAnsi="Arial" w:cs="Arial"/>
          <w:sz w:val="24"/>
          <w:szCs w:val="24"/>
          <w:lang w:bidi="en"/>
        </w:rPr>
        <w:t xml:space="preserve"> , the glucan synthesis </w:t>
      </w:r>
      <w:r w:rsidRPr="00635D78">
        <w:rPr>
          <w:rFonts w:ascii="Arial" w:hAnsi="Arial" w:cs="Arial"/>
          <w:sz w:val="24"/>
          <w:szCs w:val="24"/>
          <w:lang w:bidi="en"/>
        </w:rPr>
        <w:lastRenderedPageBreak/>
        <w:t xml:space="preserve">inhibitor ibrexafungerp </w:t>
      </w:r>
      <w:r w:rsidRPr="00635D78">
        <w:rPr>
          <w:rFonts w:ascii="Arial" w:hAnsi="Arial" w:cs="Arial"/>
          <w:sz w:val="24"/>
          <w:szCs w:val="24"/>
        </w:rPr>
        <w:fldChar w:fldCharType="begin"/>
      </w:r>
      <w:r w:rsidRPr="00635D78">
        <w:rPr>
          <w:rFonts w:ascii="Arial" w:hAnsi="Arial" w:cs="Arial"/>
          <w:sz w:val="24"/>
          <w:szCs w:val="24"/>
        </w:rPr>
        <w:instrText>ADDIN BEC{Gebremariam et al., 2024 #15826}</w:instrText>
      </w:r>
      <w:r w:rsidRPr="00635D78">
        <w:rPr>
          <w:rFonts w:ascii="Arial" w:hAnsi="Arial" w:cs="Arial"/>
          <w:sz w:val="24"/>
          <w:szCs w:val="24"/>
        </w:rPr>
        <w:fldChar w:fldCharType="separate"/>
      </w:r>
      <w:r w:rsidRPr="00635D78">
        <w:rPr>
          <w:rFonts w:ascii="Arial" w:hAnsi="Arial" w:cs="Arial"/>
          <w:sz w:val="24"/>
          <w:szCs w:val="24"/>
          <w:lang w:bidi="en"/>
        </w:rPr>
        <w:t>[25]</w:t>
      </w:r>
      <w:r w:rsidRPr="00635D78">
        <w:rPr>
          <w:rFonts w:ascii="Arial" w:hAnsi="Arial" w:cs="Arial"/>
          <w:sz w:val="24"/>
          <w:szCs w:val="24"/>
        </w:rPr>
        <w:fldChar w:fldCharType="end"/>
      </w:r>
      <w:r w:rsidRPr="00635D78">
        <w:rPr>
          <w:rFonts w:ascii="Arial" w:hAnsi="Arial" w:cs="Arial"/>
          <w:sz w:val="24"/>
          <w:szCs w:val="24"/>
          <w:lang w:bidi="en"/>
        </w:rPr>
        <w:t xml:space="preserve"> , and the (GPI)-anchor biosynthesis pathway inhibitor manogepix </w:t>
      </w:r>
      <w:r w:rsidRPr="00635D78">
        <w:rPr>
          <w:rFonts w:ascii="Arial" w:hAnsi="Arial" w:cs="Arial"/>
          <w:sz w:val="24"/>
          <w:szCs w:val="24"/>
        </w:rPr>
        <w:fldChar w:fldCharType="begin"/>
      </w:r>
      <w:r w:rsidRPr="00635D78">
        <w:rPr>
          <w:rFonts w:ascii="Arial" w:hAnsi="Arial" w:cs="Arial"/>
          <w:sz w:val="24"/>
          <w:szCs w:val="24"/>
        </w:rPr>
        <w:instrText>ADDIN BEC{Gebremariam et al., 2022 #140436}</w:instrText>
      </w:r>
      <w:r w:rsidRPr="00635D78">
        <w:rPr>
          <w:rFonts w:ascii="Arial" w:hAnsi="Arial" w:cs="Arial"/>
          <w:sz w:val="24"/>
          <w:szCs w:val="24"/>
        </w:rPr>
        <w:fldChar w:fldCharType="separate"/>
      </w:r>
      <w:r w:rsidRPr="00635D78">
        <w:rPr>
          <w:rFonts w:ascii="Arial" w:hAnsi="Arial" w:cs="Arial"/>
          <w:sz w:val="24"/>
          <w:szCs w:val="24"/>
          <w:lang w:bidi="en"/>
        </w:rPr>
        <w:t>[26]</w:t>
      </w:r>
      <w:r w:rsidRPr="00635D78">
        <w:rPr>
          <w:rFonts w:ascii="Arial" w:hAnsi="Arial" w:cs="Arial"/>
          <w:sz w:val="24"/>
          <w:szCs w:val="24"/>
        </w:rPr>
        <w:fldChar w:fldCharType="end"/>
      </w:r>
      <w:r w:rsidRPr="00635D78">
        <w:rPr>
          <w:rFonts w:ascii="Arial" w:hAnsi="Arial" w:cs="Arial"/>
          <w:sz w:val="24"/>
          <w:szCs w:val="24"/>
          <w:lang w:bidi="en"/>
        </w:rPr>
        <w:t xml:space="preserve">. Additionally, host-directed therapies that block fungal invasion through CotH proteins or neutralize mycotoxins </w:t>
      </w:r>
      <w:r w:rsidRPr="00635D78">
        <w:rPr>
          <w:rFonts w:ascii="Arial" w:hAnsi="Arial" w:cs="Arial"/>
          <w:sz w:val="24"/>
          <w:szCs w:val="24"/>
        </w:rPr>
        <w:fldChar w:fldCharType="begin"/>
      </w:r>
      <w:r w:rsidRPr="00635D78">
        <w:rPr>
          <w:rFonts w:ascii="Arial" w:hAnsi="Arial" w:cs="Arial"/>
          <w:sz w:val="24"/>
          <w:szCs w:val="24"/>
        </w:rPr>
        <w:instrText>ADDIN BEC{Soliman et al., 2021 #208352}</w:instrText>
      </w:r>
      <w:r w:rsidRPr="00635D78">
        <w:rPr>
          <w:rFonts w:ascii="Arial" w:hAnsi="Arial" w:cs="Arial"/>
          <w:sz w:val="24"/>
          <w:szCs w:val="24"/>
        </w:rPr>
        <w:fldChar w:fldCharType="separate"/>
      </w:r>
      <w:r w:rsidRPr="00635D78">
        <w:rPr>
          <w:rFonts w:ascii="Arial" w:hAnsi="Arial" w:cs="Arial"/>
          <w:sz w:val="24"/>
          <w:szCs w:val="24"/>
          <w:lang w:bidi="en"/>
        </w:rPr>
        <w:t>[41]</w:t>
      </w:r>
      <w:r w:rsidRPr="00635D78">
        <w:rPr>
          <w:rFonts w:ascii="Arial" w:hAnsi="Arial" w:cs="Arial"/>
          <w:sz w:val="24"/>
          <w:szCs w:val="24"/>
        </w:rPr>
        <w:fldChar w:fldCharType="end"/>
      </w:r>
      <w:r w:rsidRPr="00635D78">
        <w:rPr>
          <w:rFonts w:ascii="Arial" w:hAnsi="Arial" w:cs="Arial"/>
          <w:sz w:val="24"/>
          <w:szCs w:val="24"/>
          <w:lang w:bidi="en"/>
        </w:rPr>
        <w:t xml:space="preserve"> should be explored as adjuncts to standard-dose antifungal therapy. Novel Immunotherapeutic approaches including checkpoint inhibitor therapy </w:t>
      </w:r>
      <w:r w:rsidRPr="00635D78">
        <w:rPr>
          <w:rFonts w:ascii="Arial" w:hAnsi="Arial" w:cs="Arial"/>
          <w:sz w:val="24"/>
          <w:szCs w:val="24"/>
        </w:rPr>
        <w:fldChar w:fldCharType="begin"/>
      </w:r>
      <w:r w:rsidRPr="00635D78">
        <w:rPr>
          <w:rFonts w:ascii="Arial" w:hAnsi="Arial" w:cs="Arial"/>
          <w:sz w:val="24"/>
          <w:szCs w:val="24"/>
        </w:rPr>
        <w:instrText>ADDIN BEC{Wurster et al., 2022 #294300}</w:instrText>
      </w:r>
      <w:r w:rsidRPr="00635D78">
        <w:rPr>
          <w:rFonts w:ascii="Arial" w:hAnsi="Arial" w:cs="Arial"/>
          <w:sz w:val="24"/>
          <w:szCs w:val="24"/>
        </w:rPr>
        <w:fldChar w:fldCharType="separate"/>
      </w:r>
      <w:r w:rsidRPr="00635D78">
        <w:rPr>
          <w:rFonts w:ascii="Arial" w:hAnsi="Arial" w:cs="Arial"/>
          <w:sz w:val="24"/>
          <w:szCs w:val="24"/>
          <w:lang w:bidi="en"/>
        </w:rPr>
        <w:t>[42]</w:t>
      </w:r>
      <w:r w:rsidRPr="00635D78">
        <w:rPr>
          <w:rFonts w:ascii="Arial" w:hAnsi="Arial" w:cs="Arial"/>
          <w:sz w:val="24"/>
          <w:szCs w:val="24"/>
        </w:rPr>
        <w:fldChar w:fldCharType="end"/>
      </w:r>
      <w:r w:rsidRPr="00635D78">
        <w:rPr>
          <w:rFonts w:ascii="Arial" w:hAnsi="Arial" w:cs="Arial"/>
          <w:sz w:val="24"/>
          <w:szCs w:val="24"/>
          <w:lang w:bidi="en"/>
        </w:rPr>
        <w:t xml:space="preserve"> or chimeric antigen T- cell approaches could be effective “living antifungals” </w:t>
      </w:r>
      <w:r w:rsidRPr="00635D78">
        <w:rPr>
          <w:rFonts w:ascii="Arial" w:hAnsi="Arial" w:cs="Arial"/>
          <w:sz w:val="24"/>
          <w:szCs w:val="24"/>
        </w:rPr>
        <w:fldChar w:fldCharType="begin"/>
      </w:r>
      <w:r w:rsidRPr="00635D78">
        <w:rPr>
          <w:rFonts w:ascii="Arial" w:hAnsi="Arial" w:cs="Arial"/>
          <w:sz w:val="24"/>
          <w:szCs w:val="24"/>
        </w:rPr>
        <w:instrText>ADDIN BEC{Kumaresan et al., 2014 #72474}</w:instrText>
      </w:r>
      <w:r w:rsidRPr="00635D78">
        <w:rPr>
          <w:rFonts w:ascii="Arial" w:hAnsi="Arial" w:cs="Arial"/>
          <w:sz w:val="24"/>
          <w:szCs w:val="24"/>
        </w:rPr>
        <w:fldChar w:fldCharType="separate"/>
      </w:r>
      <w:r w:rsidRPr="00635D78">
        <w:rPr>
          <w:rFonts w:ascii="Arial" w:hAnsi="Arial" w:cs="Arial"/>
          <w:sz w:val="24"/>
          <w:szCs w:val="24"/>
          <w:lang w:bidi="en"/>
        </w:rPr>
        <w:t>[43]</w:t>
      </w:r>
      <w:r w:rsidRPr="00635D78">
        <w:rPr>
          <w:rFonts w:ascii="Arial" w:hAnsi="Arial" w:cs="Arial"/>
          <w:sz w:val="24"/>
          <w:szCs w:val="24"/>
        </w:rPr>
        <w:fldChar w:fldCharType="end"/>
      </w:r>
      <w:r w:rsidRPr="00635D78">
        <w:rPr>
          <w:rFonts w:ascii="Arial" w:hAnsi="Arial" w:cs="Arial"/>
          <w:sz w:val="24"/>
          <w:szCs w:val="24"/>
          <w:lang w:bidi="en"/>
        </w:rPr>
        <w:t xml:space="preserve"> after initial treatment with L-AMB. Finally, economic analyses comparing the costs of high-dose L-AMB therapy (including management of nephrotoxicity and potential renal replacement therapy) against marginal clinical benefits are needed to inform rational resource allocation, particularly in resource-limited settings where mucormycosis incidence may be highest. The development of novel oral formulation of AMB with potentially less nephrotoxicity will open the door to potential “step down” therapy with polyenes </w:t>
      </w:r>
      <w:r w:rsidRPr="00635D78">
        <w:rPr>
          <w:rFonts w:ascii="Arial" w:hAnsi="Arial" w:cs="Arial"/>
          <w:sz w:val="24"/>
          <w:szCs w:val="24"/>
        </w:rPr>
        <w:fldChar w:fldCharType="begin"/>
      </w:r>
      <w:r w:rsidRPr="00635D78">
        <w:rPr>
          <w:rFonts w:ascii="Arial" w:hAnsi="Arial" w:cs="Arial"/>
          <w:sz w:val="24"/>
          <w:szCs w:val="24"/>
        </w:rPr>
        <w:instrText>ADDIN BEC{Boulware et al., 2023 #289235}</w:instrText>
      </w:r>
      <w:r w:rsidRPr="00635D78">
        <w:rPr>
          <w:rFonts w:ascii="Arial" w:hAnsi="Arial" w:cs="Arial"/>
          <w:sz w:val="24"/>
          <w:szCs w:val="24"/>
        </w:rPr>
        <w:fldChar w:fldCharType="separate"/>
      </w:r>
      <w:r w:rsidRPr="00635D78">
        <w:rPr>
          <w:rFonts w:ascii="Arial" w:hAnsi="Arial" w:cs="Arial"/>
          <w:sz w:val="24"/>
          <w:szCs w:val="24"/>
          <w:lang w:bidi="en"/>
        </w:rPr>
        <w:t>[44]</w:t>
      </w:r>
      <w:r w:rsidRPr="00635D78">
        <w:rPr>
          <w:rFonts w:ascii="Arial" w:hAnsi="Arial" w:cs="Arial"/>
          <w:sz w:val="24"/>
          <w:szCs w:val="24"/>
        </w:rPr>
        <w:fldChar w:fldCharType="end"/>
      </w:r>
      <w:r w:rsidRPr="00635D78">
        <w:rPr>
          <w:rFonts w:ascii="Arial" w:hAnsi="Arial" w:cs="Arial"/>
          <w:sz w:val="24"/>
          <w:szCs w:val="24"/>
          <w:lang w:bidi="en"/>
        </w:rPr>
        <w:t xml:space="preserve"> .</w:t>
      </w:r>
    </w:p>
    <w:p w14:paraId="4172BE0C"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Based on current evidence, clinicians should consider 5-6 mg/kg/day as an appropriate initial L-AMB dose for most patients with mucormycosis, with dose escalation reserved for selected situations where compelling clinical rationale exists (such as CNS or bone involvement </w:t>
      </w:r>
      <w:r w:rsidRPr="00635D78">
        <w:rPr>
          <w:rFonts w:ascii="Arial" w:hAnsi="Arial" w:cs="Arial"/>
          <w:sz w:val="24"/>
          <w:szCs w:val="24"/>
        </w:rPr>
        <w:fldChar w:fldCharType="begin"/>
      </w:r>
      <w:r w:rsidRPr="00635D78">
        <w:rPr>
          <w:rFonts w:ascii="Arial" w:hAnsi="Arial" w:cs="Arial"/>
          <w:sz w:val="24"/>
          <w:szCs w:val="24"/>
        </w:rPr>
        <w:instrText>ADDIN BEC{Kontoyiannis et al., 2001 #228086}</w:instrText>
      </w:r>
      <w:r w:rsidRPr="00635D78">
        <w:rPr>
          <w:rFonts w:ascii="Arial" w:hAnsi="Arial" w:cs="Arial"/>
          <w:sz w:val="24"/>
          <w:szCs w:val="24"/>
        </w:rPr>
        <w:fldChar w:fldCharType="separate"/>
      </w:r>
      <w:r w:rsidRPr="00635D78">
        <w:rPr>
          <w:rFonts w:ascii="Arial" w:hAnsi="Arial" w:cs="Arial"/>
          <w:sz w:val="24"/>
          <w:szCs w:val="24"/>
          <w:lang w:bidi="en"/>
        </w:rPr>
        <w:t>[45]</w:t>
      </w:r>
      <w:r w:rsidRPr="00635D78">
        <w:rPr>
          <w:rFonts w:ascii="Arial" w:hAnsi="Arial" w:cs="Arial"/>
          <w:sz w:val="24"/>
          <w:szCs w:val="24"/>
        </w:rPr>
        <w:fldChar w:fldCharType="end"/>
      </w:r>
      <w:r w:rsidRPr="00635D78">
        <w:rPr>
          <w:rFonts w:ascii="Arial" w:hAnsi="Arial" w:cs="Arial"/>
          <w:sz w:val="24"/>
          <w:szCs w:val="24"/>
          <w:lang w:bidi="en"/>
        </w:rPr>
        <w:t xml:space="preserve"> or suspected suboptimal drug exposure) and close monitoring of renal function is feasible. Treatment decisions should prioritize early diagnosis, prompt surgical debridement when feasible, and reversal of underlying immunosuppression over empiric dose escalation. Future research must move beyond simple dose-response paradigms to embrace personalized, exposure-guided dosing strategies informed by robust pharmacokinetic-pharmacodynamic relationships and patient-specific risk factors.</w:t>
      </w:r>
    </w:p>
    <w:p w14:paraId="69F1A8C0"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t>Plain language summary:</w:t>
      </w:r>
    </w:p>
    <w:p w14:paraId="76E3B825"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lang w:bidi="en"/>
        </w:rPr>
        <w:t xml:space="preserve">Mucormycosis is a rare but deadly fungal infection primarily affecting immunocompromised patients that is treated with surgery and an antifungal medication called liposomal amphotericin B, with ongoing debate about whether </w:t>
      </w:r>
      <w:r w:rsidRPr="00635D78">
        <w:rPr>
          <w:rFonts w:ascii="Arial" w:hAnsi="Arial" w:cs="Arial"/>
          <w:sz w:val="24"/>
          <w:szCs w:val="24"/>
          <w:lang w:bidi="en"/>
        </w:rPr>
        <w:lastRenderedPageBreak/>
        <w:t>higher drug doses improve survival despite increased kidney damage risks. While laboratory studies in mice demonstrated that higher doses killed more fungus in infected tissues, multiple recent clinical studies in humans found no survival difference between patients receiving standard doses (5 mg/kg/day) versus higher doses (6-15 mg/kg/day), and the drug’s complex behavior in the body means extra doses may not actually reach infected tissues effectively. Based on current evidence, doctors should use standard doses for most patients and focus instead on rapid diagnosis, surgical removal of infected tissue, and helping patients’ immune systems recover, as these factors are more strongly associated with survival than higher antifungal doses.</w:t>
      </w:r>
    </w:p>
    <w:p w14:paraId="191C60F3" w14:textId="77777777" w:rsidR="00635D78" w:rsidRPr="00635D78" w:rsidRDefault="00635D78" w:rsidP="00635D78">
      <w:pPr>
        <w:pStyle w:val="Body0"/>
        <w:rPr>
          <w:rFonts w:ascii="Arial" w:hAnsi="Arial" w:cs="Arial"/>
          <w:sz w:val="24"/>
          <w:szCs w:val="24"/>
        </w:rPr>
      </w:pPr>
    </w:p>
    <w:p w14:paraId="70C00757" w14:textId="77777777" w:rsidR="00635D78" w:rsidRPr="00635D78" w:rsidRDefault="00635D78" w:rsidP="00635D78">
      <w:pPr>
        <w:pStyle w:val="Body0"/>
        <w:rPr>
          <w:rFonts w:ascii="Arial" w:hAnsi="Arial" w:cs="Arial"/>
          <w:sz w:val="24"/>
          <w:szCs w:val="24"/>
        </w:rPr>
      </w:pPr>
    </w:p>
    <w:p w14:paraId="11E6963C" w14:textId="77777777" w:rsidR="00635D78" w:rsidRPr="00635D78" w:rsidRDefault="00635D78" w:rsidP="00635D78">
      <w:pPr>
        <w:pStyle w:val="Body0"/>
        <w:rPr>
          <w:rFonts w:ascii="Arial" w:hAnsi="Arial" w:cs="Arial"/>
          <w:sz w:val="24"/>
          <w:szCs w:val="24"/>
        </w:rPr>
      </w:pPr>
    </w:p>
    <w:p w14:paraId="561E3890" w14:textId="77777777" w:rsidR="00635D78" w:rsidRPr="00635D78" w:rsidRDefault="00635D78" w:rsidP="00635D78">
      <w:pPr>
        <w:pStyle w:val="Body0"/>
        <w:rPr>
          <w:rFonts w:ascii="Arial" w:hAnsi="Arial" w:cs="Arial"/>
          <w:sz w:val="24"/>
          <w:szCs w:val="24"/>
        </w:rPr>
      </w:pPr>
      <w:r w:rsidRPr="00635D78">
        <w:rPr>
          <w:rFonts w:ascii="Arial" w:hAnsi="Arial" w:cs="Arial"/>
          <w:sz w:val="24"/>
          <w:szCs w:val="24"/>
        </w:rPr>
        <w:br w:type="page"/>
      </w:r>
    </w:p>
    <w:p w14:paraId="606CD210" w14:textId="77777777" w:rsidR="00635D78" w:rsidRPr="00635D78" w:rsidRDefault="00635D78" w:rsidP="00635D78">
      <w:pPr>
        <w:pStyle w:val="Body0"/>
        <w:rPr>
          <w:rFonts w:ascii="Arial" w:hAnsi="Arial" w:cs="Arial"/>
          <w:sz w:val="24"/>
          <w:szCs w:val="24"/>
        </w:rPr>
      </w:pPr>
      <w:r w:rsidRPr="00635D78">
        <w:rPr>
          <w:rFonts w:ascii="Arial" w:hAnsi="Arial" w:cs="Arial"/>
          <w:b/>
          <w:bCs/>
          <w:sz w:val="24"/>
          <w:szCs w:val="24"/>
          <w:lang w:bidi="en"/>
        </w:rPr>
        <w:lastRenderedPageBreak/>
        <w:t xml:space="preserve">Author contribution statement: </w:t>
      </w:r>
      <w:r w:rsidRPr="00635D78">
        <w:rPr>
          <w:rFonts w:ascii="Arial" w:hAnsi="Arial" w:cs="Arial"/>
          <w:sz w:val="24"/>
          <w:szCs w:val="24"/>
          <w:lang w:bidi="en"/>
        </w:rPr>
        <w:t>Russell E. Lewis: Literature review, Writing - original draft, Writing - review &amp; editing. Dimitrios P. Kontoyiannis: Conceptualization, Writing - review &amp; editing.</w:t>
      </w:r>
    </w:p>
    <w:p w14:paraId="0DF9E57E" w14:textId="49C3A347" w:rsidR="00640B29" w:rsidRPr="00117048" w:rsidRDefault="00640B29" w:rsidP="00635D78">
      <w:pPr>
        <w:pStyle w:val="Body0"/>
        <w:rPr>
          <w:rFonts w:ascii="Arial" w:hAnsi="Arial" w:cs="Arial"/>
          <w:sz w:val="24"/>
          <w:szCs w:val="24"/>
        </w:rPr>
      </w:pPr>
    </w:p>
    <w:p w14:paraId="46E5D649" w14:textId="77777777" w:rsidR="00640B29" w:rsidRPr="00117048" w:rsidRDefault="00117048">
      <w:pPr>
        <w:pStyle w:val="Body0"/>
        <w:rPr>
          <w:rFonts w:ascii="Arial" w:hAnsi="Arial" w:cs="Arial"/>
          <w:sz w:val="24"/>
          <w:szCs w:val="24"/>
        </w:rPr>
      </w:pPr>
      <w:r w:rsidRPr="00117048">
        <w:rPr>
          <w:rFonts w:ascii="Arial" w:hAnsi="Arial" w:cs="Arial"/>
          <w:b/>
          <w:bCs/>
          <w:sz w:val="24"/>
          <w:szCs w:val="24"/>
          <w:lang w:val="en" w:eastAsia="en" w:bidi="en"/>
        </w:rPr>
        <w:t xml:space="preserve">Funding statement: </w:t>
      </w:r>
      <w:r w:rsidRPr="00117048">
        <w:rPr>
          <w:rFonts w:ascii="Arial" w:hAnsi="Arial" w:cs="Arial"/>
          <w:sz w:val="24"/>
          <w:szCs w:val="24"/>
          <w:lang w:val="en" w:eastAsia="en" w:bidi="en"/>
        </w:rPr>
        <w:t>No funding was received for the article</w:t>
      </w:r>
    </w:p>
    <w:p w14:paraId="7A5A7B3E" w14:textId="77777777" w:rsidR="00640B29" w:rsidRPr="00117048" w:rsidRDefault="00117048">
      <w:pPr>
        <w:pStyle w:val="Body0"/>
        <w:rPr>
          <w:rFonts w:ascii="Arial" w:hAnsi="Arial" w:cs="Arial"/>
          <w:sz w:val="24"/>
          <w:szCs w:val="24"/>
        </w:rPr>
      </w:pPr>
      <w:r w:rsidRPr="00117048">
        <w:rPr>
          <w:rFonts w:ascii="Arial" w:hAnsi="Arial" w:cs="Arial"/>
          <w:b/>
          <w:bCs/>
          <w:sz w:val="24"/>
          <w:szCs w:val="24"/>
          <w:lang w:val="en" w:eastAsia="en" w:bidi="en"/>
        </w:rPr>
        <w:t xml:space="preserve">Disclosures: </w:t>
      </w:r>
      <w:r w:rsidRPr="00117048">
        <w:rPr>
          <w:rFonts w:ascii="Arial" w:hAnsi="Arial" w:cs="Arial"/>
          <w:sz w:val="24"/>
          <w:szCs w:val="24"/>
          <w:lang w:val="en" w:eastAsia="en" w:bidi="en"/>
        </w:rPr>
        <w:t>D.P.K. reports research support from Basilea and Astellas Pharma. He also received consultant fees from Basilea, Inc, Knight, Inc, Biosegren, Inc, Pulmocide Inc, Avir Pharma, Inc and is a member of the Data Review Committee for MundiPharma Therapeutics, the (MSG-ERC). He also serves as the president of Mycoses Study Group Research Consortium. </w:t>
      </w:r>
    </w:p>
    <w:p w14:paraId="7C36F9B9" w14:textId="77777777" w:rsidR="00640B29" w:rsidRPr="00456379" w:rsidRDefault="00117048">
      <w:pPr>
        <w:pStyle w:val="Body0"/>
        <w:rPr>
          <w:rFonts w:ascii="Arial" w:hAnsi="Arial" w:cs="Arial"/>
          <w:sz w:val="24"/>
          <w:szCs w:val="24"/>
        </w:rPr>
      </w:pPr>
      <w:r w:rsidRPr="00117048">
        <w:rPr>
          <w:rFonts w:ascii="Arial" w:hAnsi="Arial" w:cs="Arial"/>
          <w:b/>
          <w:bCs/>
          <w:sz w:val="24"/>
          <w:szCs w:val="24"/>
          <w:lang w:val="en" w:eastAsia="en" w:bidi="en"/>
        </w:rPr>
        <w:t xml:space="preserve">DPK </w:t>
      </w:r>
      <w:r w:rsidRPr="00117048">
        <w:rPr>
          <w:rFonts w:ascii="Arial" w:hAnsi="Arial" w:cs="Arial"/>
          <w:sz w:val="24"/>
          <w:szCs w:val="24"/>
          <w:lang w:val="en" w:eastAsia="en" w:bidi="en"/>
        </w:rPr>
        <w:t>acknowledges the Robert C Hickey endowment</w:t>
      </w:r>
    </w:p>
    <w:p w14:paraId="64172651" w14:textId="77777777" w:rsidR="00640B29" w:rsidRDefault="00640B29">
      <w:pPr>
        <w:pStyle w:val="Body0"/>
      </w:pPr>
    </w:p>
    <w:p w14:paraId="6725D1DB" w14:textId="77777777" w:rsidR="00640B29" w:rsidRDefault="00640B29">
      <w:pPr>
        <w:pStyle w:val="Body0"/>
        <w:sectPr w:rsidR="00640B29" w:rsidSect="007136E1">
          <w:headerReference w:type="even" r:id="rId10"/>
          <w:headerReference w:type="default" r:id="rId11"/>
          <w:footerReference w:type="even" r:id="rId12"/>
          <w:footerReference w:type="default" r:id="rId13"/>
          <w:headerReference w:type="first" r:id="rId14"/>
          <w:footerReference w:type="first" r:id="rId15"/>
          <w:pgSz w:w="11900" w:h="16840"/>
          <w:pgMar w:top="1440" w:right="1440" w:bottom="1440" w:left="1440" w:header="720" w:footer="1440" w:gutter="0"/>
          <w:lnNumType w:countBy="1" w:restart="continuous"/>
          <w:pgNumType w:start="1"/>
          <w:cols w:space="720"/>
          <w:titlePg/>
          <w:docGrid w:linePitch="299"/>
        </w:sectPr>
      </w:pPr>
    </w:p>
    <w:p w14:paraId="30F0B5FF" w14:textId="77777777" w:rsidR="00640B29" w:rsidRDefault="00640B29">
      <w:pPr>
        <w:pStyle w:val="Body0"/>
      </w:pPr>
    </w:p>
    <w:p w14:paraId="1D82BFA5" w14:textId="77777777" w:rsidR="00640B29" w:rsidRDefault="00640B29">
      <w:pPr>
        <w:pStyle w:val="Body0"/>
      </w:pPr>
    </w:p>
    <w:p w14:paraId="3BFEE5C6" w14:textId="77777777" w:rsidR="00640B29" w:rsidRDefault="00117048">
      <w:pPr>
        <w:pStyle w:val="Body0"/>
      </w:pPr>
      <w:r>
        <w:br w:type="page"/>
      </w:r>
    </w:p>
    <w:p w14:paraId="3CC1A5B0" w14:textId="77777777" w:rsidR="00640B29" w:rsidRPr="00456379" w:rsidRDefault="00117048">
      <w:pPr>
        <w:pStyle w:val="Body0"/>
        <w:rPr>
          <w:rFonts w:ascii="Arial" w:hAnsi="Arial" w:cs="Arial"/>
        </w:rPr>
      </w:pPr>
      <w:r>
        <w:rPr>
          <w:rFonts w:ascii="Helvetica Neue Bold" w:hAnsi="Helvetica Neue Bold" w:cs="Helvetica Neue Bold"/>
          <w:b/>
          <w:bCs/>
          <w:lang w:val="en" w:eastAsia="en" w:bidi="en"/>
        </w:rPr>
        <w:lastRenderedPageBreak/>
        <w:t>Table </w:t>
      </w:r>
      <w:r w:rsidRPr="00456379">
        <w:rPr>
          <w:rFonts w:ascii="Helvetica Neue Bold" w:hAnsi="Helvetica Neue Bold" w:cs="Helvetica Neue Bold"/>
          <w:b/>
          <w:bCs/>
          <w:lang w:val="en" w:eastAsia="en" w:bidi="en"/>
        </w:rPr>
        <w:t xml:space="preserve">1: Pharmacokinetic </w:t>
      </w:r>
      <w:r w:rsidRPr="00456379">
        <w:rPr>
          <w:rFonts w:ascii="Arial" w:hAnsi="Arial" w:cs="Arial"/>
          <w:b/>
          <w:bCs/>
          <w:lang w:val="en" w:eastAsia="en" w:bidi="en"/>
        </w:rPr>
        <w:t>and pharmacodynamic properties of liposomal amphotericin B</w:t>
      </w:r>
      <w:r w:rsidRPr="00456379">
        <w:rPr>
          <w:rFonts w:ascii="Arial" w:hAnsi="Arial" w:cs="Arial"/>
          <w:lang w:val="en" w:eastAsia="en" w:bidi="en"/>
        </w:rPr>
        <w:t xml:space="preserve">. Data are from references </w:t>
      </w:r>
      <w:r w:rsidRPr="00456379">
        <w:rPr>
          <w:rFonts w:ascii="Arial" w:hAnsi="Arial" w:cs="Arial"/>
        </w:rPr>
        <w:fldChar w:fldCharType="begin"/>
      </w:r>
      <w:r w:rsidRPr="00456379">
        <w:rPr>
          <w:rFonts w:ascii="Arial" w:hAnsi="Arial" w:cs="Arial"/>
        </w:rPr>
        <w:instrText>ADDIN BEC{Bekersky et al., 1999 #71367;Bekersky et al., 2002 #38588;Walsh et al., 1998 #27869;Groll et al., 2019 #7879}</w:instrText>
      </w:r>
      <w:r w:rsidRPr="00456379">
        <w:rPr>
          <w:rFonts w:ascii="Arial" w:hAnsi="Arial" w:cs="Arial"/>
        </w:rPr>
        <w:fldChar w:fldCharType="separate"/>
      </w:r>
      <w:r w:rsidRPr="00456379">
        <w:rPr>
          <w:rFonts w:ascii="Arial" w:hAnsi="Arial" w:cs="Arial"/>
          <w:lang w:val="en" w:eastAsia="en" w:bidi="en"/>
        </w:rPr>
        <w:t>[20,30–32]</w:t>
      </w:r>
      <w:r w:rsidRPr="00456379">
        <w:rPr>
          <w:rFonts w:ascii="Arial" w:hAnsi="Arial" w:cs="Arial"/>
        </w:rPr>
        <w:fldChar w:fldCharType="end"/>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40" w:type="dxa"/>
          <w:left w:w="40" w:type="dxa"/>
          <w:bottom w:w="40" w:type="dxa"/>
          <w:right w:w="40" w:type="dxa"/>
        </w:tblCellMar>
        <w:tblLook w:val="04A0" w:firstRow="1" w:lastRow="0" w:firstColumn="1" w:lastColumn="0" w:noHBand="0" w:noVBand="1"/>
      </w:tblPr>
      <w:tblGrid>
        <w:gridCol w:w="4498"/>
        <w:gridCol w:w="4502"/>
      </w:tblGrid>
      <w:tr w:rsidR="00640B29" w:rsidRPr="00456379" w14:paraId="4D27474B"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6BFE12B9" w14:textId="77777777" w:rsidR="00640B29" w:rsidRPr="00456379" w:rsidRDefault="00117048">
            <w:pPr>
              <w:pStyle w:val="Body0"/>
              <w:rPr>
                <w:rFonts w:ascii="Arial" w:hAnsi="Arial" w:cs="Arial"/>
              </w:rPr>
            </w:pPr>
            <w:r w:rsidRPr="00456379">
              <w:rPr>
                <w:rFonts w:ascii="Arial" w:hAnsi="Arial" w:cs="Arial"/>
                <w:b/>
                <w:bCs/>
                <w:lang w:val="en" w:eastAsia="en" w:bidi="en"/>
              </w:rPr>
              <w:t>Characteristic</w:t>
            </w:r>
          </w:p>
        </w:tc>
        <w:tc>
          <w:tcPr>
            <w:tcW w:w="4572" w:type="dxa"/>
            <w:tcBorders>
              <w:top w:val="single" w:sz="8" w:space="0" w:color="000000"/>
              <w:left w:val="single" w:sz="8" w:space="0" w:color="000000"/>
              <w:bottom w:val="single" w:sz="8" w:space="0" w:color="000000"/>
              <w:right w:val="single" w:sz="8" w:space="0" w:color="000000"/>
            </w:tcBorders>
          </w:tcPr>
          <w:p w14:paraId="0D212F7B" w14:textId="77777777" w:rsidR="00640B29" w:rsidRPr="00456379" w:rsidRDefault="00117048">
            <w:pPr>
              <w:pStyle w:val="Body0"/>
              <w:rPr>
                <w:rFonts w:ascii="Arial" w:hAnsi="Arial" w:cs="Arial"/>
              </w:rPr>
            </w:pPr>
            <w:r w:rsidRPr="00456379">
              <w:rPr>
                <w:rFonts w:ascii="Arial" w:hAnsi="Arial" w:cs="Arial"/>
                <w:b/>
                <w:bCs/>
                <w:lang w:val="en" w:eastAsia="en" w:bidi="en"/>
              </w:rPr>
              <w:t>Liposomal Amphotericin B</w:t>
            </w:r>
          </w:p>
        </w:tc>
      </w:tr>
      <w:tr w:rsidR="00640B29" w:rsidRPr="00456379" w14:paraId="54681E8B"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76E6D844" w14:textId="77777777" w:rsidR="00640B29" w:rsidRPr="00456379" w:rsidRDefault="00117048">
            <w:pPr>
              <w:pStyle w:val="Body0"/>
              <w:rPr>
                <w:rFonts w:ascii="Arial" w:hAnsi="Arial" w:cs="Arial"/>
              </w:rPr>
            </w:pPr>
            <w:r w:rsidRPr="00456379">
              <w:rPr>
                <w:rFonts w:ascii="Arial" w:hAnsi="Arial" w:cs="Arial"/>
                <w:lang w:val="en" w:eastAsia="en" w:bidi="en"/>
              </w:rPr>
              <w:t>Formulation</w:t>
            </w:r>
          </w:p>
        </w:tc>
        <w:tc>
          <w:tcPr>
            <w:tcW w:w="4572" w:type="dxa"/>
            <w:tcBorders>
              <w:top w:val="single" w:sz="8" w:space="0" w:color="000000"/>
              <w:left w:val="single" w:sz="8" w:space="0" w:color="000000"/>
              <w:bottom w:val="single" w:sz="8" w:space="0" w:color="000000"/>
              <w:right w:val="single" w:sz="8" w:space="0" w:color="000000"/>
            </w:tcBorders>
          </w:tcPr>
          <w:p w14:paraId="1103A89C" w14:textId="77777777" w:rsidR="00640B29" w:rsidRPr="00456379" w:rsidRDefault="00117048">
            <w:pPr>
              <w:pStyle w:val="Body0"/>
              <w:rPr>
                <w:rFonts w:ascii="Arial" w:hAnsi="Arial" w:cs="Arial"/>
              </w:rPr>
            </w:pPr>
            <w:r w:rsidRPr="00456379">
              <w:rPr>
                <w:rFonts w:ascii="Arial" w:hAnsi="Arial" w:cs="Arial"/>
                <w:lang w:val="en" w:eastAsia="en" w:bidi="en"/>
              </w:rPr>
              <w:t>Small (60-80 nm) unilamellar liposomes consisting of distearoyl phosphatidylglycerol, cholesterol, and hydrogenated soy phosphatidylcholine; in a 2:1:0.8 molar ratio and AmB in a 9:1 lipid:drug molar ratio</w:t>
            </w:r>
          </w:p>
        </w:tc>
      </w:tr>
      <w:tr w:rsidR="00640B29" w:rsidRPr="00456379" w14:paraId="370F7ED5"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3968AB57" w14:textId="77777777" w:rsidR="00640B29" w:rsidRPr="00456379" w:rsidRDefault="00117048">
            <w:pPr>
              <w:pStyle w:val="Body0"/>
              <w:rPr>
                <w:rFonts w:ascii="Arial" w:hAnsi="Arial" w:cs="Arial"/>
              </w:rPr>
            </w:pPr>
            <w:r w:rsidRPr="00456379">
              <w:rPr>
                <w:rFonts w:ascii="Arial" w:hAnsi="Arial" w:cs="Arial"/>
                <w:lang w:val="en" w:eastAsia="en" w:bidi="en"/>
              </w:rPr>
              <w:t>Pharmacodynamics</w:t>
            </w:r>
          </w:p>
        </w:tc>
        <w:tc>
          <w:tcPr>
            <w:tcW w:w="4572" w:type="dxa"/>
            <w:tcBorders>
              <w:top w:val="single" w:sz="8" w:space="0" w:color="000000"/>
              <w:left w:val="single" w:sz="8" w:space="0" w:color="000000"/>
              <w:bottom w:val="single" w:sz="8" w:space="0" w:color="000000"/>
              <w:right w:val="single" w:sz="8" w:space="0" w:color="000000"/>
            </w:tcBorders>
          </w:tcPr>
          <w:p w14:paraId="7F81F135" w14:textId="77777777" w:rsidR="00640B29" w:rsidRPr="00456379" w:rsidRDefault="00117048">
            <w:pPr>
              <w:pStyle w:val="Body0"/>
              <w:rPr>
                <w:rFonts w:ascii="Arial" w:hAnsi="Arial" w:cs="Arial"/>
              </w:rPr>
            </w:pPr>
            <w:r w:rsidRPr="00456379">
              <w:rPr>
                <w:rFonts w:ascii="Arial" w:hAnsi="Arial" w:cs="Arial"/>
                <w:lang w:val="en" w:eastAsia="en" w:bidi="en"/>
              </w:rPr>
              <w:t>Cmax/MIC, AUC/MIC</w:t>
            </w:r>
          </w:p>
        </w:tc>
      </w:tr>
      <w:tr w:rsidR="00640B29" w:rsidRPr="00456379" w14:paraId="4B32ACE6"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68817F87" w14:textId="77777777" w:rsidR="00640B29" w:rsidRPr="00456379" w:rsidRDefault="00117048">
            <w:pPr>
              <w:pStyle w:val="Body0"/>
              <w:rPr>
                <w:rFonts w:ascii="Arial" w:hAnsi="Arial" w:cs="Arial"/>
              </w:rPr>
            </w:pPr>
            <w:r w:rsidRPr="00456379">
              <w:rPr>
                <w:rFonts w:ascii="Arial" w:hAnsi="Arial" w:cs="Arial"/>
                <w:lang w:val="en" w:eastAsia="en" w:bidi="en"/>
              </w:rPr>
              <w:t>Free (non-liposomal bound drug) in plasmaa</w:t>
            </w:r>
          </w:p>
        </w:tc>
        <w:tc>
          <w:tcPr>
            <w:tcW w:w="4572" w:type="dxa"/>
            <w:tcBorders>
              <w:top w:val="single" w:sz="8" w:space="0" w:color="000000"/>
              <w:left w:val="single" w:sz="8" w:space="0" w:color="000000"/>
              <w:bottom w:val="single" w:sz="8" w:space="0" w:color="000000"/>
              <w:right w:val="single" w:sz="8" w:space="0" w:color="000000"/>
            </w:tcBorders>
          </w:tcPr>
          <w:p w14:paraId="4B064931" w14:textId="77777777" w:rsidR="00640B29" w:rsidRPr="00456379" w:rsidRDefault="00117048">
            <w:pPr>
              <w:pStyle w:val="Body0"/>
              <w:rPr>
                <w:rFonts w:ascii="Arial" w:hAnsi="Arial" w:cs="Arial"/>
              </w:rPr>
            </w:pPr>
            <w:r w:rsidRPr="00456379">
              <w:rPr>
                <w:rFonts w:ascii="Arial" w:hAnsi="Arial" w:cs="Arial"/>
                <w:lang w:val="en" w:eastAsia="en" w:bidi="en"/>
              </w:rPr>
              <w:t>&lt;25 ng/mL</w:t>
            </w:r>
          </w:p>
        </w:tc>
      </w:tr>
      <w:tr w:rsidR="00640B29" w:rsidRPr="00456379" w14:paraId="79463284"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721FD40F" w14:textId="77777777" w:rsidR="00640B29" w:rsidRPr="00456379" w:rsidRDefault="00117048">
            <w:pPr>
              <w:pStyle w:val="Body0"/>
              <w:rPr>
                <w:rFonts w:ascii="Arial" w:hAnsi="Arial" w:cs="Arial"/>
              </w:rPr>
            </w:pPr>
            <w:r w:rsidRPr="00456379">
              <w:rPr>
                <w:rFonts w:ascii="Arial" w:hAnsi="Arial" w:cs="Arial"/>
                <w:lang w:val="en" w:eastAsia="en" w:bidi="en"/>
              </w:rPr>
              <w:t>Mean Cmax mg/Lb</w:t>
            </w:r>
          </w:p>
        </w:tc>
        <w:tc>
          <w:tcPr>
            <w:tcW w:w="4572" w:type="dxa"/>
            <w:tcBorders>
              <w:top w:val="single" w:sz="8" w:space="0" w:color="000000"/>
              <w:left w:val="single" w:sz="8" w:space="0" w:color="000000"/>
              <w:bottom w:val="single" w:sz="8" w:space="0" w:color="000000"/>
              <w:right w:val="single" w:sz="8" w:space="0" w:color="000000"/>
            </w:tcBorders>
          </w:tcPr>
          <w:p w14:paraId="4A1741DA" w14:textId="77777777" w:rsidR="00640B29" w:rsidRPr="00456379" w:rsidRDefault="00117048">
            <w:pPr>
              <w:pStyle w:val="Body0"/>
              <w:rPr>
                <w:rFonts w:ascii="Arial" w:hAnsi="Arial" w:cs="Arial"/>
              </w:rPr>
            </w:pPr>
            <w:r w:rsidRPr="00456379">
              <w:rPr>
                <w:rFonts w:ascii="Arial" w:hAnsi="Arial" w:cs="Arial"/>
                <w:lang w:val="en" w:eastAsia="en" w:bidi="en"/>
              </w:rPr>
              <w:t>58</w:t>
            </w:r>
          </w:p>
        </w:tc>
      </w:tr>
      <w:tr w:rsidR="00640B29" w:rsidRPr="00456379" w14:paraId="4E22DA62"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150CE87E" w14:textId="77777777" w:rsidR="00640B29" w:rsidRPr="00456379" w:rsidRDefault="00117048">
            <w:pPr>
              <w:pStyle w:val="Body0"/>
              <w:rPr>
                <w:rFonts w:ascii="Arial" w:hAnsi="Arial" w:cs="Arial"/>
              </w:rPr>
            </w:pPr>
            <w:r w:rsidRPr="00456379">
              <w:rPr>
                <w:rFonts w:ascii="Arial" w:hAnsi="Arial" w:cs="Arial"/>
                <w:lang w:val="en" w:eastAsia="en" w:bidi="en"/>
              </w:rPr>
              <w:t>Mean AUC0-24h mg/Lxhb</w:t>
            </w:r>
          </w:p>
        </w:tc>
        <w:tc>
          <w:tcPr>
            <w:tcW w:w="4572" w:type="dxa"/>
            <w:tcBorders>
              <w:top w:val="single" w:sz="8" w:space="0" w:color="000000"/>
              <w:left w:val="single" w:sz="8" w:space="0" w:color="000000"/>
              <w:bottom w:val="single" w:sz="8" w:space="0" w:color="000000"/>
              <w:right w:val="single" w:sz="8" w:space="0" w:color="000000"/>
            </w:tcBorders>
          </w:tcPr>
          <w:p w14:paraId="2B3FEAE3" w14:textId="77777777" w:rsidR="00640B29" w:rsidRPr="00456379" w:rsidRDefault="00117048">
            <w:pPr>
              <w:pStyle w:val="Body0"/>
              <w:rPr>
                <w:rFonts w:ascii="Arial" w:hAnsi="Arial" w:cs="Arial"/>
              </w:rPr>
            </w:pPr>
            <w:r w:rsidRPr="00456379">
              <w:rPr>
                <w:rFonts w:ascii="Arial" w:hAnsi="Arial" w:cs="Arial"/>
                <w:lang w:val="en" w:eastAsia="en" w:bidi="en"/>
              </w:rPr>
              <w:t>713</w:t>
            </w:r>
          </w:p>
        </w:tc>
      </w:tr>
      <w:tr w:rsidR="00640B29" w:rsidRPr="00456379" w14:paraId="1FD5CD1B"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2A20CC3A" w14:textId="77777777" w:rsidR="00640B29" w:rsidRPr="00456379" w:rsidRDefault="00117048">
            <w:pPr>
              <w:pStyle w:val="Body0"/>
              <w:rPr>
                <w:rFonts w:ascii="Arial" w:hAnsi="Arial" w:cs="Arial"/>
              </w:rPr>
            </w:pPr>
            <w:r w:rsidRPr="00456379">
              <w:rPr>
                <w:rFonts w:ascii="Arial" w:hAnsi="Arial" w:cs="Arial"/>
                <w:lang w:val="en" w:eastAsia="en" w:bidi="en"/>
              </w:rPr>
              <w:t>Mean CLt L/h/kgb</w:t>
            </w:r>
          </w:p>
        </w:tc>
        <w:tc>
          <w:tcPr>
            <w:tcW w:w="4572" w:type="dxa"/>
            <w:tcBorders>
              <w:top w:val="single" w:sz="8" w:space="0" w:color="000000"/>
              <w:left w:val="single" w:sz="8" w:space="0" w:color="000000"/>
              <w:bottom w:val="single" w:sz="8" w:space="0" w:color="000000"/>
              <w:right w:val="single" w:sz="8" w:space="0" w:color="000000"/>
            </w:tcBorders>
          </w:tcPr>
          <w:p w14:paraId="474792C1" w14:textId="77777777" w:rsidR="00640B29" w:rsidRPr="00456379" w:rsidRDefault="00117048">
            <w:pPr>
              <w:pStyle w:val="Body0"/>
              <w:rPr>
                <w:rFonts w:ascii="Arial" w:hAnsi="Arial" w:cs="Arial"/>
              </w:rPr>
            </w:pPr>
            <w:r w:rsidRPr="00456379">
              <w:rPr>
                <w:rFonts w:ascii="Arial" w:hAnsi="Arial" w:cs="Arial"/>
                <w:lang w:val="en" w:eastAsia="en" w:bidi="en"/>
              </w:rPr>
              <w:t>0.017</w:t>
            </w:r>
          </w:p>
        </w:tc>
      </w:tr>
      <w:tr w:rsidR="00640B29" w:rsidRPr="00456379" w14:paraId="589903A9"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682A5A3A" w14:textId="77777777" w:rsidR="00640B29" w:rsidRPr="00456379" w:rsidRDefault="00117048">
            <w:pPr>
              <w:pStyle w:val="Body0"/>
              <w:rPr>
                <w:rFonts w:ascii="Arial" w:hAnsi="Arial" w:cs="Arial"/>
              </w:rPr>
            </w:pPr>
            <w:r w:rsidRPr="00456379">
              <w:rPr>
                <w:rFonts w:ascii="Arial" w:hAnsi="Arial" w:cs="Arial"/>
                <w:lang w:val="en" w:eastAsia="en" w:bidi="en"/>
              </w:rPr>
              <w:t>Dose linearityc</w:t>
            </w:r>
          </w:p>
        </w:tc>
        <w:tc>
          <w:tcPr>
            <w:tcW w:w="4572" w:type="dxa"/>
            <w:tcBorders>
              <w:top w:val="single" w:sz="8" w:space="0" w:color="000000"/>
              <w:left w:val="single" w:sz="8" w:space="0" w:color="000000"/>
              <w:bottom w:val="single" w:sz="8" w:space="0" w:color="000000"/>
              <w:right w:val="single" w:sz="8" w:space="0" w:color="000000"/>
            </w:tcBorders>
          </w:tcPr>
          <w:p w14:paraId="3BD43F9B" w14:textId="77777777" w:rsidR="00640B29" w:rsidRPr="00456379" w:rsidRDefault="00117048">
            <w:pPr>
              <w:pStyle w:val="Body0"/>
              <w:rPr>
                <w:rFonts w:ascii="Arial" w:hAnsi="Arial" w:cs="Arial"/>
              </w:rPr>
            </w:pPr>
            <w:r w:rsidRPr="00456379">
              <w:rPr>
                <w:rFonts w:ascii="Arial" w:hAnsi="Arial" w:cs="Arial"/>
                <w:lang w:val="en" w:eastAsia="en" w:bidi="en"/>
              </w:rPr>
              <w:t>Up to 10 mg/kg/day in adults</w:t>
            </w:r>
          </w:p>
        </w:tc>
      </w:tr>
      <w:tr w:rsidR="00640B29" w:rsidRPr="00456379" w14:paraId="355A1135"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012E48E2" w14:textId="77777777" w:rsidR="00640B29" w:rsidRPr="00456379" w:rsidRDefault="00117048">
            <w:pPr>
              <w:pStyle w:val="Body0"/>
              <w:rPr>
                <w:rFonts w:ascii="Arial" w:hAnsi="Arial" w:cs="Arial"/>
              </w:rPr>
            </w:pPr>
            <w:r w:rsidRPr="00456379">
              <w:rPr>
                <w:rFonts w:ascii="Arial" w:hAnsi="Arial" w:cs="Arial"/>
                <w:lang w:val="en" w:eastAsia="en" w:bidi="en"/>
              </w:rPr>
              <w:t>Metabolism</w:t>
            </w:r>
          </w:p>
        </w:tc>
        <w:tc>
          <w:tcPr>
            <w:tcW w:w="4572" w:type="dxa"/>
            <w:tcBorders>
              <w:top w:val="single" w:sz="8" w:space="0" w:color="000000"/>
              <w:left w:val="single" w:sz="8" w:space="0" w:color="000000"/>
              <w:bottom w:val="single" w:sz="8" w:space="0" w:color="000000"/>
              <w:right w:val="single" w:sz="8" w:space="0" w:color="000000"/>
            </w:tcBorders>
          </w:tcPr>
          <w:p w14:paraId="67AEBB73" w14:textId="77777777" w:rsidR="00640B29" w:rsidRPr="00456379" w:rsidRDefault="00117048">
            <w:pPr>
              <w:pStyle w:val="Body0"/>
              <w:rPr>
                <w:rFonts w:ascii="Arial" w:hAnsi="Arial" w:cs="Arial"/>
              </w:rPr>
            </w:pPr>
            <w:r w:rsidRPr="00456379">
              <w:rPr>
                <w:rFonts w:ascii="Arial" w:hAnsi="Arial" w:cs="Arial"/>
                <w:lang w:val="en" w:eastAsia="en" w:bidi="en"/>
              </w:rPr>
              <w:t>Not metabolized</w:t>
            </w:r>
          </w:p>
        </w:tc>
      </w:tr>
      <w:tr w:rsidR="00640B29" w:rsidRPr="00456379" w14:paraId="7CEEAE05"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5B52E8CE" w14:textId="77777777" w:rsidR="00640B29" w:rsidRPr="00456379" w:rsidRDefault="00117048">
            <w:pPr>
              <w:pStyle w:val="Body0"/>
              <w:rPr>
                <w:rFonts w:ascii="Arial" w:hAnsi="Arial" w:cs="Arial"/>
              </w:rPr>
            </w:pPr>
            <w:r w:rsidRPr="00456379">
              <w:rPr>
                <w:rFonts w:ascii="Arial" w:hAnsi="Arial" w:cs="Arial"/>
                <w:lang w:val="en" w:eastAsia="en" w:bidi="en"/>
              </w:rPr>
              <w:t>Elimination</w:t>
            </w:r>
          </w:p>
        </w:tc>
        <w:tc>
          <w:tcPr>
            <w:tcW w:w="4572" w:type="dxa"/>
            <w:tcBorders>
              <w:top w:val="single" w:sz="8" w:space="0" w:color="000000"/>
              <w:left w:val="single" w:sz="8" w:space="0" w:color="000000"/>
              <w:bottom w:val="single" w:sz="8" w:space="0" w:color="000000"/>
              <w:right w:val="single" w:sz="8" w:space="0" w:color="000000"/>
            </w:tcBorders>
          </w:tcPr>
          <w:p w14:paraId="16BA1CC7" w14:textId="77777777" w:rsidR="00640B29" w:rsidRPr="00456379" w:rsidRDefault="00117048">
            <w:pPr>
              <w:pStyle w:val="Body0"/>
              <w:rPr>
                <w:rFonts w:ascii="Arial" w:hAnsi="Arial" w:cs="Arial"/>
              </w:rPr>
            </w:pPr>
            <w:r w:rsidRPr="00456379">
              <w:rPr>
                <w:rFonts w:ascii="Arial" w:hAnsi="Arial" w:cs="Arial"/>
                <w:lang w:val="en" w:eastAsia="en" w:bidi="en"/>
              </w:rPr>
              <w:t>Unchanged feces and urine (&lt; 10% over one week)</w:t>
            </w:r>
          </w:p>
        </w:tc>
      </w:tr>
      <w:tr w:rsidR="00640B29" w:rsidRPr="00456379" w14:paraId="5E2FF262" w14:textId="77777777">
        <w:trPr>
          <w:trHeight w:val="40"/>
        </w:trPr>
        <w:tc>
          <w:tcPr>
            <w:tcW w:w="4572" w:type="dxa"/>
            <w:tcBorders>
              <w:top w:val="single" w:sz="8" w:space="0" w:color="000000"/>
              <w:left w:val="single" w:sz="8" w:space="0" w:color="000000"/>
              <w:bottom w:val="single" w:sz="8" w:space="0" w:color="000000"/>
              <w:right w:val="single" w:sz="8" w:space="0" w:color="000000"/>
            </w:tcBorders>
          </w:tcPr>
          <w:p w14:paraId="6B96EAB4" w14:textId="77777777" w:rsidR="00640B29" w:rsidRPr="00456379" w:rsidRDefault="00117048">
            <w:pPr>
              <w:pStyle w:val="Body0"/>
              <w:rPr>
                <w:rFonts w:ascii="Arial" w:hAnsi="Arial" w:cs="Arial"/>
              </w:rPr>
            </w:pPr>
            <w:r w:rsidRPr="00456379">
              <w:rPr>
                <w:rFonts w:ascii="Arial" w:hAnsi="Arial" w:cs="Arial"/>
                <w:lang w:val="en" w:eastAsia="en" w:bidi="en"/>
              </w:rPr>
              <w:t>Dosage adjustment in renal impairment</w:t>
            </w:r>
          </w:p>
        </w:tc>
        <w:tc>
          <w:tcPr>
            <w:tcW w:w="4572" w:type="dxa"/>
            <w:tcBorders>
              <w:top w:val="single" w:sz="8" w:space="0" w:color="000000"/>
              <w:left w:val="single" w:sz="8" w:space="0" w:color="000000"/>
              <w:bottom w:val="single" w:sz="8" w:space="0" w:color="000000"/>
              <w:right w:val="single" w:sz="8" w:space="0" w:color="000000"/>
            </w:tcBorders>
          </w:tcPr>
          <w:p w14:paraId="17B6E305" w14:textId="77777777" w:rsidR="00640B29" w:rsidRPr="00456379" w:rsidRDefault="00117048">
            <w:pPr>
              <w:pStyle w:val="Body0"/>
              <w:rPr>
                <w:rFonts w:ascii="Arial" w:hAnsi="Arial" w:cs="Arial"/>
              </w:rPr>
            </w:pPr>
            <w:r w:rsidRPr="00456379">
              <w:rPr>
                <w:rFonts w:ascii="Arial" w:hAnsi="Arial" w:cs="Arial"/>
                <w:lang w:val="en" w:eastAsia="en" w:bidi="en"/>
              </w:rPr>
              <w:t>No adjustment for accumulation concerns</w:t>
            </w:r>
          </w:p>
        </w:tc>
      </w:tr>
      <w:tr w:rsidR="00640B29" w:rsidRPr="00456379" w14:paraId="202A3D0A" w14:textId="77777777">
        <w:trPr>
          <w:trHeight w:val="40"/>
        </w:trPr>
        <w:tc>
          <w:tcPr>
            <w:tcW w:w="4572" w:type="dxa"/>
            <w:tcBorders>
              <w:top w:val="single" w:sz="8" w:space="0" w:color="000000"/>
              <w:left w:val="single" w:sz="8" w:space="0" w:color="000000"/>
              <w:bottom w:val="single" w:sz="4" w:space="0" w:color="000000"/>
              <w:right w:val="single" w:sz="8" w:space="0" w:color="000000"/>
            </w:tcBorders>
          </w:tcPr>
          <w:p w14:paraId="707282F3" w14:textId="77777777" w:rsidR="00640B29" w:rsidRPr="00456379" w:rsidRDefault="00117048">
            <w:pPr>
              <w:pStyle w:val="Body0"/>
              <w:rPr>
                <w:rFonts w:ascii="Arial" w:hAnsi="Arial" w:cs="Arial"/>
              </w:rPr>
            </w:pPr>
            <w:r w:rsidRPr="00456379">
              <w:rPr>
                <w:rFonts w:ascii="Arial" w:hAnsi="Arial" w:cs="Arial"/>
                <w:lang w:val="en" w:eastAsia="en" w:bidi="en"/>
              </w:rPr>
              <w:t>Dosage adjustment in hepatic impairment</w:t>
            </w:r>
          </w:p>
        </w:tc>
        <w:tc>
          <w:tcPr>
            <w:tcW w:w="4572" w:type="dxa"/>
            <w:tcBorders>
              <w:top w:val="single" w:sz="8" w:space="0" w:color="000000"/>
              <w:left w:val="single" w:sz="8" w:space="0" w:color="000000"/>
              <w:bottom w:val="single" w:sz="4" w:space="0" w:color="000000"/>
              <w:right w:val="single" w:sz="8" w:space="0" w:color="000000"/>
            </w:tcBorders>
          </w:tcPr>
          <w:p w14:paraId="74168CF3" w14:textId="77777777" w:rsidR="00640B29" w:rsidRPr="00456379" w:rsidRDefault="00117048">
            <w:pPr>
              <w:pStyle w:val="Body0"/>
              <w:rPr>
                <w:rFonts w:ascii="Arial" w:hAnsi="Arial" w:cs="Arial"/>
              </w:rPr>
            </w:pPr>
            <w:r w:rsidRPr="00456379">
              <w:rPr>
                <w:rFonts w:ascii="Arial" w:hAnsi="Arial" w:cs="Arial"/>
                <w:lang w:val="en" w:eastAsia="en" w:bidi="en"/>
              </w:rPr>
              <w:t>No adjustment for accumulation concerns</w:t>
            </w:r>
          </w:p>
        </w:tc>
      </w:tr>
    </w:tbl>
    <w:p w14:paraId="0F747EBB" w14:textId="1E6B054F" w:rsidR="00640B29" w:rsidRPr="00456379" w:rsidRDefault="00117048">
      <w:pPr>
        <w:pStyle w:val="Body0"/>
        <w:rPr>
          <w:rFonts w:ascii="Arial" w:hAnsi="Arial" w:cs="Arial"/>
        </w:rPr>
      </w:pPr>
      <w:r w:rsidRPr="00456379">
        <w:rPr>
          <w:rFonts w:ascii="Arial" w:hAnsi="Arial" w:cs="Arial"/>
          <w:b/>
          <w:bCs/>
          <w:lang w:val="en" w:eastAsia="en" w:bidi="en"/>
        </w:rPr>
        <w:lastRenderedPageBreak/>
        <w:t>Table 2: Clinical studies evaluating high-dose liposomal amphotericin B for mucormycosis</w:t>
      </w:r>
      <w:r w:rsidRPr="00456379">
        <w:rPr>
          <w:rFonts w:ascii="Arial" w:hAnsi="Arial" w:cs="Arial"/>
          <w:b/>
          <w:bCs/>
          <w:vertAlign w:val="superscript"/>
          <w:lang w:val="en" w:eastAsia="en" w:bidi="en"/>
        </w:rPr>
        <w:t>a</w:t>
      </w:r>
    </w:p>
    <w:p w14:paraId="032E7419" w14:textId="77777777" w:rsidR="00640B29" w:rsidRPr="00456379" w:rsidRDefault="00640B29">
      <w:pPr>
        <w:pStyle w:val="Body0"/>
        <w:rPr>
          <w:rFonts w:ascii="Arial" w:hAnsi="Arial" w:cs="Arial"/>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40" w:type="dxa"/>
          <w:left w:w="40" w:type="dxa"/>
          <w:bottom w:w="40" w:type="dxa"/>
          <w:right w:w="40" w:type="dxa"/>
        </w:tblCellMar>
        <w:tblLook w:val="04A0" w:firstRow="1" w:lastRow="0" w:firstColumn="1" w:lastColumn="0" w:noHBand="0" w:noVBand="1"/>
      </w:tblPr>
      <w:tblGrid>
        <w:gridCol w:w="2250"/>
        <w:gridCol w:w="2250"/>
        <w:gridCol w:w="2250"/>
        <w:gridCol w:w="2250"/>
      </w:tblGrid>
      <w:tr w:rsidR="00640B29" w:rsidRPr="00456379" w14:paraId="41768AC6"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2828A459" w14:textId="77777777" w:rsidR="00640B29" w:rsidRPr="00456379" w:rsidRDefault="00117048">
            <w:pPr>
              <w:pStyle w:val="Body0"/>
              <w:rPr>
                <w:rFonts w:ascii="Arial" w:hAnsi="Arial" w:cs="Arial"/>
              </w:rPr>
            </w:pPr>
            <w:r w:rsidRPr="00456379">
              <w:rPr>
                <w:rFonts w:ascii="Arial" w:hAnsi="Arial" w:cs="Arial"/>
                <w:lang w:val="en" w:eastAsia="en" w:bidi="en"/>
              </w:rPr>
              <w:t>Author- year</w:t>
            </w:r>
          </w:p>
        </w:tc>
        <w:tc>
          <w:tcPr>
            <w:tcW w:w="2250" w:type="dxa"/>
            <w:tcBorders>
              <w:top w:val="single" w:sz="8" w:space="0" w:color="000000"/>
              <w:left w:val="single" w:sz="8" w:space="0" w:color="000000"/>
              <w:bottom w:val="single" w:sz="8" w:space="0" w:color="000000"/>
              <w:right w:val="single" w:sz="8" w:space="0" w:color="000000"/>
            </w:tcBorders>
          </w:tcPr>
          <w:p w14:paraId="3A35A5D4" w14:textId="77777777" w:rsidR="00640B29" w:rsidRPr="00456379" w:rsidRDefault="00117048">
            <w:pPr>
              <w:pStyle w:val="Body0"/>
              <w:rPr>
                <w:rFonts w:ascii="Arial" w:hAnsi="Arial" w:cs="Arial"/>
              </w:rPr>
            </w:pPr>
            <w:r w:rsidRPr="00456379">
              <w:rPr>
                <w:rFonts w:ascii="Arial" w:hAnsi="Arial" w:cs="Arial"/>
                <w:lang w:val="en" w:eastAsia="en" w:bidi="en"/>
              </w:rPr>
              <w:t>Study design</w:t>
            </w:r>
          </w:p>
        </w:tc>
        <w:tc>
          <w:tcPr>
            <w:tcW w:w="2250" w:type="dxa"/>
            <w:tcBorders>
              <w:top w:val="single" w:sz="8" w:space="0" w:color="000000"/>
              <w:left w:val="single" w:sz="8" w:space="0" w:color="000000"/>
              <w:bottom w:val="single" w:sz="8" w:space="0" w:color="000000"/>
              <w:right w:val="single" w:sz="8" w:space="0" w:color="000000"/>
            </w:tcBorders>
          </w:tcPr>
          <w:p w14:paraId="37278909" w14:textId="77777777" w:rsidR="00640B29" w:rsidRPr="00456379" w:rsidRDefault="00117048">
            <w:pPr>
              <w:pStyle w:val="Body0"/>
              <w:rPr>
                <w:rFonts w:ascii="Arial" w:hAnsi="Arial" w:cs="Arial"/>
              </w:rPr>
            </w:pPr>
            <w:r w:rsidRPr="00456379">
              <w:rPr>
                <w:rFonts w:ascii="Arial" w:hAnsi="Arial" w:cs="Arial"/>
                <w:lang w:val="en" w:eastAsia="en" w:bidi="en"/>
              </w:rPr>
              <w:t>L-AMB treatment regimen</w:t>
            </w:r>
          </w:p>
        </w:tc>
        <w:tc>
          <w:tcPr>
            <w:tcW w:w="2250" w:type="dxa"/>
            <w:tcBorders>
              <w:top w:val="single" w:sz="8" w:space="0" w:color="000000"/>
              <w:left w:val="single" w:sz="8" w:space="0" w:color="000000"/>
              <w:bottom w:val="single" w:sz="8" w:space="0" w:color="000000"/>
              <w:right w:val="single" w:sz="8" w:space="0" w:color="000000"/>
            </w:tcBorders>
          </w:tcPr>
          <w:p w14:paraId="02C10201" w14:textId="77777777" w:rsidR="00640B29" w:rsidRPr="00456379" w:rsidRDefault="00117048">
            <w:pPr>
              <w:pStyle w:val="Body0"/>
              <w:rPr>
                <w:rFonts w:ascii="Arial" w:hAnsi="Arial" w:cs="Arial"/>
              </w:rPr>
            </w:pPr>
            <w:r w:rsidRPr="00456379">
              <w:rPr>
                <w:rFonts w:ascii="Arial" w:hAnsi="Arial" w:cs="Arial"/>
                <w:lang w:val="en" w:eastAsia="en" w:bidi="en"/>
              </w:rPr>
              <w:t>Outcomes</w:t>
            </w:r>
          </w:p>
        </w:tc>
      </w:tr>
      <w:tr w:rsidR="00640B29" w:rsidRPr="00456379" w14:paraId="4A4BAF82"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7BB6A06D" w14:textId="77777777" w:rsidR="00640B29" w:rsidRPr="00456379" w:rsidRDefault="00117048">
            <w:pPr>
              <w:pStyle w:val="Body0"/>
              <w:rPr>
                <w:rFonts w:ascii="Arial" w:hAnsi="Arial" w:cs="Arial"/>
              </w:rPr>
            </w:pPr>
            <w:r w:rsidRPr="00456379">
              <w:rPr>
                <w:rFonts w:ascii="Arial" w:hAnsi="Arial" w:cs="Arial"/>
                <w:lang w:val="en" w:eastAsia="en" w:bidi="en"/>
              </w:rPr>
              <w:t xml:space="preserve">Lanternier et al. 2015 </w:t>
            </w:r>
            <w:r w:rsidRPr="00456379">
              <w:rPr>
                <w:rFonts w:ascii="Arial" w:hAnsi="Arial" w:cs="Arial"/>
              </w:rPr>
              <w:fldChar w:fldCharType="begin"/>
            </w:r>
            <w:r w:rsidRPr="00456379">
              <w:rPr>
                <w:rFonts w:ascii="Arial" w:hAnsi="Arial" w:cs="Arial"/>
              </w:rPr>
              <w:instrText>ADDIN BEC{Lanternier et al., 2015 #10205}</w:instrText>
            </w:r>
            <w:r w:rsidRPr="00456379">
              <w:rPr>
                <w:rFonts w:ascii="Arial" w:hAnsi="Arial" w:cs="Arial"/>
              </w:rPr>
              <w:fldChar w:fldCharType="separate"/>
            </w:r>
            <w:r w:rsidRPr="00456379">
              <w:rPr>
                <w:rFonts w:ascii="Arial" w:hAnsi="Arial" w:cs="Arial"/>
                <w:lang w:val="en" w:eastAsia="en" w:bidi="en"/>
              </w:rPr>
              <w:t>[8]</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283565EB" w14:textId="77777777" w:rsidR="00640B29" w:rsidRPr="00456379" w:rsidRDefault="00117048">
            <w:pPr>
              <w:pStyle w:val="Body0"/>
              <w:rPr>
                <w:rFonts w:ascii="Arial" w:hAnsi="Arial" w:cs="Arial"/>
              </w:rPr>
            </w:pPr>
            <w:r w:rsidRPr="00456379">
              <w:rPr>
                <w:rFonts w:ascii="Arial" w:hAnsi="Arial" w:cs="Arial"/>
                <w:lang w:val="en" w:eastAsia="en" w:bidi="en"/>
              </w:rPr>
              <w:t>Prospective, multicenter pilot study; n=40 patients; most hematologic malignancy, 33% neutropenic</w:t>
            </w:r>
          </w:p>
        </w:tc>
        <w:tc>
          <w:tcPr>
            <w:tcW w:w="2250" w:type="dxa"/>
            <w:tcBorders>
              <w:top w:val="single" w:sz="8" w:space="0" w:color="000000"/>
              <w:left w:val="single" w:sz="8" w:space="0" w:color="000000"/>
              <w:bottom w:val="single" w:sz="8" w:space="0" w:color="000000"/>
              <w:right w:val="single" w:sz="8" w:space="0" w:color="000000"/>
            </w:tcBorders>
          </w:tcPr>
          <w:p w14:paraId="2393A6A3" w14:textId="77777777" w:rsidR="00640B29" w:rsidRPr="00456379" w:rsidRDefault="00117048">
            <w:pPr>
              <w:pStyle w:val="Body0"/>
              <w:rPr>
                <w:rFonts w:ascii="Arial" w:hAnsi="Arial" w:cs="Arial"/>
              </w:rPr>
            </w:pPr>
            <w:r w:rsidRPr="00456379">
              <w:rPr>
                <w:rFonts w:ascii="Arial" w:hAnsi="Arial" w:cs="Arial"/>
                <w:lang w:val="en" w:eastAsia="en" w:bidi="en"/>
              </w:rPr>
              <w:t>10 mg/kg/day for median of 13.5 days (range 0-28)</w:t>
            </w:r>
          </w:p>
        </w:tc>
        <w:tc>
          <w:tcPr>
            <w:tcW w:w="2250" w:type="dxa"/>
            <w:tcBorders>
              <w:top w:val="single" w:sz="8" w:space="0" w:color="000000"/>
              <w:left w:val="single" w:sz="8" w:space="0" w:color="000000"/>
              <w:bottom w:val="single" w:sz="8" w:space="0" w:color="000000"/>
              <w:right w:val="single" w:sz="8" w:space="0" w:color="000000"/>
            </w:tcBorders>
          </w:tcPr>
          <w:p w14:paraId="726C92E1" w14:textId="77777777" w:rsidR="00640B29" w:rsidRPr="00456379" w:rsidRDefault="00117048">
            <w:pPr>
              <w:pStyle w:val="Body0"/>
              <w:rPr>
                <w:rFonts w:ascii="Arial" w:hAnsi="Arial" w:cs="Arial"/>
              </w:rPr>
            </w:pPr>
            <w:r w:rsidRPr="00456379">
              <w:rPr>
                <w:rFonts w:ascii="Arial" w:hAnsi="Arial" w:cs="Arial"/>
                <w:lang w:val="en" w:eastAsia="en" w:bidi="en"/>
              </w:rPr>
              <w:t>Response rate (n=33 patients at week 4) 38% overall mortality at week 12 and 53% at week 24  SeCr doubling in 40% of patients</w:t>
            </w:r>
          </w:p>
        </w:tc>
      </w:tr>
      <w:tr w:rsidR="00640B29" w:rsidRPr="00456379" w14:paraId="3F160981"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5498EC1C" w14:textId="77777777" w:rsidR="00640B29" w:rsidRPr="00456379" w:rsidRDefault="00117048">
            <w:pPr>
              <w:pStyle w:val="Body0"/>
              <w:rPr>
                <w:rFonts w:ascii="Arial" w:hAnsi="Arial" w:cs="Arial"/>
              </w:rPr>
            </w:pPr>
            <w:r w:rsidRPr="00456379">
              <w:rPr>
                <w:rFonts w:ascii="Arial" w:hAnsi="Arial" w:cs="Arial"/>
                <w:lang w:val="en" w:eastAsia="en" w:bidi="en"/>
              </w:rPr>
              <w:t xml:space="preserve">Valiante et al al. 2023 </w:t>
            </w:r>
            <w:r w:rsidRPr="00456379">
              <w:rPr>
                <w:rFonts w:ascii="Arial" w:hAnsi="Arial" w:cs="Arial"/>
              </w:rPr>
              <w:fldChar w:fldCharType="begin"/>
            </w:r>
            <w:r w:rsidRPr="00456379">
              <w:rPr>
                <w:rFonts w:ascii="Arial" w:hAnsi="Arial" w:cs="Arial"/>
              </w:rPr>
              <w:instrText>ADDIN BEC{Valiante et al., 2023 #215031}</w:instrText>
            </w:r>
            <w:r w:rsidRPr="00456379">
              <w:rPr>
                <w:rFonts w:ascii="Arial" w:hAnsi="Arial" w:cs="Arial"/>
              </w:rPr>
              <w:fldChar w:fldCharType="separate"/>
            </w:r>
            <w:r w:rsidRPr="00456379">
              <w:rPr>
                <w:rFonts w:ascii="Arial" w:hAnsi="Arial" w:cs="Arial"/>
                <w:lang w:val="en" w:eastAsia="en" w:bidi="en"/>
              </w:rPr>
              <w:t>[34]</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09A6DEDE" w14:textId="77777777" w:rsidR="00640B29" w:rsidRPr="00456379" w:rsidRDefault="00117048">
            <w:pPr>
              <w:pStyle w:val="Body0"/>
              <w:rPr>
                <w:rFonts w:ascii="Arial" w:hAnsi="Arial" w:cs="Arial"/>
              </w:rPr>
            </w:pPr>
            <w:r w:rsidRPr="00456379">
              <w:rPr>
                <w:rFonts w:ascii="Arial" w:hAnsi="Arial" w:cs="Arial"/>
                <w:lang w:val="en" w:eastAsia="en" w:bidi="en"/>
              </w:rPr>
              <w:t xml:space="preserve">Retrospective cohort study; (n=67 adults with probable/proven mucormycosis </w:t>
            </w:r>
          </w:p>
        </w:tc>
        <w:tc>
          <w:tcPr>
            <w:tcW w:w="2250" w:type="dxa"/>
            <w:tcBorders>
              <w:top w:val="single" w:sz="8" w:space="0" w:color="000000"/>
              <w:left w:val="single" w:sz="8" w:space="0" w:color="000000"/>
              <w:bottom w:val="single" w:sz="8" w:space="0" w:color="000000"/>
              <w:right w:val="single" w:sz="8" w:space="0" w:color="000000"/>
            </w:tcBorders>
          </w:tcPr>
          <w:p w14:paraId="61C0A551" w14:textId="77777777" w:rsidR="00640B29" w:rsidRPr="00456379" w:rsidRDefault="00117048">
            <w:pPr>
              <w:pStyle w:val="Body0"/>
              <w:rPr>
                <w:rFonts w:ascii="Arial" w:hAnsi="Arial" w:cs="Arial"/>
              </w:rPr>
            </w:pPr>
            <w:r w:rsidRPr="00456379">
              <w:rPr>
                <w:rFonts w:ascii="Arial" w:hAnsi="Arial" w:cs="Arial"/>
                <w:lang w:val="en" w:eastAsia="en" w:bidi="en"/>
              </w:rPr>
              <w:t>L-AMB &lt; 6 mg/kg/day vs. ≥ 6 mg/kg/day</w:t>
            </w:r>
          </w:p>
        </w:tc>
        <w:tc>
          <w:tcPr>
            <w:tcW w:w="2250" w:type="dxa"/>
            <w:tcBorders>
              <w:top w:val="single" w:sz="8" w:space="0" w:color="000000"/>
              <w:left w:val="single" w:sz="8" w:space="0" w:color="000000"/>
              <w:bottom w:val="single" w:sz="8" w:space="0" w:color="000000"/>
              <w:right w:val="single" w:sz="8" w:space="0" w:color="000000"/>
            </w:tcBorders>
          </w:tcPr>
          <w:p w14:paraId="3692F6E2" w14:textId="77777777" w:rsidR="00640B29" w:rsidRPr="00456379" w:rsidRDefault="00117048">
            <w:pPr>
              <w:pStyle w:val="Body0"/>
              <w:rPr>
                <w:rFonts w:ascii="Arial" w:hAnsi="Arial" w:cs="Arial"/>
              </w:rPr>
            </w:pPr>
            <w:r w:rsidRPr="00456379">
              <w:rPr>
                <w:rFonts w:ascii="Arial" w:hAnsi="Arial" w:cs="Arial"/>
                <w:lang w:val="en" w:eastAsia="en" w:bidi="en"/>
              </w:rPr>
              <w:t>12-week mortality rate 49 vs. 50%.  Similar rates of acute kidney injury (47% v.s 50%)</w:t>
            </w:r>
          </w:p>
        </w:tc>
      </w:tr>
      <w:tr w:rsidR="00640B29" w:rsidRPr="00456379" w14:paraId="2569DEA7"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4B7765B1" w14:textId="77777777" w:rsidR="00640B29" w:rsidRPr="00456379" w:rsidRDefault="00117048">
            <w:pPr>
              <w:pStyle w:val="Body0"/>
              <w:rPr>
                <w:rFonts w:ascii="Arial" w:hAnsi="Arial" w:cs="Arial"/>
              </w:rPr>
            </w:pPr>
            <w:r w:rsidRPr="00456379">
              <w:rPr>
                <w:rFonts w:ascii="Arial" w:hAnsi="Arial" w:cs="Arial"/>
                <w:lang w:val="en" w:eastAsia="en" w:bidi="en"/>
              </w:rPr>
              <w:t xml:space="preserve">Tashiro et al. 2023 </w:t>
            </w:r>
            <w:r w:rsidRPr="00456379">
              <w:rPr>
                <w:rFonts w:ascii="Arial" w:hAnsi="Arial" w:cs="Arial"/>
              </w:rPr>
              <w:fldChar w:fldCharType="begin"/>
            </w:r>
            <w:r w:rsidRPr="00456379">
              <w:rPr>
                <w:rFonts w:ascii="Arial" w:hAnsi="Arial" w:cs="Arial"/>
              </w:rPr>
              <w:instrText>ADDIN BEC{Tashiro et al., 2023 #222766}</w:instrText>
            </w:r>
            <w:r w:rsidRPr="00456379">
              <w:rPr>
                <w:rFonts w:ascii="Arial" w:hAnsi="Arial" w:cs="Arial"/>
              </w:rPr>
              <w:fldChar w:fldCharType="separate"/>
            </w:r>
            <w:r w:rsidRPr="00456379">
              <w:rPr>
                <w:rFonts w:ascii="Arial" w:hAnsi="Arial" w:cs="Arial"/>
                <w:lang w:val="en" w:eastAsia="en" w:bidi="en"/>
              </w:rPr>
              <w:t>[10]</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3E850A3F" w14:textId="77777777" w:rsidR="00640B29" w:rsidRPr="00456379" w:rsidRDefault="00117048">
            <w:pPr>
              <w:pStyle w:val="Body0"/>
              <w:rPr>
                <w:rFonts w:ascii="Arial" w:hAnsi="Arial" w:cs="Arial"/>
              </w:rPr>
            </w:pPr>
            <w:r w:rsidRPr="00456379">
              <w:rPr>
                <w:rFonts w:ascii="Arial" w:hAnsi="Arial" w:cs="Arial"/>
                <w:lang w:val="en" w:eastAsia="en" w:bidi="en"/>
              </w:rPr>
              <w:t>Retrospective multicenter nationwide cohort analysis n=82 cases</w:t>
            </w:r>
          </w:p>
        </w:tc>
        <w:tc>
          <w:tcPr>
            <w:tcW w:w="2250" w:type="dxa"/>
            <w:tcBorders>
              <w:top w:val="single" w:sz="8" w:space="0" w:color="000000"/>
              <w:left w:val="single" w:sz="8" w:space="0" w:color="000000"/>
              <w:bottom w:val="single" w:sz="8" w:space="0" w:color="000000"/>
              <w:right w:val="single" w:sz="8" w:space="0" w:color="000000"/>
            </w:tcBorders>
          </w:tcPr>
          <w:p w14:paraId="10E6EFA7" w14:textId="77777777" w:rsidR="00640B29" w:rsidRPr="00456379" w:rsidRDefault="00117048">
            <w:pPr>
              <w:pStyle w:val="Body0"/>
              <w:rPr>
                <w:rFonts w:ascii="Arial" w:hAnsi="Arial" w:cs="Arial"/>
              </w:rPr>
            </w:pPr>
            <w:r w:rsidRPr="00456379">
              <w:rPr>
                <w:rFonts w:ascii="Arial" w:hAnsi="Arial" w:cs="Arial"/>
                <w:lang w:val="en" w:eastAsia="en" w:bidi="en"/>
              </w:rPr>
              <w:t>L-AMB 5 mg/kg/day vs. ≥ 5 mg/kg/day</w:t>
            </w:r>
          </w:p>
        </w:tc>
        <w:tc>
          <w:tcPr>
            <w:tcW w:w="2250" w:type="dxa"/>
            <w:tcBorders>
              <w:top w:val="single" w:sz="8" w:space="0" w:color="000000"/>
              <w:left w:val="single" w:sz="8" w:space="0" w:color="000000"/>
              <w:bottom w:val="single" w:sz="8" w:space="0" w:color="000000"/>
              <w:right w:val="single" w:sz="8" w:space="0" w:color="000000"/>
            </w:tcBorders>
          </w:tcPr>
          <w:p w14:paraId="06848834" w14:textId="77777777" w:rsidR="00640B29" w:rsidRPr="00456379" w:rsidRDefault="00117048">
            <w:pPr>
              <w:pStyle w:val="Body0"/>
              <w:rPr>
                <w:rFonts w:ascii="Arial" w:hAnsi="Arial" w:cs="Arial"/>
              </w:rPr>
            </w:pPr>
            <w:r w:rsidRPr="00456379">
              <w:rPr>
                <w:rFonts w:ascii="Arial" w:hAnsi="Arial" w:cs="Arial"/>
                <w:lang w:val="en" w:eastAsia="en" w:bidi="en"/>
              </w:rPr>
              <w:t xml:space="preserve">No difference in survival between patients receiving liposomal amphotericin B at 5 mg/kg/d relative to those receiving &gt;5 mg/kg/d (P = .625).  In analysis adjusting </w:t>
            </w:r>
            <w:r w:rsidRPr="00456379">
              <w:rPr>
                <w:rFonts w:ascii="Arial" w:hAnsi="Arial" w:cs="Arial"/>
                <w:lang w:val="en" w:eastAsia="en" w:bidi="en"/>
              </w:rPr>
              <w:lastRenderedPageBreak/>
              <w:t>for confounders, the hazard ratio for the influence of &gt;5 mg/kg/d liposomal amphotericin B on 4-week survival was 0.86 (95% CI, 0.28–2.68; P = .796) compared with 5 mg/kg/d.</w:t>
            </w:r>
          </w:p>
        </w:tc>
      </w:tr>
      <w:tr w:rsidR="00640B29" w:rsidRPr="00456379" w14:paraId="165256AB"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698F6323" w14:textId="77777777" w:rsidR="00640B29" w:rsidRPr="00456379" w:rsidRDefault="00117048">
            <w:pPr>
              <w:pStyle w:val="Body0"/>
              <w:rPr>
                <w:rFonts w:ascii="Arial" w:hAnsi="Arial" w:cs="Arial"/>
              </w:rPr>
            </w:pPr>
            <w:r w:rsidRPr="00456379">
              <w:rPr>
                <w:rFonts w:ascii="Arial" w:hAnsi="Arial" w:cs="Arial"/>
                <w:lang w:val="en" w:eastAsia="en" w:bidi="en"/>
              </w:rPr>
              <w:lastRenderedPageBreak/>
              <w:t xml:space="preserve">Stover et al. 2024 </w:t>
            </w:r>
            <w:r w:rsidRPr="00456379">
              <w:rPr>
                <w:rFonts w:ascii="Arial" w:hAnsi="Arial" w:cs="Arial"/>
              </w:rPr>
              <w:fldChar w:fldCharType="begin"/>
            </w:r>
            <w:r w:rsidRPr="00456379">
              <w:rPr>
                <w:rFonts w:ascii="Arial" w:hAnsi="Arial" w:cs="Arial"/>
              </w:rPr>
              <w:instrText>ADDIN BEC{Stover et al., 2024 #68709}</w:instrText>
            </w:r>
            <w:r w:rsidRPr="00456379">
              <w:rPr>
                <w:rFonts w:ascii="Arial" w:hAnsi="Arial" w:cs="Arial"/>
              </w:rPr>
              <w:fldChar w:fldCharType="separate"/>
            </w:r>
            <w:r w:rsidRPr="00456379">
              <w:rPr>
                <w:rFonts w:ascii="Arial" w:hAnsi="Arial" w:cs="Arial"/>
                <w:lang w:val="en" w:eastAsia="en" w:bidi="en"/>
              </w:rPr>
              <w:t>[35]</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3CDB37F1" w14:textId="77777777" w:rsidR="00640B29" w:rsidRPr="00456379" w:rsidRDefault="00117048">
            <w:pPr>
              <w:pStyle w:val="Body0"/>
              <w:rPr>
                <w:rFonts w:ascii="Arial" w:hAnsi="Arial" w:cs="Arial"/>
              </w:rPr>
            </w:pPr>
            <w:r w:rsidRPr="00456379">
              <w:rPr>
                <w:rFonts w:ascii="Arial" w:hAnsi="Arial" w:cs="Arial"/>
                <w:lang w:val="en" w:eastAsia="en" w:bidi="en"/>
              </w:rPr>
              <w:t>Single-center case series, mixed population</w:t>
            </w:r>
          </w:p>
        </w:tc>
        <w:tc>
          <w:tcPr>
            <w:tcW w:w="2250" w:type="dxa"/>
            <w:tcBorders>
              <w:top w:val="single" w:sz="8" w:space="0" w:color="000000"/>
              <w:left w:val="single" w:sz="8" w:space="0" w:color="000000"/>
              <w:bottom w:val="single" w:sz="8" w:space="0" w:color="000000"/>
              <w:right w:val="single" w:sz="8" w:space="0" w:color="000000"/>
            </w:tcBorders>
          </w:tcPr>
          <w:p w14:paraId="40FDE68D" w14:textId="77777777" w:rsidR="00640B29" w:rsidRPr="00456379" w:rsidRDefault="00117048">
            <w:pPr>
              <w:pStyle w:val="Body0"/>
              <w:rPr>
                <w:rFonts w:ascii="Arial" w:hAnsi="Arial" w:cs="Arial"/>
              </w:rPr>
            </w:pPr>
            <w:r w:rsidRPr="00456379">
              <w:rPr>
                <w:rFonts w:ascii="Arial" w:hAnsi="Arial" w:cs="Arial"/>
                <w:lang w:val="en" w:eastAsia="en" w:bidi="en"/>
              </w:rPr>
              <w:t>L-AMB mean 8.9 mg/kg/day for 11 days</w:t>
            </w:r>
          </w:p>
        </w:tc>
        <w:tc>
          <w:tcPr>
            <w:tcW w:w="2250" w:type="dxa"/>
            <w:tcBorders>
              <w:top w:val="single" w:sz="8" w:space="0" w:color="000000"/>
              <w:left w:val="single" w:sz="8" w:space="0" w:color="000000"/>
              <w:bottom w:val="single" w:sz="8" w:space="0" w:color="000000"/>
              <w:right w:val="single" w:sz="8" w:space="0" w:color="000000"/>
            </w:tcBorders>
          </w:tcPr>
          <w:p w14:paraId="67828C6E" w14:textId="77777777" w:rsidR="00640B29" w:rsidRPr="00456379" w:rsidRDefault="00117048">
            <w:pPr>
              <w:pStyle w:val="Body0"/>
              <w:rPr>
                <w:rFonts w:ascii="Arial" w:hAnsi="Arial" w:cs="Arial"/>
              </w:rPr>
            </w:pPr>
            <w:r w:rsidRPr="00456379">
              <w:rPr>
                <w:rFonts w:ascii="Arial" w:hAnsi="Arial" w:cs="Arial"/>
                <w:lang w:val="en" w:eastAsia="en" w:bidi="en"/>
              </w:rPr>
              <w:t>Response rate 33% one-third of patients developed doubling baseline serum creatine</w:t>
            </w:r>
          </w:p>
        </w:tc>
      </w:tr>
      <w:tr w:rsidR="00640B29" w:rsidRPr="00456379" w14:paraId="5D2B9BA6"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6FD39783" w14:textId="77777777" w:rsidR="00640B29" w:rsidRPr="00456379" w:rsidRDefault="00117048">
            <w:pPr>
              <w:pStyle w:val="Body0"/>
              <w:rPr>
                <w:rFonts w:ascii="Arial" w:hAnsi="Arial" w:cs="Arial"/>
              </w:rPr>
            </w:pPr>
            <w:r w:rsidRPr="00456379">
              <w:rPr>
                <w:rFonts w:ascii="Arial" w:hAnsi="Arial" w:cs="Arial"/>
                <w:lang w:val="en" w:eastAsia="en" w:bidi="en"/>
              </w:rPr>
              <w:t xml:space="preserve">Jeong et al. 2019 </w:t>
            </w:r>
            <w:r w:rsidRPr="00456379">
              <w:rPr>
                <w:rFonts w:ascii="Arial" w:hAnsi="Arial" w:cs="Arial"/>
              </w:rPr>
              <w:fldChar w:fldCharType="begin"/>
            </w:r>
            <w:r w:rsidRPr="00456379">
              <w:rPr>
                <w:rFonts w:ascii="Arial" w:hAnsi="Arial" w:cs="Arial"/>
              </w:rPr>
              <w:instrText>ADDIN BEC{Jeong et al., 2019 #69553}</w:instrText>
            </w:r>
            <w:r w:rsidRPr="00456379">
              <w:rPr>
                <w:rFonts w:ascii="Arial" w:hAnsi="Arial" w:cs="Arial"/>
              </w:rPr>
              <w:fldChar w:fldCharType="separate"/>
            </w:r>
            <w:r w:rsidRPr="00456379">
              <w:rPr>
                <w:rFonts w:ascii="Arial" w:hAnsi="Arial" w:cs="Arial"/>
                <w:lang w:val="en" w:eastAsia="en" w:bidi="en"/>
              </w:rPr>
              <w:t>[3]</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2368820A" w14:textId="77777777" w:rsidR="00640B29" w:rsidRPr="00456379" w:rsidRDefault="00117048">
            <w:pPr>
              <w:pStyle w:val="Body0"/>
              <w:rPr>
                <w:rFonts w:ascii="Arial" w:hAnsi="Arial" w:cs="Arial"/>
              </w:rPr>
            </w:pPr>
            <w:r w:rsidRPr="00456379">
              <w:rPr>
                <w:rFonts w:ascii="Arial" w:hAnsi="Arial" w:cs="Arial"/>
                <w:lang w:val="en" w:eastAsia="en" w:bidi="en"/>
              </w:rPr>
              <w:t>Systematic review of 851 published cases, mixed population</w:t>
            </w:r>
          </w:p>
        </w:tc>
        <w:tc>
          <w:tcPr>
            <w:tcW w:w="2250" w:type="dxa"/>
            <w:tcBorders>
              <w:top w:val="single" w:sz="8" w:space="0" w:color="000000"/>
              <w:left w:val="single" w:sz="8" w:space="0" w:color="000000"/>
              <w:bottom w:val="single" w:sz="8" w:space="0" w:color="000000"/>
              <w:right w:val="single" w:sz="8" w:space="0" w:color="000000"/>
            </w:tcBorders>
          </w:tcPr>
          <w:p w14:paraId="7B518070" w14:textId="77777777" w:rsidR="00640B29" w:rsidRPr="00456379" w:rsidRDefault="00117048">
            <w:pPr>
              <w:pStyle w:val="Body0"/>
              <w:rPr>
                <w:rFonts w:ascii="Arial" w:hAnsi="Arial" w:cs="Arial"/>
              </w:rPr>
            </w:pPr>
            <w:r w:rsidRPr="00456379">
              <w:rPr>
                <w:rFonts w:ascii="Arial" w:hAnsi="Arial" w:cs="Arial"/>
                <w:lang w:val="en" w:eastAsia="en" w:bidi="en"/>
              </w:rPr>
              <w:t>n=57 received high-dose L-AMB (6–15 mg/kg/day)</w:t>
            </w:r>
          </w:p>
        </w:tc>
        <w:tc>
          <w:tcPr>
            <w:tcW w:w="2250" w:type="dxa"/>
            <w:tcBorders>
              <w:top w:val="single" w:sz="8" w:space="0" w:color="000000"/>
              <w:left w:val="single" w:sz="8" w:space="0" w:color="000000"/>
              <w:bottom w:val="single" w:sz="8" w:space="0" w:color="000000"/>
              <w:right w:val="single" w:sz="8" w:space="0" w:color="000000"/>
            </w:tcBorders>
          </w:tcPr>
          <w:p w14:paraId="00B93B7B" w14:textId="77777777" w:rsidR="00640B29" w:rsidRPr="00456379" w:rsidRDefault="00117048">
            <w:pPr>
              <w:pStyle w:val="Body0"/>
              <w:rPr>
                <w:rFonts w:ascii="Arial" w:hAnsi="Arial" w:cs="Arial"/>
              </w:rPr>
            </w:pPr>
            <w:r w:rsidRPr="00456379">
              <w:rPr>
                <w:rFonts w:ascii="Arial" w:hAnsi="Arial" w:cs="Arial"/>
                <w:lang w:val="en" w:eastAsia="en" w:bidi="en"/>
              </w:rPr>
              <w:t xml:space="preserve">Patients receiving L-AmB doses at &gt; 5 mg/kg/day experienced higher 90-day mortality, although not statistically significant [22/57 (38.6%) vs. 29/93 (31.2%); P = 0.352]. In addition, renal toxicity was more common </w:t>
            </w:r>
            <w:r w:rsidRPr="00456379">
              <w:rPr>
                <w:rFonts w:ascii="Arial" w:hAnsi="Arial" w:cs="Arial"/>
                <w:lang w:val="en" w:eastAsia="en" w:bidi="en"/>
              </w:rPr>
              <w:lastRenderedPageBreak/>
              <w:t>following administration of higher-dose i.v. L-AmB [15/57 (26.3%) vs. 12/93 (12.9%); P = 0.038</w:t>
            </w:r>
          </w:p>
        </w:tc>
      </w:tr>
      <w:tr w:rsidR="00640B29" w:rsidRPr="00456379" w14:paraId="40B1F9E3" w14:textId="77777777">
        <w:trPr>
          <w:trHeight w:val="40"/>
        </w:trPr>
        <w:tc>
          <w:tcPr>
            <w:tcW w:w="2250" w:type="dxa"/>
            <w:tcBorders>
              <w:top w:val="single" w:sz="8" w:space="0" w:color="000000"/>
              <w:left w:val="single" w:sz="8" w:space="0" w:color="000000"/>
              <w:bottom w:val="single" w:sz="8" w:space="0" w:color="000000"/>
              <w:right w:val="single" w:sz="8" w:space="0" w:color="000000"/>
            </w:tcBorders>
          </w:tcPr>
          <w:p w14:paraId="6CFF1176" w14:textId="77777777" w:rsidR="00640B29" w:rsidRPr="00456379" w:rsidRDefault="00117048">
            <w:pPr>
              <w:pStyle w:val="Body0"/>
              <w:rPr>
                <w:rFonts w:ascii="Arial" w:hAnsi="Arial" w:cs="Arial"/>
              </w:rPr>
            </w:pPr>
            <w:r w:rsidRPr="00456379">
              <w:rPr>
                <w:rFonts w:ascii="Arial" w:hAnsi="Arial" w:cs="Arial"/>
                <w:lang w:val="en" w:eastAsia="en" w:bidi="en"/>
              </w:rPr>
              <w:lastRenderedPageBreak/>
              <w:t xml:space="preserve">Elitzuer et al 2021  </w:t>
            </w:r>
            <w:r w:rsidRPr="00456379">
              <w:rPr>
                <w:rFonts w:ascii="Arial" w:hAnsi="Arial" w:cs="Arial"/>
              </w:rPr>
              <w:fldChar w:fldCharType="begin"/>
            </w:r>
            <w:r w:rsidRPr="00456379">
              <w:rPr>
                <w:rFonts w:ascii="Arial" w:hAnsi="Arial" w:cs="Arial"/>
              </w:rPr>
              <w:instrText>ADDIN BEC{Elitzur et al., 2021 #67121}</w:instrText>
            </w:r>
            <w:r w:rsidRPr="00456379">
              <w:rPr>
                <w:rFonts w:ascii="Arial" w:hAnsi="Arial" w:cs="Arial"/>
              </w:rPr>
              <w:fldChar w:fldCharType="separate"/>
            </w:r>
            <w:r w:rsidRPr="00456379">
              <w:rPr>
                <w:rFonts w:ascii="Arial" w:hAnsi="Arial" w:cs="Arial"/>
                <w:lang w:val="en" w:eastAsia="en" w:bidi="en"/>
              </w:rPr>
              <w:t>[36]</w:t>
            </w:r>
            <w:r w:rsidRPr="00456379">
              <w:rPr>
                <w:rFonts w:ascii="Arial" w:hAnsi="Arial" w:cs="Arial"/>
              </w:rPr>
              <w:fldChar w:fldCharType="end"/>
            </w:r>
          </w:p>
        </w:tc>
        <w:tc>
          <w:tcPr>
            <w:tcW w:w="2250" w:type="dxa"/>
            <w:tcBorders>
              <w:top w:val="single" w:sz="8" w:space="0" w:color="000000"/>
              <w:left w:val="single" w:sz="8" w:space="0" w:color="000000"/>
              <w:bottom w:val="single" w:sz="8" w:space="0" w:color="000000"/>
              <w:right w:val="single" w:sz="8" w:space="0" w:color="000000"/>
            </w:tcBorders>
          </w:tcPr>
          <w:p w14:paraId="104DBF3A" w14:textId="77777777" w:rsidR="00640B29" w:rsidRPr="00456379" w:rsidRDefault="00117048">
            <w:pPr>
              <w:pStyle w:val="Body0"/>
              <w:rPr>
                <w:rFonts w:ascii="Arial" w:hAnsi="Arial" w:cs="Arial"/>
              </w:rPr>
            </w:pPr>
            <w:r w:rsidRPr="00456379">
              <w:rPr>
                <w:rFonts w:ascii="Arial" w:hAnsi="Arial" w:cs="Arial"/>
                <w:lang w:val="en" w:eastAsia="en" w:bidi="en"/>
              </w:rPr>
              <w:t>Retrospective analysis of 12 pediatric cases, mixed population</w:t>
            </w:r>
          </w:p>
        </w:tc>
        <w:tc>
          <w:tcPr>
            <w:tcW w:w="2250" w:type="dxa"/>
            <w:tcBorders>
              <w:top w:val="single" w:sz="8" w:space="0" w:color="000000"/>
              <w:left w:val="single" w:sz="8" w:space="0" w:color="000000"/>
              <w:bottom w:val="single" w:sz="8" w:space="0" w:color="000000"/>
              <w:right w:val="single" w:sz="8" w:space="0" w:color="000000"/>
            </w:tcBorders>
          </w:tcPr>
          <w:p w14:paraId="11ADC201" w14:textId="77777777" w:rsidR="00640B29" w:rsidRPr="00456379" w:rsidRDefault="00117048">
            <w:pPr>
              <w:pStyle w:val="Body0"/>
              <w:rPr>
                <w:rFonts w:ascii="Arial" w:hAnsi="Arial" w:cs="Arial"/>
              </w:rPr>
            </w:pPr>
            <w:r w:rsidRPr="00456379">
              <w:rPr>
                <w:rFonts w:ascii="Arial" w:hAnsi="Arial" w:cs="Arial"/>
                <w:lang w:val="en" w:eastAsia="en" w:bidi="en"/>
              </w:rPr>
              <w:t>N=5/12 (42%) received HD L-AMB during treatment only 1/5 (20%) as monotherapy</w:t>
            </w:r>
          </w:p>
        </w:tc>
        <w:tc>
          <w:tcPr>
            <w:tcW w:w="2250" w:type="dxa"/>
            <w:tcBorders>
              <w:top w:val="single" w:sz="8" w:space="0" w:color="000000"/>
              <w:left w:val="single" w:sz="8" w:space="0" w:color="000000"/>
              <w:bottom w:val="single" w:sz="8" w:space="0" w:color="000000"/>
              <w:right w:val="single" w:sz="8" w:space="0" w:color="000000"/>
            </w:tcBorders>
          </w:tcPr>
          <w:p w14:paraId="51F8611A" w14:textId="77777777" w:rsidR="00640B29" w:rsidRPr="00456379" w:rsidRDefault="00117048">
            <w:pPr>
              <w:pStyle w:val="Body0"/>
              <w:rPr>
                <w:rFonts w:ascii="Arial" w:hAnsi="Arial" w:cs="Arial"/>
              </w:rPr>
            </w:pPr>
            <w:r w:rsidRPr="00456379">
              <w:rPr>
                <w:rFonts w:ascii="Arial" w:hAnsi="Arial" w:cs="Arial"/>
                <w:lang w:val="en" w:eastAsia="en" w:bidi="en"/>
              </w:rPr>
              <w:t>4/5 (80%) of patients survived with HD L-AMB vs. 4/5 died with standard dose of L-AMB (3/5 in combination with triazole or echinocandin)</w:t>
            </w:r>
          </w:p>
        </w:tc>
      </w:tr>
      <w:tr w:rsidR="00640B29" w:rsidRPr="00456379" w14:paraId="6D3DC394" w14:textId="77777777">
        <w:trPr>
          <w:trHeight w:val="40"/>
        </w:trPr>
        <w:tc>
          <w:tcPr>
            <w:tcW w:w="2250" w:type="dxa"/>
            <w:tcBorders>
              <w:top w:val="single" w:sz="8" w:space="0" w:color="000000"/>
              <w:left w:val="single" w:sz="8" w:space="0" w:color="000000"/>
              <w:bottom w:val="single" w:sz="4" w:space="0" w:color="000000"/>
              <w:right w:val="single" w:sz="8" w:space="0" w:color="000000"/>
            </w:tcBorders>
          </w:tcPr>
          <w:p w14:paraId="06CC5255" w14:textId="77777777" w:rsidR="00640B29" w:rsidRPr="00456379" w:rsidRDefault="00117048">
            <w:pPr>
              <w:pStyle w:val="Body0"/>
              <w:rPr>
                <w:rFonts w:ascii="Arial" w:hAnsi="Arial" w:cs="Arial"/>
              </w:rPr>
            </w:pPr>
            <w:r w:rsidRPr="00456379">
              <w:rPr>
                <w:rFonts w:ascii="Arial" w:hAnsi="Arial" w:cs="Arial"/>
                <w:lang w:val="en" w:eastAsia="en" w:bidi="en"/>
              </w:rPr>
              <w:t xml:space="preserve">Risum et al. 2020 </w:t>
            </w:r>
            <w:r w:rsidRPr="00456379">
              <w:rPr>
                <w:rFonts w:ascii="Arial" w:hAnsi="Arial" w:cs="Arial"/>
              </w:rPr>
              <w:fldChar w:fldCharType="begin"/>
            </w:r>
            <w:r w:rsidRPr="00456379">
              <w:rPr>
                <w:rFonts w:ascii="Arial" w:hAnsi="Arial" w:cs="Arial"/>
              </w:rPr>
              <w:instrText>ADDIN BEC{Risum et al., 2020 #311960}</w:instrText>
            </w:r>
            <w:r w:rsidRPr="00456379">
              <w:rPr>
                <w:rFonts w:ascii="Arial" w:hAnsi="Arial" w:cs="Arial"/>
              </w:rPr>
              <w:fldChar w:fldCharType="separate"/>
            </w:r>
            <w:r w:rsidRPr="00456379">
              <w:rPr>
                <w:rFonts w:ascii="Arial" w:hAnsi="Arial" w:cs="Arial"/>
                <w:lang w:val="en" w:eastAsia="en" w:bidi="en"/>
              </w:rPr>
              <w:t>[37]</w:t>
            </w:r>
            <w:r w:rsidRPr="00456379">
              <w:rPr>
                <w:rFonts w:ascii="Arial" w:hAnsi="Arial" w:cs="Arial"/>
              </w:rPr>
              <w:fldChar w:fldCharType="end"/>
            </w:r>
          </w:p>
        </w:tc>
        <w:tc>
          <w:tcPr>
            <w:tcW w:w="2250" w:type="dxa"/>
            <w:tcBorders>
              <w:top w:val="single" w:sz="8" w:space="0" w:color="000000"/>
              <w:left w:val="single" w:sz="8" w:space="0" w:color="000000"/>
              <w:bottom w:val="single" w:sz="4" w:space="0" w:color="000000"/>
              <w:right w:val="single" w:sz="8" w:space="0" w:color="000000"/>
            </w:tcBorders>
          </w:tcPr>
          <w:p w14:paraId="677F4AB0" w14:textId="77777777" w:rsidR="00640B29" w:rsidRPr="00456379" w:rsidRDefault="00117048">
            <w:pPr>
              <w:pStyle w:val="Body0"/>
              <w:rPr>
                <w:rFonts w:ascii="Arial" w:hAnsi="Arial" w:cs="Arial"/>
              </w:rPr>
            </w:pPr>
            <w:r w:rsidRPr="00456379">
              <w:rPr>
                <w:rFonts w:ascii="Arial" w:hAnsi="Arial" w:cs="Arial"/>
                <w:lang w:val="en" w:eastAsia="en" w:bidi="en"/>
              </w:rPr>
              <w:t>Retrospective analysis of 13 patients with invasive mucormycosis</w:t>
            </w:r>
          </w:p>
        </w:tc>
        <w:tc>
          <w:tcPr>
            <w:tcW w:w="2250" w:type="dxa"/>
            <w:tcBorders>
              <w:top w:val="single" w:sz="8" w:space="0" w:color="000000"/>
              <w:left w:val="single" w:sz="8" w:space="0" w:color="000000"/>
              <w:bottom w:val="single" w:sz="4" w:space="0" w:color="000000"/>
              <w:right w:val="single" w:sz="8" w:space="0" w:color="000000"/>
            </w:tcBorders>
          </w:tcPr>
          <w:p w14:paraId="19612A8A" w14:textId="77777777" w:rsidR="00640B29" w:rsidRPr="00456379" w:rsidRDefault="00117048">
            <w:pPr>
              <w:pStyle w:val="Body0"/>
              <w:rPr>
                <w:rFonts w:ascii="Arial" w:hAnsi="Arial" w:cs="Arial"/>
              </w:rPr>
            </w:pPr>
            <w:r w:rsidRPr="00456379">
              <w:rPr>
                <w:rFonts w:ascii="Arial" w:hAnsi="Arial" w:cs="Arial"/>
                <w:lang w:val="en" w:eastAsia="en" w:bidi="en"/>
              </w:rPr>
              <w:t>3/13 received HD L-AMB for suspected CNS involvement in combination with other antifungals</w:t>
            </w:r>
          </w:p>
        </w:tc>
        <w:tc>
          <w:tcPr>
            <w:tcW w:w="2250" w:type="dxa"/>
            <w:tcBorders>
              <w:top w:val="single" w:sz="8" w:space="0" w:color="000000"/>
              <w:left w:val="single" w:sz="8" w:space="0" w:color="000000"/>
              <w:bottom w:val="single" w:sz="4" w:space="0" w:color="000000"/>
              <w:right w:val="single" w:sz="8" w:space="0" w:color="000000"/>
            </w:tcBorders>
          </w:tcPr>
          <w:p w14:paraId="3FA9B97D" w14:textId="77777777" w:rsidR="00640B29" w:rsidRPr="00456379" w:rsidRDefault="00117048">
            <w:pPr>
              <w:pStyle w:val="Body0"/>
              <w:rPr>
                <w:rFonts w:ascii="Arial" w:hAnsi="Arial" w:cs="Arial"/>
              </w:rPr>
            </w:pPr>
            <w:r w:rsidRPr="00456379">
              <w:rPr>
                <w:rFonts w:ascii="Arial" w:hAnsi="Arial" w:cs="Arial"/>
                <w:lang w:val="en" w:eastAsia="en" w:bidi="en"/>
              </w:rPr>
              <w:t>3/3 response (100%) with HD-L-AMB vs. 10/13 standard dose (77%)</w:t>
            </w:r>
          </w:p>
        </w:tc>
      </w:tr>
    </w:tbl>
    <w:p w14:paraId="33CDD28E" w14:textId="3BF8E837" w:rsidR="00635D78" w:rsidRPr="00635D78" w:rsidRDefault="00635D78" w:rsidP="00635D78">
      <w:pPr>
        <w:pStyle w:val="Body0"/>
        <w:rPr>
          <w:rFonts w:ascii="Arial" w:hAnsi="Arial" w:cs="Arial"/>
        </w:rPr>
      </w:pPr>
      <w:r w:rsidRPr="00635D78">
        <w:rPr>
          <w:rFonts w:ascii="Arial" w:hAnsi="Arial" w:cs="Arial"/>
          <w:vertAlign w:val="superscript"/>
        </w:rPr>
        <w:t>a</w:t>
      </w:r>
      <w:r w:rsidRPr="00635D78">
        <w:rPr>
          <w:rFonts w:ascii="Arial" w:hAnsi="Arial" w:cs="Arial"/>
        </w:rPr>
        <w:t xml:space="preserve"> This summary table included heterogenous populations, dosing regimens and outcome measures- therefore direct comparisons across studies may not be warranted.</w:t>
      </w:r>
    </w:p>
    <w:p w14:paraId="798DE0C4" w14:textId="77777777" w:rsidR="00635D78" w:rsidRPr="00456379" w:rsidRDefault="00635D78">
      <w:pPr>
        <w:pStyle w:val="Body0"/>
        <w:rPr>
          <w:rFonts w:ascii="Arial" w:hAnsi="Arial" w:cs="Arial"/>
        </w:rPr>
      </w:pPr>
    </w:p>
    <w:p w14:paraId="39D78076" w14:textId="77777777" w:rsidR="00906D7F" w:rsidRDefault="00906D7F">
      <w:pPr>
        <w:pStyle w:val="Body0"/>
      </w:pPr>
      <w:r>
        <w:rPr>
          <w:noProof/>
        </w:rPr>
        <w:lastRenderedPageBreak/>
        <w:drawing>
          <wp:anchor distT="12700" distB="12700" distL="12700" distR="12700" simplePos="0" relativeHeight="251658240" behindDoc="0" locked="0" layoutInCell="1" allowOverlap="1" wp14:anchorId="5D707FFE" wp14:editId="421BFC0D">
            <wp:simplePos x="0" y="0"/>
            <wp:positionH relativeFrom="column">
              <wp:posOffset>133350</wp:posOffset>
            </wp:positionH>
            <wp:positionV relativeFrom="line">
              <wp:posOffset>0</wp:posOffset>
            </wp:positionV>
            <wp:extent cx="3968750" cy="3776980"/>
            <wp:effectExtent l="0" t="0" r="6350" b="0"/>
            <wp:wrapSquare wrapText="bothSides"/>
            <wp:docPr id="6" name="abc"/>
            <wp:cNvGraphicFramePr/>
            <a:graphic xmlns:a="http://schemas.openxmlformats.org/drawingml/2006/main">
              <a:graphicData uri="http://schemas.openxmlformats.org/drawingml/2006/picture">
                <pic:pic xmlns:pic="http://schemas.openxmlformats.org/drawingml/2006/picture">
                  <pic:nvPicPr>
                    <pic:cNvPr id="6" name="L-AMB distribution (1)"/>
                    <pic:cNvPicPr>
                      <a:picLocks noChangeAspect="1"/>
                    </pic:cNvPicPr>
                  </pic:nvPicPr>
                  <pic:blipFill>
                    <a:blip r:embed="rId16"/>
                    <a:stretch/>
                  </pic:blipFill>
                  <pic:spPr>
                    <a:xfrm>
                      <a:off x="0" y="0"/>
                      <a:ext cx="3968750" cy="3776980"/>
                    </a:xfrm>
                    <a:prstGeom prst="rect">
                      <a:avLst/>
                    </a:prstGeom>
                  </pic:spPr>
                </pic:pic>
              </a:graphicData>
            </a:graphic>
            <wp14:sizeRelH relativeFrom="margin">
              <wp14:pctWidth>0</wp14:pctWidth>
            </wp14:sizeRelH>
            <wp14:sizeRelV relativeFrom="margin">
              <wp14:pctHeight>0</wp14:pctHeight>
            </wp14:sizeRelV>
          </wp:anchor>
        </w:drawing>
      </w:r>
    </w:p>
    <w:p w14:paraId="017E84CA"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6C0452D7"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5D1AF596"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01D9EAE6"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681F958F"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4F4B41A0"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3EC0E7DC"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51007492"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1B91F674"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5FE0D521"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4411F840"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377BE9A9" w14:textId="77777777" w:rsidR="00906D7F" w:rsidRDefault="00906D7F" w:rsidP="00906D7F">
      <w:pPr>
        <w:pStyle w:val="Body0"/>
        <w:spacing w:line="240" w:lineRule="auto"/>
        <w:rPr>
          <w:rFonts w:ascii="Helvetica Neue Bold" w:hAnsi="Helvetica Neue Bold" w:cs="Helvetica Neue Bold"/>
          <w:b/>
          <w:bCs/>
          <w:lang w:val="en" w:eastAsia="en" w:bidi="en"/>
        </w:rPr>
      </w:pPr>
    </w:p>
    <w:p w14:paraId="4B9F2CC0" w14:textId="1B62C713" w:rsidR="00640B29" w:rsidRDefault="00117048" w:rsidP="00906D7F">
      <w:pPr>
        <w:pStyle w:val="Body0"/>
        <w:spacing w:line="240" w:lineRule="auto"/>
      </w:pPr>
      <w:r>
        <w:rPr>
          <w:rFonts w:ascii="Helvetica Neue Bold" w:hAnsi="Helvetica Neue Bold" w:cs="Helvetica Neue Bold"/>
          <w:b/>
          <w:bCs/>
          <w:lang w:val="en" w:eastAsia="en" w:bidi="en"/>
        </w:rPr>
        <w:t>Figure 1: Pharmacokinetic model of liposomal amphotericin B</w:t>
      </w:r>
      <w:r>
        <w:rPr>
          <w:lang w:val="en" w:eastAsia="en" w:bidi="en"/>
        </w:rPr>
        <w:t xml:space="preserve">. Following intravenous administration, liposomal amphotericin B distributes from the central compartment (1, plasma) to reticuloendothelial system organs including the liver, spleen, and bone marrow (compartment 2), and to kidney, lung and other peripheral tissues (compartment 3). Rate constants (k) indicate bidirectional transfer between compartments: </w:t>
      </w:r>
      <w:r>
        <w:rPr>
          <w:rFonts w:ascii="Helvetica Neue Italic" w:hAnsi="Helvetica Neue Italic" w:cs="Helvetica Neue Italic"/>
          <w:i/>
          <w:iCs/>
          <w:lang w:val="en" w:eastAsia="en" w:bidi="en"/>
        </w:rPr>
        <w:t xml:space="preserve">k12 </w:t>
      </w:r>
      <w:r>
        <w:rPr>
          <w:lang w:val="en" w:eastAsia="en" w:bidi="en"/>
        </w:rPr>
        <w:t xml:space="preserve">and </w:t>
      </w:r>
      <w:r>
        <w:rPr>
          <w:rFonts w:ascii="Helvetica Neue Italic" w:hAnsi="Helvetica Neue Italic" w:cs="Helvetica Neue Italic"/>
          <w:i/>
          <w:iCs/>
          <w:lang w:val="en" w:eastAsia="en" w:bidi="en"/>
        </w:rPr>
        <w:t>k21</w:t>
      </w:r>
      <w:r>
        <w:rPr>
          <w:lang w:val="en" w:eastAsia="en" w:bidi="en"/>
        </w:rPr>
        <w:t xml:space="preserve"> represent distribution and redistribution between plasma and reticuloendothelial organs; </w:t>
      </w:r>
      <w:r>
        <w:rPr>
          <w:rFonts w:ascii="Helvetica Neue Italic" w:hAnsi="Helvetica Neue Italic" w:cs="Helvetica Neue Italic"/>
          <w:i/>
          <w:iCs/>
          <w:lang w:val="en" w:eastAsia="en" w:bidi="en"/>
        </w:rPr>
        <w:t>k13</w:t>
      </w:r>
      <w:r>
        <w:rPr>
          <w:lang w:val="en" w:eastAsia="en" w:bidi="en"/>
        </w:rPr>
        <w:t xml:space="preserve"> and </w:t>
      </w:r>
      <w:r>
        <w:rPr>
          <w:rFonts w:ascii="Helvetica Neue Italic" w:hAnsi="Helvetica Neue Italic" w:cs="Helvetica Neue Italic"/>
          <w:i/>
          <w:iCs/>
          <w:lang w:val="en" w:eastAsia="en" w:bidi="en"/>
        </w:rPr>
        <w:t xml:space="preserve">k31 </w:t>
      </w:r>
      <w:r>
        <w:rPr>
          <w:lang w:val="en" w:eastAsia="en" w:bidi="en"/>
        </w:rPr>
        <w:t xml:space="preserve">between plasma and peripheral tissues; and </w:t>
      </w:r>
      <w:r>
        <w:rPr>
          <w:rFonts w:ascii="Helvetica Neue Italic" w:hAnsi="Helvetica Neue Italic" w:cs="Helvetica Neue Italic"/>
          <w:i/>
          <w:iCs/>
          <w:lang w:val="en" w:eastAsia="en" w:bidi="en"/>
        </w:rPr>
        <w:t xml:space="preserve">k23 </w:t>
      </w:r>
      <w:r>
        <w:rPr>
          <w:lang w:val="en" w:eastAsia="en" w:bidi="en"/>
        </w:rPr>
        <w:t xml:space="preserve">and </w:t>
      </w:r>
      <w:r>
        <w:rPr>
          <w:rFonts w:ascii="Helvetica Neue Italic" w:hAnsi="Helvetica Neue Italic" w:cs="Helvetica Neue Italic"/>
          <w:i/>
          <w:iCs/>
          <w:lang w:val="en" w:eastAsia="en" w:bidi="en"/>
        </w:rPr>
        <w:t>k32</w:t>
      </w:r>
      <w:r>
        <w:rPr>
          <w:lang w:val="en" w:eastAsia="en" w:bidi="en"/>
        </w:rPr>
        <w:t xml:space="preserve"> between reticuloendothelial organs and peripheral tissues. Drug elimination occurs from the central compartment via biliary and urinary excretion (dotted arrow). Figure adapted from Groll et al. </w:t>
      </w:r>
      <w:r>
        <w:fldChar w:fldCharType="begin"/>
      </w:r>
      <w:r>
        <w:instrText>ADDIN BEC{Groll et al., 2019 #7879}</w:instrText>
      </w:r>
      <w:r>
        <w:fldChar w:fldCharType="separate"/>
      </w:r>
      <w:r>
        <w:rPr>
          <w:lang w:val="en" w:eastAsia="en" w:bidi="en"/>
        </w:rPr>
        <w:t>[20]</w:t>
      </w:r>
      <w:r>
        <w:fldChar w:fldCharType="end"/>
      </w:r>
    </w:p>
    <w:p w14:paraId="348496DF" w14:textId="77777777" w:rsidR="00640B29" w:rsidRDefault="00640B29">
      <w:pPr>
        <w:pStyle w:val="Body0"/>
      </w:pPr>
    </w:p>
    <w:p w14:paraId="6D6E4CF7" w14:textId="7162C2F9" w:rsidR="00640B29" w:rsidRPr="00456379" w:rsidRDefault="00117048" w:rsidP="00906D7F">
      <w:pPr>
        <w:pStyle w:val="Body0"/>
        <w:rPr>
          <w:rFonts w:ascii="Arial" w:hAnsi="Arial" w:cs="Arial"/>
          <w:sz w:val="24"/>
          <w:szCs w:val="24"/>
        </w:rPr>
      </w:pPr>
      <w:r>
        <w:br w:type="page"/>
      </w:r>
      <w:r w:rsidRPr="00456379">
        <w:rPr>
          <w:rFonts w:ascii="Arial" w:hAnsi="Arial" w:cs="Arial"/>
          <w:b/>
          <w:bCs/>
          <w:sz w:val="24"/>
          <w:szCs w:val="24"/>
          <w:lang w:val="en" w:eastAsia="en" w:bidi="en"/>
        </w:rPr>
        <w:lastRenderedPageBreak/>
        <w:t>REFERENCES</w:t>
      </w:r>
    </w:p>
    <w:p w14:paraId="77FF80C6" w14:textId="78FB4833"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fldChar w:fldCharType="begin"/>
      </w:r>
      <w:r w:rsidRPr="00635D78">
        <w:rPr>
          <w:rFonts w:ascii="Arial" w:hAnsi="Arial" w:cs="Arial"/>
          <w:sz w:val="24"/>
          <w:szCs w:val="24"/>
        </w:rPr>
        <w:instrText>ADDIN BB</w:instrText>
      </w:r>
      <w:r w:rsidRPr="00456379">
        <w:rPr>
          <w:rFonts w:ascii="Arial" w:hAnsi="Arial" w:cs="Arial"/>
          <w:sz w:val="24"/>
          <w:szCs w:val="24"/>
        </w:rPr>
        <w:fldChar w:fldCharType="separate"/>
      </w:r>
      <w:r w:rsidRPr="00635D78">
        <w:rPr>
          <w:rFonts w:ascii="Arial" w:hAnsi="Arial" w:cs="Arial"/>
          <w:sz w:val="24"/>
          <w:szCs w:val="24"/>
        </w:rPr>
        <w:t xml:space="preserve">[1] </w:t>
      </w:r>
      <w:r w:rsidRPr="00635D78">
        <w:rPr>
          <w:rFonts w:ascii="Arial" w:hAnsi="Arial" w:cs="Arial"/>
          <w:sz w:val="24"/>
          <w:szCs w:val="24"/>
        </w:rPr>
        <w:tab/>
        <w:t xml:space="preserve">Skiada A, Drogari-Apiranthitou M, Roilides E, et al. </w:t>
      </w:r>
      <w:r w:rsidRPr="00456379">
        <w:rPr>
          <w:rFonts w:ascii="Arial" w:hAnsi="Arial" w:cs="Arial"/>
          <w:sz w:val="24"/>
          <w:szCs w:val="24"/>
        </w:rPr>
        <w:t>A Global Analysis of Cases of Mucormycosis Recorded in the European Confederation of Medical Mycology / International Society for Human and Animal Mycology (ECMM / ISHAM) Zygomyco.net Registry from 2009 to 2022. Mycopathologia. 2025;190(4):53.</w:t>
      </w:r>
    </w:p>
    <w:p w14:paraId="1FFC15BB" w14:textId="77777777" w:rsidR="00640B29" w:rsidRPr="00456379" w:rsidRDefault="00640B29">
      <w:pPr>
        <w:pStyle w:val="Parstyle"/>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 w:val="left" w:pos="24000"/>
        </w:tabs>
        <w:spacing w:after="200"/>
        <w:ind w:left="540" w:hanging="540"/>
        <w:rPr>
          <w:rFonts w:ascii="Arial" w:hAnsi="Arial" w:cs="Arial"/>
          <w:sz w:val="24"/>
          <w:szCs w:val="24"/>
        </w:rPr>
      </w:pPr>
    </w:p>
    <w:p w14:paraId="24DA6CB2" w14:textId="77777777" w:rsidR="00640B29" w:rsidRPr="00456379" w:rsidRDefault="00117048">
      <w:pPr>
        <w:pStyle w:val="Parstyle"/>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 w:val="left" w:pos="24000"/>
        </w:tabs>
        <w:spacing w:after="200"/>
        <w:ind w:left="540" w:hanging="540"/>
        <w:rPr>
          <w:rFonts w:ascii="Arial" w:hAnsi="Arial" w:cs="Arial"/>
          <w:sz w:val="24"/>
          <w:szCs w:val="24"/>
        </w:rPr>
      </w:pPr>
      <w:r w:rsidRPr="00456379">
        <w:rPr>
          <w:rFonts w:ascii="Arial" w:hAnsi="Arial" w:cs="Arial"/>
          <w:sz w:val="24"/>
          <w:szCs w:val="24"/>
        </w:rPr>
        <w:t>** Recent update on the epidemiology of mucormycosis</w:t>
      </w:r>
    </w:p>
    <w:p w14:paraId="6A88A042" w14:textId="77777777" w:rsidR="00640B29" w:rsidRPr="00456379" w:rsidRDefault="00640B29">
      <w:pPr>
        <w:pStyle w:val="Body0"/>
        <w:ind w:left="540" w:hanging="540"/>
        <w:rPr>
          <w:rFonts w:ascii="Arial" w:hAnsi="Arial" w:cs="Arial"/>
          <w:sz w:val="24"/>
          <w:szCs w:val="24"/>
        </w:rPr>
      </w:pPr>
    </w:p>
    <w:p w14:paraId="1678FBA4" w14:textId="31244093"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 </w:t>
      </w:r>
      <w:r w:rsidRPr="00456379">
        <w:rPr>
          <w:rFonts w:ascii="Arial" w:hAnsi="Arial" w:cs="Arial"/>
          <w:sz w:val="24"/>
          <w:szCs w:val="24"/>
        </w:rPr>
        <w:tab/>
        <w:t>Sigera LSM, Denning DW. A Systematic Review of the Therapeutic Outcome of Mucormycosis. Open Forum Infect Dis</w:t>
      </w:r>
      <w:r w:rsidR="007536B9" w:rsidRPr="00456379">
        <w:rPr>
          <w:rFonts w:ascii="Arial" w:hAnsi="Arial" w:cs="Arial"/>
          <w:sz w:val="24"/>
          <w:szCs w:val="24"/>
        </w:rPr>
        <w:t>.</w:t>
      </w:r>
      <w:r w:rsidRPr="00456379">
        <w:rPr>
          <w:rFonts w:ascii="Arial" w:hAnsi="Arial" w:cs="Arial"/>
          <w:sz w:val="24"/>
          <w:szCs w:val="24"/>
        </w:rPr>
        <w:t xml:space="preserve"> 2023;11(1).</w:t>
      </w:r>
    </w:p>
    <w:p w14:paraId="3A5A7920" w14:textId="77777777" w:rsidR="00640B29" w:rsidRPr="00456379" w:rsidRDefault="00640B29">
      <w:pPr>
        <w:pStyle w:val="Body0"/>
        <w:ind w:left="540" w:hanging="540"/>
        <w:rPr>
          <w:rFonts w:ascii="Arial" w:hAnsi="Arial" w:cs="Arial"/>
          <w:sz w:val="24"/>
          <w:szCs w:val="24"/>
        </w:rPr>
      </w:pPr>
    </w:p>
    <w:p w14:paraId="3BE5A375" w14:textId="4FB92CFC"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 </w:t>
      </w:r>
      <w:r w:rsidRPr="00456379">
        <w:rPr>
          <w:rFonts w:ascii="Arial" w:hAnsi="Arial" w:cs="Arial"/>
          <w:sz w:val="24"/>
          <w:szCs w:val="24"/>
        </w:rPr>
        <w:tab/>
        <w:t>Jeong W, Keighley C, Wolfe R, et al. The epidemiology and clinical manifestations of mucormycosis: a systematic review and meta-analysis of case reports. Clin Microbiol Infect</w:t>
      </w:r>
      <w:r w:rsidR="007536B9" w:rsidRPr="00456379">
        <w:rPr>
          <w:rFonts w:ascii="Arial" w:hAnsi="Arial" w:cs="Arial"/>
          <w:sz w:val="24"/>
          <w:szCs w:val="24"/>
        </w:rPr>
        <w:t>.</w:t>
      </w:r>
      <w:r w:rsidRPr="00456379">
        <w:rPr>
          <w:rFonts w:ascii="Arial" w:hAnsi="Arial" w:cs="Arial"/>
          <w:sz w:val="24"/>
          <w:szCs w:val="24"/>
        </w:rPr>
        <w:t xml:space="preserve"> 2019;25(1):26–34.</w:t>
      </w:r>
    </w:p>
    <w:p w14:paraId="73BC8961" w14:textId="77777777" w:rsidR="00640B29" w:rsidRPr="00456379" w:rsidRDefault="00640B29">
      <w:pPr>
        <w:pStyle w:val="Body0"/>
        <w:ind w:left="540" w:hanging="540"/>
        <w:rPr>
          <w:rFonts w:ascii="Arial" w:hAnsi="Arial" w:cs="Arial"/>
          <w:sz w:val="24"/>
          <w:szCs w:val="24"/>
        </w:rPr>
      </w:pPr>
    </w:p>
    <w:p w14:paraId="22EF5230" w14:textId="63F06795" w:rsidR="00640B29" w:rsidRPr="00456379" w:rsidRDefault="00117048">
      <w:pPr>
        <w:pStyle w:val="Body0"/>
        <w:ind w:left="540" w:hanging="540"/>
        <w:rPr>
          <w:rFonts w:ascii="Arial" w:hAnsi="Arial" w:cs="Arial"/>
          <w:sz w:val="24"/>
          <w:szCs w:val="24"/>
          <w:lang w:val="it-IT"/>
        </w:rPr>
      </w:pPr>
      <w:r w:rsidRPr="00456379">
        <w:rPr>
          <w:rFonts w:ascii="Arial" w:hAnsi="Arial" w:cs="Arial"/>
          <w:sz w:val="24"/>
          <w:szCs w:val="24"/>
        </w:rPr>
        <w:t xml:space="preserve">[4] </w:t>
      </w:r>
      <w:r w:rsidRPr="00456379">
        <w:rPr>
          <w:rFonts w:ascii="Arial" w:hAnsi="Arial" w:cs="Arial"/>
          <w:sz w:val="24"/>
          <w:szCs w:val="24"/>
        </w:rPr>
        <w:tab/>
        <w:t xml:space="preserve">Skiada A, Lanternier F, Groll AH, et al. Diagnosis and treatment of mucormycosis in patients with hematological malignancies: guidelines from the 3rd European Conference on Infections in Leukemia (ECIL 3). </w:t>
      </w:r>
      <w:r w:rsidRPr="00456379">
        <w:rPr>
          <w:rFonts w:ascii="Arial" w:hAnsi="Arial" w:cs="Arial"/>
          <w:sz w:val="24"/>
          <w:szCs w:val="24"/>
          <w:lang w:val="it-IT"/>
        </w:rPr>
        <w:t>Haematologica</w:t>
      </w:r>
      <w:r w:rsidR="007536B9" w:rsidRPr="00456379">
        <w:rPr>
          <w:rFonts w:ascii="Arial" w:hAnsi="Arial" w:cs="Arial"/>
          <w:sz w:val="24"/>
          <w:szCs w:val="24"/>
          <w:lang w:val="it-IT"/>
        </w:rPr>
        <w:t>.</w:t>
      </w:r>
      <w:r w:rsidRPr="00456379">
        <w:rPr>
          <w:rFonts w:ascii="Arial" w:hAnsi="Arial" w:cs="Arial"/>
          <w:sz w:val="24"/>
          <w:szCs w:val="24"/>
          <w:lang w:val="it-IT"/>
        </w:rPr>
        <w:t xml:space="preserve"> 2013;98(4):492–504.</w:t>
      </w:r>
    </w:p>
    <w:p w14:paraId="5230D055" w14:textId="77777777" w:rsidR="00640B29" w:rsidRPr="00456379" w:rsidRDefault="00640B29">
      <w:pPr>
        <w:pStyle w:val="Body0"/>
        <w:ind w:left="540" w:hanging="540"/>
        <w:rPr>
          <w:rFonts w:ascii="Arial" w:hAnsi="Arial" w:cs="Arial"/>
          <w:sz w:val="24"/>
          <w:szCs w:val="24"/>
          <w:lang w:val="it-IT"/>
        </w:rPr>
      </w:pPr>
    </w:p>
    <w:p w14:paraId="35B51F00" w14:textId="3EA32B2E" w:rsidR="00640B29" w:rsidRPr="00456379" w:rsidRDefault="00117048">
      <w:pPr>
        <w:pStyle w:val="Body0"/>
        <w:ind w:left="540" w:hanging="540"/>
        <w:rPr>
          <w:rFonts w:ascii="Arial" w:hAnsi="Arial" w:cs="Arial"/>
          <w:sz w:val="24"/>
          <w:szCs w:val="24"/>
        </w:rPr>
      </w:pPr>
      <w:r w:rsidRPr="00456379">
        <w:rPr>
          <w:rFonts w:ascii="Arial" w:hAnsi="Arial" w:cs="Arial"/>
          <w:sz w:val="24"/>
          <w:szCs w:val="24"/>
          <w:lang w:val="it-IT"/>
        </w:rPr>
        <w:t xml:space="preserve">[5] </w:t>
      </w:r>
      <w:r w:rsidRPr="00456379">
        <w:rPr>
          <w:rFonts w:ascii="Arial" w:hAnsi="Arial" w:cs="Arial"/>
          <w:sz w:val="24"/>
          <w:szCs w:val="24"/>
          <w:lang w:val="it-IT"/>
        </w:rPr>
        <w:tab/>
        <w:t xml:space="preserve">Cornely OA, Alastruey-Izquierdo A, Arenz D, et al. </w:t>
      </w:r>
      <w:r w:rsidRPr="00456379">
        <w:rPr>
          <w:rFonts w:ascii="Arial" w:hAnsi="Arial" w:cs="Arial"/>
          <w:sz w:val="24"/>
          <w:szCs w:val="24"/>
        </w:rPr>
        <w:t xml:space="preserve">Global guideline for the </w:t>
      </w:r>
      <w:r w:rsidRPr="00456379">
        <w:rPr>
          <w:rFonts w:ascii="Arial" w:hAnsi="Arial" w:cs="Arial"/>
          <w:sz w:val="24"/>
          <w:szCs w:val="24"/>
        </w:rPr>
        <w:lastRenderedPageBreak/>
        <w:t>diagnosis and management of mucormycosis: an initiative of the European Confederation of Medical Mycology in cooperation with the Mycoses Study Group Education and Research Consortium. Lancet Infect Dis. 2019;19(12):e405–e421.</w:t>
      </w:r>
    </w:p>
    <w:p w14:paraId="5B99309A" w14:textId="7E841BF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[6] </w:t>
      </w:r>
      <w:r w:rsidRPr="00456379">
        <w:rPr>
          <w:rFonts w:ascii="Arial" w:hAnsi="Arial" w:cs="Arial"/>
          <w:sz w:val="24"/>
          <w:szCs w:val="24"/>
        </w:rPr>
        <w:tab/>
        <w:t>Kontoyiannis DP, Lewis RE. How I treat mucormycosis. Blood. 2011;118(5):1216–1224.</w:t>
      </w:r>
    </w:p>
    <w:p w14:paraId="24165760" w14:textId="6FA14F2A"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[7] </w:t>
      </w:r>
      <w:r w:rsidRPr="00456379">
        <w:rPr>
          <w:rFonts w:ascii="Arial" w:hAnsi="Arial" w:cs="Arial"/>
          <w:sz w:val="24"/>
          <w:szCs w:val="24"/>
        </w:rPr>
        <w:tab/>
        <w:t>Lewis RE, Albert N, Liao G, et al. Comparative pharmacodynamics of amphotericin B lipid complex and liposomal amphotericin B in a murine model of pulmonary mucormycosis. Antimicrobial Agents and Chemother. 2010;54(3):1298–1304.</w:t>
      </w:r>
    </w:p>
    <w:p w14:paraId="0822CE34" w14:textId="77777777" w:rsidR="00640B29" w:rsidRPr="00456379" w:rsidRDefault="00640B29">
      <w:pPr>
        <w:pStyle w:val="Body0"/>
        <w:ind w:left="540" w:hanging="540"/>
        <w:rPr>
          <w:rFonts w:ascii="Arial" w:hAnsi="Arial" w:cs="Arial"/>
          <w:sz w:val="24"/>
          <w:szCs w:val="24"/>
        </w:rPr>
      </w:pPr>
    </w:p>
    <w:p w14:paraId="3A4D4994" w14:textId="19CEF46F"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[8] </w:t>
      </w:r>
      <w:r w:rsidRPr="00456379">
        <w:rPr>
          <w:rFonts w:ascii="Arial" w:hAnsi="Arial" w:cs="Arial"/>
          <w:sz w:val="24"/>
          <w:szCs w:val="24"/>
        </w:rPr>
        <w:tab/>
        <w:t>Lanternier F, Poiree S, Elie C, et al. Prospective pilot study of high-dose (10 mg/kg/day) liposomal amphotericin B (L-AMB) for the initial treatment of mucormycosis. J Antimicrob Chemother</w:t>
      </w:r>
      <w:r w:rsidR="0010761C" w:rsidRPr="00456379">
        <w:rPr>
          <w:rFonts w:ascii="Arial" w:hAnsi="Arial" w:cs="Arial"/>
          <w:sz w:val="24"/>
          <w:szCs w:val="24"/>
        </w:rPr>
        <w:t xml:space="preserve">. </w:t>
      </w:r>
      <w:r w:rsidRPr="00456379">
        <w:rPr>
          <w:rFonts w:ascii="Arial" w:hAnsi="Arial" w:cs="Arial"/>
          <w:sz w:val="24"/>
          <w:szCs w:val="24"/>
        </w:rPr>
        <w:t>2015;70(11):3116–3123.</w:t>
      </w:r>
    </w:p>
    <w:p w14:paraId="420C7E72" w14:textId="7777777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Key prospective study investing standard-dose versus high-dose L-AMB for mucormycosis</w:t>
      </w:r>
    </w:p>
    <w:p w14:paraId="745BA06C" w14:textId="415CA4EF"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[9] </w:t>
      </w:r>
      <w:r w:rsidRPr="00456379">
        <w:rPr>
          <w:rFonts w:ascii="Arial" w:hAnsi="Arial" w:cs="Arial"/>
          <w:sz w:val="24"/>
          <w:szCs w:val="24"/>
        </w:rPr>
        <w:tab/>
        <w:t>Spellberg B, Ibrahim AS, Chin-Hong PV, et al. The Deferasirox-AmBisome Therapy for Mucormycosis (DEFEAT Mucor) study: a randomized, double-blinded, placebo-controlled trial. J Antimicrob Chemother. 2012;67(3):715–722.</w:t>
      </w:r>
    </w:p>
    <w:p w14:paraId="7A26343C" w14:textId="77777777" w:rsidR="00640B29" w:rsidRPr="00456379" w:rsidRDefault="00640B29">
      <w:pPr>
        <w:pStyle w:val="Body0"/>
        <w:ind w:left="540" w:hanging="540"/>
        <w:rPr>
          <w:rFonts w:ascii="Arial" w:hAnsi="Arial" w:cs="Arial"/>
          <w:sz w:val="24"/>
          <w:szCs w:val="24"/>
        </w:rPr>
      </w:pPr>
    </w:p>
    <w:p w14:paraId="26AEDC4E" w14:textId="1D0062F9"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[10] </w:t>
      </w:r>
      <w:r w:rsidRPr="00456379">
        <w:rPr>
          <w:rFonts w:ascii="Arial" w:hAnsi="Arial" w:cs="Arial"/>
          <w:sz w:val="24"/>
          <w:szCs w:val="24"/>
        </w:rPr>
        <w:tab/>
        <w:t xml:space="preserve">Tashiro M, Namie H, Ito Y, et al. Prognostic Association of Liposomal Amphotericin B Doses Above 5 mg/kg/d in Mucormycosis: A Nationwide Epidemiologic and Treatment Analysis in Japan. Open Forum Infectious </w:t>
      </w:r>
      <w:r w:rsidRPr="00456379">
        <w:rPr>
          <w:rFonts w:ascii="Arial" w:hAnsi="Arial" w:cs="Arial"/>
          <w:sz w:val="24"/>
          <w:szCs w:val="24"/>
        </w:rPr>
        <w:lastRenderedPageBreak/>
        <w:t>Diseases. 2023;10(10).</w:t>
      </w:r>
    </w:p>
    <w:p w14:paraId="1D467594" w14:textId="77777777" w:rsidR="00640B29" w:rsidRPr="00456379" w:rsidRDefault="00640B29">
      <w:pPr>
        <w:pStyle w:val="Body0"/>
        <w:ind w:left="540" w:hanging="540"/>
        <w:rPr>
          <w:rFonts w:ascii="Arial" w:hAnsi="Arial" w:cs="Arial"/>
          <w:sz w:val="24"/>
          <w:szCs w:val="24"/>
        </w:rPr>
      </w:pPr>
    </w:p>
    <w:p w14:paraId="33196F0E" w14:textId="7777777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[11] </w:t>
      </w:r>
      <w:r w:rsidRPr="00456379">
        <w:rPr>
          <w:rFonts w:ascii="Arial" w:hAnsi="Arial" w:cs="Arial"/>
          <w:sz w:val="24"/>
          <w:szCs w:val="24"/>
        </w:rPr>
        <w:tab/>
        <w:t>Anderson TM, Clay MC, Cioffi AG, et al. Amphotericin forms an extramembranous and fungicidal sterol sponge. Nat Chem Biol [Internet]. 2014;10(5):400–406.</w:t>
      </w:r>
    </w:p>
    <w:p w14:paraId="71C64014" w14:textId="77777777" w:rsidR="00640B29" w:rsidRPr="00456379" w:rsidRDefault="00640B29">
      <w:pPr>
        <w:pStyle w:val="Body0"/>
        <w:ind w:left="540" w:hanging="540"/>
        <w:rPr>
          <w:rFonts w:ascii="Arial" w:hAnsi="Arial" w:cs="Arial"/>
          <w:sz w:val="24"/>
          <w:szCs w:val="24"/>
        </w:rPr>
      </w:pPr>
    </w:p>
    <w:p w14:paraId="5D9530DB" w14:textId="32E1A61A"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[12] </w:t>
      </w:r>
      <w:r w:rsidRPr="00456379">
        <w:rPr>
          <w:rFonts w:ascii="Arial" w:hAnsi="Arial" w:cs="Arial"/>
          <w:sz w:val="24"/>
          <w:szCs w:val="24"/>
        </w:rPr>
        <w:tab/>
        <w:t>Lewandowska A, Soutar CP, Greenwood AI, et al. Fungicidal amphotericin B sponges are assemblies of staggered asymmetric homodimers encasing large void volumes. Nat Struct Mol Biol. 2021;28(12):972–981.</w:t>
      </w:r>
    </w:p>
    <w:p w14:paraId="3F80297C" w14:textId="77777777" w:rsidR="00640B29" w:rsidRPr="00456379" w:rsidRDefault="00640B29">
      <w:pPr>
        <w:pStyle w:val="Body0"/>
        <w:ind w:left="540" w:hanging="540"/>
        <w:rPr>
          <w:rFonts w:ascii="Arial" w:hAnsi="Arial" w:cs="Arial"/>
          <w:sz w:val="24"/>
          <w:szCs w:val="24"/>
        </w:rPr>
      </w:pPr>
    </w:p>
    <w:p w14:paraId="32C4516A" w14:textId="7777777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[13] </w:t>
      </w:r>
      <w:r w:rsidRPr="00456379">
        <w:rPr>
          <w:rFonts w:ascii="Arial" w:hAnsi="Arial" w:cs="Arial"/>
          <w:sz w:val="24"/>
          <w:szCs w:val="24"/>
        </w:rPr>
        <w:tab/>
        <w:t>Walker L, Sood P, Lenardon MD, et al. The Viscoelastic Properties of the Fungal Cell Wall Allow Traffic of AmBisome as Intact Liposome Vesicles. mBio. 2018;9(1):e02383-17.</w:t>
      </w:r>
    </w:p>
    <w:p w14:paraId="30742168" w14:textId="77777777" w:rsidR="00640B29" w:rsidRPr="00456379" w:rsidRDefault="00640B29">
      <w:pPr>
        <w:pStyle w:val="Body0"/>
        <w:ind w:left="540" w:hanging="540"/>
        <w:rPr>
          <w:rFonts w:ascii="Arial" w:hAnsi="Arial" w:cs="Arial"/>
          <w:sz w:val="24"/>
          <w:szCs w:val="24"/>
        </w:rPr>
      </w:pPr>
    </w:p>
    <w:p w14:paraId="72325AB6" w14:textId="7777777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[14] </w:t>
      </w:r>
      <w:r w:rsidRPr="00456379">
        <w:rPr>
          <w:rFonts w:ascii="Arial" w:hAnsi="Arial" w:cs="Arial"/>
          <w:sz w:val="24"/>
          <w:szCs w:val="24"/>
        </w:rPr>
        <w:tab/>
        <w:t>Szebeni J. Complement activation-related pseudoallergy: a new class of drug-induced acute immune toxicity. Toxicology. 2005;216(2–3):106–121.</w:t>
      </w:r>
    </w:p>
    <w:p w14:paraId="10CEE058" w14:textId="77777777" w:rsidR="00640B29" w:rsidRPr="00456379" w:rsidRDefault="00640B29">
      <w:pPr>
        <w:pStyle w:val="Body0"/>
        <w:ind w:left="540" w:hanging="540"/>
        <w:rPr>
          <w:rFonts w:ascii="Arial" w:hAnsi="Arial" w:cs="Arial"/>
          <w:sz w:val="24"/>
          <w:szCs w:val="24"/>
        </w:rPr>
      </w:pPr>
    </w:p>
    <w:p w14:paraId="6B815CEB" w14:textId="15ADFD6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[15] </w:t>
      </w:r>
      <w:r w:rsidRPr="00456379">
        <w:rPr>
          <w:rFonts w:ascii="Arial" w:hAnsi="Arial" w:cs="Arial"/>
          <w:sz w:val="24"/>
          <w:szCs w:val="24"/>
        </w:rPr>
        <w:tab/>
        <w:t>Adler-Moore J, Lewis RE, Brüggemann RJM, et al. Preclinical Safety, Tolerability, Pharmacokinetics, Pharmacodynamics, and Antifungal Activity of Liposomal Amphotericin B. Clinical Infectious Diseases. 2019;68:S244–S259.</w:t>
      </w:r>
    </w:p>
    <w:p w14:paraId="5CD6921D" w14:textId="77777777" w:rsidR="00640B29" w:rsidRPr="00456379" w:rsidRDefault="00640B29">
      <w:pPr>
        <w:pStyle w:val="Body0"/>
        <w:ind w:left="540" w:hanging="540"/>
        <w:rPr>
          <w:rFonts w:ascii="Arial" w:hAnsi="Arial" w:cs="Arial"/>
          <w:sz w:val="24"/>
          <w:szCs w:val="24"/>
        </w:rPr>
      </w:pPr>
    </w:p>
    <w:p w14:paraId="2EB04E35" w14:textId="4EDF169C"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lastRenderedPageBreak/>
        <w:t xml:space="preserve">[16] </w:t>
      </w:r>
      <w:r w:rsidRPr="00456379">
        <w:rPr>
          <w:rFonts w:ascii="Arial" w:hAnsi="Arial" w:cs="Arial"/>
          <w:sz w:val="24"/>
          <w:szCs w:val="24"/>
        </w:rPr>
        <w:tab/>
        <w:t>Andes D, Safdar N, Marchillo K, et al. Pharmacokinetic-pharmacodynamic comparison of amphotericin B (AMB) and two lipid-associated AMB preparations, liposomal AMB and AMB lipid complex, in murine candidiasis models. Antimicrob Agents Chemother. 2006;50(2):674–684.</w:t>
      </w:r>
    </w:p>
    <w:p w14:paraId="3CB521C5" w14:textId="77777777" w:rsidR="00640B29" w:rsidRPr="00456379" w:rsidRDefault="00640B29">
      <w:pPr>
        <w:pStyle w:val="Body0"/>
        <w:ind w:left="540" w:hanging="540"/>
        <w:rPr>
          <w:rFonts w:ascii="Arial" w:hAnsi="Arial" w:cs="Arial"/>
          <w:sz w:val="24"/>
          <w:szCs w:val="24"/>
        </w:rPr>
      </w:pPr>
    </w:p>
    <w:p w14:paraId="0BDD463B" w14:textId="5F732F5E"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[17] </w:t>
      </w:r>
      <w:r w:rsidRPr="00456379">
        <w:rPr>
          <w:rFonts w:ascii="Arial" w:hAnsi="Arial" w:cs="Arial"/>
          <w:sz w:val="24"/>
          <w:szCs w:val="24"/>
        </w:rPr>
        <w:tab/>
        <w:t>Andes D, Stamsted T, Conklin R. Pharmacodynamics of amphotericin B in a neutropenic-mouse disseminated-candidiasis model. Antimicrob Agents Chemother. 2001;45(3):922–926.</w:t>
      </w:r>
    </w:p>
    <w:p w14:paraId="42DBF9BC" w14:textId="77777777" w:rsidR="00640B29" w:rsidRPr="00456379" w:rsidRDefault="00640B29">
      <w:pPr>
        <w:pStyle w:val="Body0"/>
        <w:ind w:left="540" w:hanging="540"/>
        <w:rPr>
          <w:rFonts w:ascii="Arial" w:hAnsi="Arial" w:cs="Arial"/>
          <w:sz w:val="24"/>
          <w:szCs w:val="24"/>
        </w:rPr>
      </w:pPr>
    </w:p>
    <w:p w14:paraId="0C0872E6" w14:textId="47C7EDBD"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[18] </w:t>
      </w:r>
      <w:r w:rsidRPr="00456379">
        <w:rPr>
          <w:rFonts w:ascii="Arial" w:hAnsi="Arial" w:cs="Arial"/>
          <w:sz w:val="24"/>
          <w:szCs w:val="24"/>
        </w:rPr>
        <w:tab/>
        <w:t>Wiederhold NP, Tam VH, Chi J, et al. Pharmacodynamic activity of amphotericin B deoxycholate is associated with peak plasma concentrations in a neutropenic murine model of invasive pulmonary aspergillosis. Antimicrob Agents and Chemother. 2006;50(2):469–473.</w:t>
      </w:r>
    </w:p>
    <w:p w14:paraId="3B2C8D9D" w14:textId="77777777" w:rsidR="00640B29" w:rsidRPr="00456379" w:rsidRDefault="00640B29">
      <w:pPr>
        <w:pStyle w:val="Body0"/>
        <w:ind w:left="540" w:hanging="540"/>
        <w:rPr>
          <w:rFonts w:ascii="Arial" w:hAnsi="Arial" w:cs="Arial"/>
          <w:sz w:val="24"/>
          <w:szCs w:val="24"/>
        </w:rPr>
      </w:pPr>
    </w:p>
    <w:p w14:paraId="37419262" w14:textId="03332C13"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[19] </w:t>
      </w:r>
      <w:r w:rsidRPr="00456379">
        <w:rPr>
          <w:rFonts w:ascii="Arial" w:hAnsi="Arial" w:cs="Arial"/>
          <w:sz w:val="24"/>
          <w:szCs w:val="24"/>
        </w:rPr>
        <w:tab/>
        <w:t>Al-Nakeeb Z, Petraitis V, Goodwin J, et al. Pharmacodynamics of amphotericin B deoxycholate, amphotericin B lipid complex, and liposomal amphotericin B against Aspergillus fumigatus. Antimicrob Agents Chemother. 2015;59(5):2735–2745.</w:t>
      </w:r>
    </w:p>
    <w:p w14:paraId="699984FA" w14:textId="77777777" w:rsidR="00640B29" w:rsidRPr="00456379" w:rsidRDefault="00640B29">
      <w:pPr>
        <w:pStyle w:val="Body0"/>
        <w:ind w:left="540" w:hanging="540"/>
        <w:rPr>
          <w:rFonts w:ascii="Arial" w:hAnsi="Arial" w:cs="Arial"/>
          <w:sz w:val="24"/>
          <w:szCs w:val="24"/>
        </w:rPr>
      </w:pPr>
    </w:p>
    <w:p w14:paraId="418F60AF" w14:textId="5D2E756B"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[20] </w:t>
      </w:r>
      <w:r w:rsidRPr="00456379">
        <w:rPr>
          <w:rFonts w:ascii="Arial" w:hAnsi="Arial" w:cs="Arial"/>
          <w:sz w:val="24"/>
          <w:szCs w:val="24"/>
        </w:rPr>
        <w:tab/>
        <w:t>Groll AH, Rijnders BJA, Walsh TJ, et al. Clinical Pharmacokinetics, Pharmacodynamics, Safety and Efficacy of Liposomal Amphotericin B. Clin Infect Dis. 2019;68(Supplement_4):S260–S274.</w:t>
      </w:r>
    </w:p>
    <w:p w14:paraId="347CE8B3" w14:textId="77777777" w:rsidR="00640B29" w:rsidRPr="00456379" w:rsidRDefault="00640B29">
      <w:pPr>
        <w:pStyle w:val="Body0"/>
        <w:ind w:left="540" w:hanging="540"/>
        <w:rPr>
          <w:rFonts w:ascii="Arial" w:hAnsi="Arial" w:cs="Arial"/>
          <w:sz w:val="24"/>
          <w:szCs w:val="24"/>
        </w:rPr>
      </w:pPr>
    </w:p>
    <w:p w14:paraId="36F7EDAD" w14:textId="1EB9D73F"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[21] </w:t>
      </w:r>
      <w:r w:rsidRPr="00456379">
        <w:rPr>
          <w:rFonts w:ascii="Arial" w:hAnsi="Arial" w:cs="Arial"/>
          <w:sz w:val="24"/>
          <w:szCs w:val="24"/>
        </w:rPr>
        <w:tab/>
        <w:t>Lewis RE, Albert NP, Liao G, et al. High-dose induction liposomal amphotericin B followed by de-Escalation is effective in experimental Aspergillus terreus pneumonia. J</w:t>
      </w:r>
      <w:r w:rsidR="0010761C" w:rsidRPr="00456379">
        <w:rPr>
          <w:rFonts w:ascii="Arial" w:hAnsi="Arial" w:cs="Arial"/>
          <w:sz w:val="24"/>
          <w:szCs w:val="24"/>
        </w:rPr>
        <w:t xml:space="preserve"> </w:t>
      </w:r>
      <w:r w:rsidRPr="00456379">
        <w:rPr>
          <w:rFonts w:ascii="Arial" w:hAnsi="Arial" w:cs="Arial"/>
          <w:sz w:val="24"/>
          <w:szCs w:val="24"/>
        </w:rPr>
        <w:t>of Antimicr</w:t>
      </w:r>
      <w:r w:rsidR="0010761C" w:rsidRPr="00456379">
        <w:rPr>
          <w:rFonts w:ascii="Arial" w:hAnsi="Arial" w:cs="Arial"/>
          <w:sz w:val="24"/>
          <w:szCs w:val="24"/>
        </w:rPr>
        <w:t>ob</w:t>
      </w:r>
      <w:r w:rsidRPr="00456379">
        <w:rPr>
          <w:rFonts w:ascii="Arial" w:hAnsi="Arial" w:cs="Arial"/>
          <w:sz w:val="24"/>
          <w:szCs w:val="24"/>
        </w:rPr>
        <w:t xml:space="preserve"> Chemothera. 2013;68(5):1148–1151.</w:t>
      </w:r>
    </w:p>
    <w:p w14:paraId="6065C6BC" w14:textId="77777777" w:rsidR="00640B29" w:rsidRPr="00456379" w:rsidRDefault="00640B29">
      <w:pPr>
        <w:pStyle w:val="Body0"/>
        <w:ind w:left="540" w:hanging="540"/>
        <w:rPr>
          <w:rFonts w:ascii="Arial" w:hAnsi="Arial" w:cs="Arial"/>
          <w:sz w:val="24"/>
          <w:szCs w:val="24"/>
        </w:rPr>
      </w:pPr>
    </w:p>
    <w:p w14:paraId="3B85FFAD" w14:textId="5A5B83A1"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[22] </w:t>
      </w:r>
      <w:r w:rsidRPr="00456379">
        <w:rPr>
          <w:rFonts w:ascii="Arial" w:hAnsi="Arial" w:cs="Arial"/>
          <w:sz w:val="24"/>
          <w:szCs w:val="24"/>
        </w:rPr>
        <w:tab/>
        <w:t>Ibrahim AS, Gebremariam T, Fu Y, et al. Combination echinocandin-polyene treatment of murine mucormycosis. Antimicrob Agents Chemother. 2008;52(4):1556–1558.</w:t>
      </w:r>
    </w:p>
    <w:p w14:paraId="1EAE6079" w14:textId="77777777" w:rsidR="00640B29" w:rsidRPr="00456379" w:rsidRDefault="00640B29">
      <w:pPr>
        <w:pStyle w:val="Body0"/>
        <w:ind w:left="540" w:hanging="540"/>
        <w:rPr>
          <w:rFonts w:ascii="Arial" w:hAnsi="Arial" w:cs="Arial"/>
          <w:sz w:val="24"/>
          <w:szCs w:val="24"/>
        </w:rPr>
      </w:pPr>
    </w:p>
    <w:p w14:paraId="22B7C685" w14:textId="724CD0F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[23] </w:t>
      </w:r>
      <w:r w:rsidRPr="00456379">
        <w:rPr>
          <w:rFonts w:ascii="Arial" w:hAnsi="Arial" w:cs="Arial"/>
          <w:sz w:val="24"/>
          <w:szCs w:val="24"/>
        </w:rPr>
        <w:tab/>
        <w:t>Luo G, Gebremariam T, Lee H, et al. Efficacy of liposomal amphotericin B and posaconazole in intratracheal models of murine mucormycosis. Antimicrob Agents Chemother. 2013;57(7):3340–3347.</w:t>
      </w:r>
    </w:p>
    <w:p w14:paraId="7F479782" w14:textId="77777777" w:rsidR="00640B29" w:rsidRPr="00456379" w:rsidRDefault="00640B29">
      <w:pPr>
        <w:pStyle w:val="Body0"/>
        <w:ind w:left="540" w:hanging="540"/>
        <w:rPr>
          <w:rFonts w:ascii="Arial" w:hAnsi="Arial" w:cs="Arial"/>
          <w:sz w:val="24"/>
          <w:szCs w:val="24"/>
        </w:rPr>
      </w:pPr>
    </w:p>
    <w:p w14:paraId="788C4318" w14:textId="387BA319"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[24] </w:t>
      </w:r>
      <w:r w:rsidRPr="00456379">
        <w:rPr>
          <w:rFonts w:ascii="Arial" w:hAnsi="Arial" w:cs="Arial"/>
          <w:sz w:val="24"/>
          <w:szCs w:val="24"/>
        </w:rPr>
        <w:tab/>
        <w:t>Gebremariam T, Gu Y, Singh S, et al. Combination treatment of liposomal amphotericin B and isavuconazole is synergistic in treating experimental mucormycosis. J Antimicrob Chemother. 2021;76(10):2636–2639.</w:t>
      </w:r>
    </w:p>
    <w:p w14:paraId="37F6ED13" w14:textId="77777777" w:rsidR="00640B29" w:rsidRPr="00456379" w:rsidRDefault="00640B29">
      <w:pPr>
        <w:pStyle w:val="Body0"/>
        <w:ind w:left="540" w:hanging="540"/>
        <w:rPr>
          <w:rFonts w:ascii="Arial" w:hAnsi="Arial" w:cs="Arial"/>
          <w:sz w:val="24"/>
          <w:szCs w:val="24"/>
        </w:rPr>
      </w:pPr>
    </w:p>
    <w:p w14:paraId="16F1C766" w14:textId="7A2CB5FE"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[25] </w:t>
      </w:r>
      <w:r w:rsidRPr="00456379">
        <w:rPr>
          <w:rFonts w:ascii="Arial" w:hAnsi="Arial" w:cs="Arial"/>
          <w:sz w:val="24"/>
          <w:szCs w:val="24"/>
        </w:rPr>
        <w:tab/>
        <w:t>Gebremariam T, Alkhazraji S, Gu Y, et al. Ibrexafungerp is efficacious in a neutropenic murine model of pulmonary mucormycosis as monotherapy and combined with liposomal amphotericin B. Antimicrob Agents Chemother. 2024;68(5):e0154523.</w:t>
      </w:r>
    </w:p>
    <w:p w14:paraId="547B5132" w14:textId="77777777" w:rsidR="00640B29" w:rsidRPr="00456379" w:rsidRDefault="00640B29">
      <w:pPr>
        <w:pStyle w:val="Body0"/>
        <w:ind w:left="540" w:hanging="540"/>
        <w:rPr>
          <w:rFonts w:ascii="Arial" w:hAnsi="Arial" w:cs="Arial"/>
          <w:sz w:val="24"/>
          <w:szCs w:val="24"/>
        </w:rPr>
      </w:pPr>
    </w:p>
    <w:p w14:paraId="19E6CD66" w14:textId="35DD450E"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lastRenderedPageBreak/>
        <w:t xml:space="preserve">[26] </w:t>
      </w:r>
      <w:r w:rsidRPr="00456379">
        <w:rPr>
          <w:rFonts w:ascii="Arial" w:hAnsi="Arial" w:cs="Arial"/>
          <w:sz w:val="24"/>
          <w:szCs w:val="24"/>
        </w:rPr>
        <w:tab/>
        <w:t>Gebremariam T, Gu Y, Alkhazraji S, et al. The Combination Treatment of Fosmanogepix and Liposomal Amphotericin B Is Superior to Monotherapy in Treating Experimental Invasive Mold Infections. Antimicrob Agents Chemother. 2022;66(7):e0038022.</w:t>
      </w:r>
    </w:p>
    <w:p w14:paraId="46627A8D" w14:textId="77777777" w:rsidR="00640B29" w:rsidRPr="00456379" w:rsidRDefault="00640B29">
      <w:pPr>
        <w:pStyle w:val="Body0"/>
        <w:ind w:left="540" w:hanging="540"/>
        <w:rPr>
          <w:rFonts w:ascii="Arial" w:hAnsi="Arial" w:cs="Arial"/>
          <w:sz w:val="24"/>
          <w:szCs w:val="24"/>
        </w:rPr>
      </w:pPr>
    </w:p>
    <w:p w14:paraId="4B044B6A" w14:textId="04AEECB3"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[27] </w:t>
      </w:r>
      <w:r w:rsidRPr="00456379">
        <w:rPr>
          <w:rFonts w:ascii="Arial" w:hAnsi="Arial" w:cs="Arial"/>
          <w:sz w:val="24"/>
          <w:szCs w:val="24"/>
        </w:rPr>
        <w:tab/>
        <w:t>Gu Y, Gebremariam T, Alkhazraji S, et al. Efficacy of an oral lipid nanocrystal formulation of amphotericin B (MAT2203) in the neutropenic mouse model of pulmonary mucormycosis. Antimicrob Agents Chemother. 2024;68(6):e0154023.</w:t>
      </w:r>
    </w:p>
    <w:p w14:paraId="7ECDF353" w14:textId="77777777" w:rsidR="00640B29" w:rsidRPr="00456379" w:rsidRDefault="00640B29">
      <w:pPr>
        <w:pStyle w:val="Body0"/>
        <w:ind w:left="540" w:hanging="540"/>
        <w:rPr>
          <w:rFonts w:ascii="Arial" w:hAnsi="Arial" w:cs="Arial"/>
          <w:sz w:val="24"/>
          <w:szCs w:val="24"/>
        </w:rPr>
      </w:pPr>
    </w:p>
    <w:p w14:paraId="3DFCC4D8" w14:textId="45BB54DC"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[28] </w:t>
      </w:r>
      <w:r w:rsidRPr="00456379">
        <w:rPr>
          <w:rFonts w:ascii="Arial" w:hAnsi="Arial" w:cs="Arial"/>
          <w:sz w:val="24"/>
          <w:szCs w:val="24"/>
        </w:rPr>
        <w:tab/>
        <w:t>Takemoto K, Yamamoto Y, Kanazawa K. Comparative study of the efficacy of liposomal amphotericin B and amphotericin B deoxycholate against six species of Zygomycetes in a murine lethal infection model. J Infect Chemother. 2010;16(6):388–395.</w:t>
      </w:r>
    </w:p>
    <w:p w14:paraId="25185887" w14:textId="77777777" w:rsidR="00640B29" w:rsidRPr="00456379" w:rsidRDefault="00640B29">
      <w:pPr>
        <w:pStyle w:val="Body0"/>
        <w:ind w:left="540" w:hanging="540"/>
        <w:rPr>
          <w:rFonts w:ascii="Arial" w:hAnsi="Arial" w:cs="Arial"/>
          <w:sz w:val="24"/>
          <w:szCs w:val="24"/>
        </w:rPr>
      </w:pPr>
    </w:p>
    <w:p w14:paraId="32090684" w14:textId="3EB360DA"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[29] </w:t>
      </w:r>
      <w:r w:rsidRPr="00456379">
        <w:rPr>
          <w:rFonts w:ascii="Arial" w:hAnsi="Arial" w:cs="Arial"/>
          <w:sz w:val="24"/>
          <w:szCs w:val="24"/>
        </w:rPr>
        <w:tab/>
        <w:t>Guinea J, Escribano P, Vena A, et al. Increasing incidence of mucormycosis in a large Spanish hospital from 2007 to 2015: Epidemiology and microbiological characterization of the isolates. PLoS ONE. 2017;12(6):e0179136.</w:t>
      </w:r>
    </w:p>
    <w:p w14:paraId="1F4BB6C5" w14:textId="77777777" w:rsidR="00640B29" w:rsidRPr="00456379" w:rsidRDefault="00640B29">
      <w:pPr>
        <w:pStyle w:val="Body0"/>
        <w:ind w:left="540" w:hanging="540"/>
        <w:rPr>
          <w:rFonts w:ascii="Arial" w:hAnsi="Arial" w:cs="Arial"/>
          <w:sz w:val="24"/>
          <w:szCs w:val="24"/>
        </w:rPr>
      </w:pPr>
    </w:p>
    <w:p w14:paraId="36AF5B9D" w14:textId="66859E6B"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[30] </w:t>
      </w:r>
      <w:r w:rsidRPr="00456379">
        <w:rPr>
          <w:rFonts w:ascii="Arial" w:hAnsi="Arial" w:cs="Arial"/>
          <w:sz w:val="24"/>
          <w:szCs w:val="24"/>
        </w:rPr>
        <w:tab/>
        <w:t>Walsh TJ, Yeldandi V, McEvoy M, et al. Safety, tolerance, and pharmacokinetics of a small unilamellar liposomal formulation of amphotericin B (AmBisome) in neutropenic patients. Antimicrob Agents Chemother. 1998;42(9):2391–2398.</w:t>
      </w:r>
    </w:p>
    <w:p w14:paraId="005A6AC9" w14:textId="77777777" w:rsidR="00640B29" w:rsidRPr="00456379" w:rsidRDefault="00640B29">
      <w:pPr>
        <w:pStyle w:val="Body0"/>
        <w:ind w:left="540" w:hanging="540"/>
        <w:rPr>
          <w:rFonts w:ascii="Arial" w:hAnsi="Arial" w:cs="Arial"/>
          <w:sz w:val="24"/>
          <w:szCs w:val="24"/>
        </w:rPr>
      </w:pPr>
    </w:p>
    <w:p w14:paraId="27BF3ED8" w14:textId="2F1B6182"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[31] </w:t>
      </w:r>
      <w:r w:rsidRPr="00456379">
        <w:rPr>
          <w:rFonts w:ascii="Arial" w:hAnsi="Arial" w:cs="Arial"/>
          <w:sz w:val="24"/>
          <w:szCs w:val="24"/>
        </w:rPr>
        <w:tab/>
        <w:t>Bekersky I, Boswell GW, Hiles R, et al. Safety and toxicokinetics of intravenous liposomal amphotericin B (AmBisome®) in beagle dogs. Pharm Res. 1999;16(11):1694–1701.</w:t>
      </w:r>
    </w:p>
    <w:p w14:paraId="6EDAA32F" w14:textId="77777777" w:rsidR="00640B29" w:rsidRPr="00456379" w:rsidRDefault="00640B29">
      <w:pPr>
        <w:pStyle w:val="Body0"/>
        <w:ind w:left="540" w:hanging="540"/>
        <w:rPr>
          <w:rFonts w:ascii="Arial" w:hAnsi="Arial" w:cs="Arial"/>
          <w:sz w:val="24"/>
          <w:szCs w:val="24"/>
        </w:rPr>
      </w:pPr>
    </w:p>
    <w:p w14:paraId="54B32B93" w14:textId="5C33B1AB"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[32] </w:t>
      </w:r>
      <w:r w:rsidRPr="00456379">
        <w:rPr>
          <w:rFonts w:ascii="Arial" w:hAnsi="Arial" w:cs="Arial"/>
          <w:sz w:val="24"/>
          <w:szCs w:val="24"/>
        </w:rPr>
        <w:tab/>
        <w:t>Bekersky I, Fielding RM, Dressler DE, et al. Pharmacokinetics, excretion, and mass balance of liposomal amphotericin B (AmBisome) and amphotericin B deoxycholate in humans. Antimicrob Agents Chemother. 2002;46(3):828–833.</w:t>
      </w:r>
    </w:p>
    <w:p w14:paraId="789B76A6" w14:textId="77777777" w:rsidR="00640B29" w:rsidRPr="00456379" w:rsidRDefault="00640B29">
      <w:pPr>
        <w:pStyle w:val="Body0"/>
        <w:ind w:left="540" w:hanging="540"/>
        <w:rPr>
          <w:rFonts w:ascii="Arial" w:hAnsi="Arial" w:cs="Arial"/>
          <w:sz w:val="24"/>
          <w:szCs w:val="24"/>
        </w:rPr>
      </w:pPr>
    </w:p>
    <w:p w14:paraId="7F23ACBF" w14:textId="23776B01"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[33] </w:t>
      </w:r>
      <w:r w:rsidRPr="00456379">
        <w:rPr>
          <w:rFonts w:ascii="Arial" w:hAnsi="Arial" w:cs="Arial"/>
          <w:sz w:val="24"/>
          <w:szCs w:val="24"/>
        </w:rPr>
        <w:tab/>
        <w:t>Cornely OA, Leguay T, Maertens J, et al. Randomized comparison of liposomal amphotericin B versus placebo to prevent invasive mycoses in acute lymphoblastic leukaemia. J Antimicrob Chemother</w:t>
      </w:r>
      <w:r w:rsidR="00AA68DB" w:rsidRPr="00456379">
        <w:rPr>
          <w:rFonts w:ascii="Arial" w:hAnsi="Arial" w:cs="Arial"/>
          <w:sz w:val="24"/>
          <w:szCs w:val="24"/>
        </w:rPr>
        <w:t>.</w:t>
      </w:r>
      <w:r w:rsidRPr="00456379">
        <w:rPr>
          <w:rFonts w:ascii="Arial" w:hAnsi="Arial" w:cs="Arial"/>
          <w:sz w:val="24"/>
          <w:szCs w:val="24"/>
        </w:rPr>
        <w:t xml:space="preserve"> 2017;72(8):2359–2367.</w:t>
      </w:r>
    </w:p>
    <w:p w14:paraId="16A7118D" w14:textId="77777777" w:rsidR="00640B29" w:rsidRPr="00456379" w:rsidRDefault="00640B29">
      <w:pPr>
        <w:pStyle w:val="Body0"/>
        <w:ind w:left="540" w:hanging="540"/>
        <w:rPr>
          <w:rFonts w:ascii="Arial" w:hAnsi="Arial" w:cs="Arial"/>
          <w:sz w:val="24"/>
          <w:szCs w:val="24"/>
        </w:rPr>
      </w:pPr>
    </w:p>
    <w:p w14:paraId="225912EF" w14:textId="2FF299FC"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[34] </w:t>
      </w:r>
      <w:r w:rsidRPr="00456379">
        <w:rPr>
          <w:rFonts w:ascii="Arial" w:hAnsi="Arial" w:cs="Arial"/>
          <w:sz w:val="24"/>
          <w:szCs w:val="24"/>
        </w:rPr>
        <w:tab/>
        <w:t>Valiante S, Elshaboury RH, Wu T, et al. 845. Clinical Outcomes in Patients Treated with High vs. Standard Dose Liposomal Amphotericin B for Invasive Mucormycosis. Open Forum Infect Dis</w:t>
      </w:r>
      <w:r w:rsidR="00AA68DB" w:rsidRPr="00456379">
        <w:rPr>
          <w:rFonts w:ascii="Arial" w:hAnsi="Arial" w:cs="Arial"/>
          <w:sz w:val="24"/>
          <w:szCs w:val="24"/>
        </w:rPr>
        <w:t xml:space="preserve">. </w:t>
      </w:r>
      <w:r w:rsidRPr="00456379">
        <w:rPr>
          <w:rFonts w:ascii="Arial" w:hAnsi="Arial" w:cs="Arial"/>
          <w:sz w:val="24"/>
          <w:szCs w:val="24"/>
        </w:rPr>
        <w:t>2023;10(Supplement_2).</w:t>
      </w:r>
    </w:p>
    <w:p w14:paraId="4E3823F4" w14:textId="77777777" w:rsidR="00640B29" w:rsidRPr="00456379" w:rsidRDefault="00640B29">
      <w:pPr>
        <w:pStyle w:val="Body0"/>
        <w:ind w:left="540" w:hanging="540"/>
        <w:rPr>
          <w:rFonts w:ascii="Arial" w:hAnsi="Arial" w:cs="Arial"/>
          <w:sz w:val="24"/>
          <w:szCs w:val="24"/>
        </w:rPr>
      </w:pPr>
    </w:p>
    <w:p w14:paraId="5AC82C45" w14:textId="2E48EB07"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[35] </w:t>
      </w:r>
      <w:r w:rsidRPr="00456379">
        <w:rPr>
          <w:rFonts w:ascii="Arial" w:hAnsi="Arial" w:cs="Arial"/>
          <w:sz w:val="24"/>
          <w:szCs w:val="24"/>
        </w:rPr>
        <w:tab/>
        <w:t>Stover KR, Jordan TE, Wagner JL, et al. High-dose amphotericin: yay or nay? A case series and literature review. Drugs in Context. 2024;13:1–9.</w:t>
      </w:r>
    </w:p>
    <w:p w14:paraId="4C572ABB" w14:textId="77777777" w:rsidR="00640B29" w:rsidRPr="00456379" w:rsidRDefault="00640B29">
      <w:pPr>
        <w:pStyle w:val="Body0"/>
        <w:ind w:left="540" w:hanging="540"/>
        <w:rPr>
          <w:rFonts w:ascii="Arial" w:hAnsi="Arial" w:cs="Arial"/>
          <w:sz w:val="24"/>
          <w:szCs w:val="24"/>
        </w:rPr>
      </w:pPr>
    </w:p>
    <w:p w14:paraId="470F35B4" w14:textId="01B73EE5"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[36] </w:t>
      </w:r>
      <w:r w:rsidRPr="00456379">
        <w:rPr>
          <w:rFonts w:ascii="Arial" w:hAnsi="Arial" w:cs="Arial"/>
          <w:sz w:val="24"/>
          <w:szCs w:val="24"/>
        </w:rPr>
        <w:tab/>
        <w:t xml:space="preserve">Elitzur S, Fischer S, Arad-Cohen N, et al. Disseminated Mucormycosis in </w:t>
      </w:r>
      <w:r w:rsidRPr="00456379">
        <w:rPr>
          <w:rFonts w:ascii="Arial" w:hAnsi="Arial" w:cs="Arial"/>
          <w:sz w:val="24"/>
          <w:szCs w:val="24"/>
        </w:rPr>
        <w:lastRenderedPageBreak/>
        <w:t>Immunocompromised Children: Are New Antifungal Agents Making a Difference? A Multicenter Retrospective Study. Journal of Fung</w:t>
      </w:r>
      <w:r w:rsidR="00AA68DB" w:rsidRPr="00456379">
        <w:rPr>
          <w:rFonts w:ascii="Arial" w:hAnsi="Arial" w:cs="Arial"/>
          <w:sz w:val="24"/>
          <w:szCs w:val="24"/>
        </w:rPr>
        <w:t>i</w:t>
      </w:r>
      <w:r w:rsidRPr="00456379">
        <w:rPr>
          <w:rFonts w:ascii="Arial" w:hAnsi="Arial" w:cs="Arial"/>
          <w:sz w:val="24"/>
          <w:szCs w:val="24"/>
        </w:rPr>
        <w:t>. 2021;7(3):165.</w:t>
      </w:r>
    </w:p>
    <w:p w14:paraId="2D8C1834" w14:textId="77777777" w:rsidR="00640B29" w:rsidRPr="00456379" w:rsidRDefault="00640B29">
      <w:pPr>
        <w:pStyle w:val="Body0"/>
        <w:ind w:left="540" w:hanging="540"/>
        <w:rPr>
          <w:rFonts w:ascii="Arial" w:hAnsi="Arial" w:cs="Arial"/>
          <w:sz w:val="24"/>
          <w:szCs w:val="24"/>
        </w:rPr>
      </w:pPr>
    </w:p>
    <w:p w14:paraId="72894640" w14:textId="0D93FC0A"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[37] </w:t>
      </w:r>
      <w:r w:rsidRPr="00456379">
        <w:rPr>
          <w:rFonts w:ascii="Arial" w:hAnsi="Arial" w:cs="Arial"/>
          <w:sz w:val="24"/>
          <w:szCs w:val="24"/>
        </w:rPr>
        <w:tab/>
        <w:t>Risum M, Helweg-Larsen J, Petersen SL, et al. Introduction of a Comprehensive Diagnostic and Interdisciplinary Management Approach in Haematological Patients with Mucormycosis: A Pre and Post-Intervention Analysis. Journal of Fungi. 2020;6(4):268.</w:t>
      </w:r>
    </w:p>
    <w:p w14:paraId="1758EA68" w14:textId="77777777" w:rsidR="00640B29" w:rsidRPr="00456379" w:rsidRDefault="00640B29">
      <w:pPr>
        <w:pStyle w:val="Body0"/>
        <w:ind w:left="540" w:hanging="540"/>
        <w:rPr>
          <w:rFonts w:ascii="Arial" w:hAnsi="Arial" w:cs="Arial"/>
          <w:sz w:val="24"/>
          <w:szCs w:val="24"/>
        </w:rPr>
      </w:pPr>
    </w:p>
    <w:p w14:paraId="49255380" w14:textId="090A129F"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[38] </w:t>
      </w:r>
      <w:r w:rsidRPr="00456379">
        <w:rPr>
          <w:rFonts w:ascii="Arial" w:hAnsi="Arial" w:cs="Arial"/>
          <w:sz w:val="24"/>
          <w:szCs w:val="24"/>
        </w:rPr>
        <w:tab/>
        <w:t>Jarvis JN, Lawrence DS, Meya DB, et al. Single-Dose Liposomal Amphotericin B Treatment for Cryptococcal Meningitis. N Engl J Med. 2022;386(12):1109–1120.</w:t>
      </w:r>
    </w:p>
    <w:p w14:paraId="3801266C" w14:textId="77777777" w:rsidR="00640B29" w:rsidRPr="00456379" w:rsidRDefault="00640B29">
      <w:pPr>
        <w:pStyle w:val="Body0"/>
        <w:ind w:left="540" w:hanging="540"/>
        <w:rPr>
          <w:rFonts w:ascii="Arial" w:hAnsi="Arial" w:cs="Arial"/>
          <w:sz w:val="24"/>
          <w:szCs w:val="24"/>
        </w:rPr>
      </w:pPr>
    </w:p>
    <w:p w14:paraId="1F2BDDAB" w14:textId="0F24C116"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[39] </w:t>
      </w:r>
      <w:r w:rsidRPr="00456379">
        <w:rPr>
          <w:rFonts w:ascii="Arial" w:hAnsi="Arial" w:cs="Arial"/>
          <w:sz w:val="24"/>
          <w:szCs w:val="24"/>
        </w:rPr>
        <w:tab/>
        <w:t>Stott KE, Tembo D, Kajanga C, et al. Relative contribution of pharmacokinetics and immune signatures to clinical outcomes in patients with HIV-associated cryptococcal meningitis. Open Forum Infectious Dis. 2025;0.</w:t>
      </w:r>
    </w:p>
    <w:p w14:paraId="70E3BA31" w14:textId="77777777" w:rsidR="00640B29" w:rsidRPr="00456379" w:rsidRDefault="00640B29">
      <w:pPr>
        <w:pStyle w:val="Body0"/>
        <w:ind w:left="540" w:hanging="540"/>
        <w:rPr>
          <w:rFonts w:ascii="Arial" w:hAnsi="Arial" w:cs="Arial"/>
          <w:sz w:val="24"/>
          <w:szCs w:val="24"/>
        </w:rPr>
      </w:pPr>
    </w:p>
    <w:p w14:paraId="6B6AD82B" w14:textId="2F2FE3FA"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[40] </w:t>
      </w:r>
      <w:r w:rsidRPr="00456379">
        <w:rPr>
          <w:rFonts w:ascii="Arial" w:hAnsi="Arial" w:cs="Arial"/>
          <w:sz w:val="24"/>
          <w:szCs w:val="24"/>
        </w:rPr>
        <w:tab/>
        <w:t xml:space="preserve">Kyvernitakis A, Torres HA, Jiang Y, et al. Initial use of combination treatment does not impact survival of 106 patients with haematologic malignancies and mucormycosis: a propensity score analysis. Clin Microbiol </w:t>
      </w:r>
      <w:r w:rsidR="000A7651" w:rsidRPr="00456379">
        <w:rPr>
          <w:rFonts w:ascii="Arial" w:hAnsi="Arial" w:cs="Arial"/>
          <w:sz w:val="24"/>
          <w:szCs w:val="24"/>
        </w:rPr>
        <w:t>Infect.</w:t>
      </w:r>
      <w:r w:rsidRPr="00456379">
        <w:rPr>
          <w:rFonts w:ascii="Arial" w:hAnsi="Arial" w:cs="Arial"/>
          <w:sz w:val="24"/>
          <w:szCs w:val="24"/>
        </w:rPr>
        <w:t xml:space="preserve"> 2016;22(9):811-811.e8.</w:t>
      </w:r>
    </w:p>
    <w:p w14:paraId="7CF3D8E3" w14:textId="77777777" w:rsidR="00640B29" w:rsidRPr="00456379" w:rsidRDefault="00640B29">
      <w:pPr>
        <w:pStyle w:val="Body0"/>
        <w:ind w:left="540" w:hanging="540"/>
        <w:rPr>
          <w:rFonts w:ascii="Arial" w:hAnsi="Arial" w:cs="Arial"/>
          <w:sz w:val="24"/>
          <w:szCs w:val="24"/>
        </w:rPr>
      </w:pPr>
    </w:p>
    <w:p w14:paraId="31D472A1" w14:textId="634552A8"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[41] </w:t>
      </w:r>
      <w:r w:rsidRPr="00456379">
        <w:rPr>
          <w:rFonts w:ascii="Arial" w:hAnsi="Arial" w:cs="Arial"/>
          <w:sz w:val="24"/>
          <w:szCs w:val="24"/>
        </w:rPr>
        <w:tab/>
        <w:t xml:space="preserve">Soliman SSM, Baldin C, Gu Y, et al. Mucoricin is a ricin-like toxin that is critical </w:t>
      </w:r>
      <w:r w:rsidRPr="00456379">
        <w:rPr>
          <w:rFonts w:ascii="Arial" w:hAnsi="Arial" w:cs="Arial"/>
          <w:sz w:val="24"/>
          <w:szCs w:val="24"/>
        </w:rPr>
        <w:lastRenderedPageBreak/>
        <w:t>for the pathogenesis of mucormycosis. Nat Microbiol. 2021;6(3):313–326.</w:t>
      </w:r>
    </w:p>
    <w:p w14:paraId="3E3E4F33" w14:textId="77777777" w:rsidR="00640B29" w:rsidRPr="00456379" w:rsidRDefault="00640B29">
      <w:pPr>
        <w:pStyle w:val="Body0"/>
        <w:ind w:left="540" w:hanging="540"/>
        <w:rPr>
          <w:rFonts w:ascii="Arial" w:hAnsi="Arial" w:cs="Arial"/>
          <w:sz w:val="24"/>
          <w:szCs w:val="24"/>
        </w:rPr>
      </w:pPr>
    </w:p>
    <w:p w14:paraId="777120A8" w14:textId="59AFB182"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[42] </w:t>
      </w:r>
      <w:r w:rsidRPr="00456379">
        <w:rPr>
          <w:rFonts w:ascii="Arial" w:hAnsi="Arial" w:cs="Arial"/>
          <w:sz w:val="24"/>
          <w:szCs w:val="24"/>
        </w:rPr>
        <w:tab/>
        <w:t>Wurster S, Albert ND, Bharadwaj U, et al. Blockade of the PD-1/PD-L1 Immune Checkpoint Pathway Improves Infection Outcomes and Enhances Fungicidal Host Defense in a Murine Model of Invasive Pulmonary Mucormycosis. Front Immunol. 2022;13:838344.</w:t>
      </w:r>
    </w:p>
    <w:p w14:paraId="49FEB1A9" w14:textId="77777777" w:rsidR="00640B29" w:rsidRPr="00456379" w:rsidRDefault="00640B29">
      <w:pPr>
        <w:pStyle w:val="Body0"/>
        <w:ind w:left="540" w:hanging="540"/>
        <w:rPr>
          <w:rFonts w:ascii="Arial" w:hAnsi="Arial" w:cs="Arial"/>
          <w:sz w:val="24"/>
          <w:szCs w:val="24"/>
        </w:rPr>
      </w:pPr>
    </w:p>
    <w:p w14:paraId="4AF27823" w14:textId="263EB019"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[43] </w:t>
      </w:r>
      <w:r w:rsidRPr="00456379">
        <w:rPr>
          <w:rFonts w:ascii="Arial" w:hAnsi="Arial" w:cs="Arial"/>
          <w:sz w:val="24"/>
          <w:szCs w:val="24"/>
        </w:rPr>
        <w:tab/>
        <w:t>Kumaresan PR, Manuri PR, Albert ND, et al. Bioengineering T cells to target carbohydrate to treat opportunistic fungal infection. Proc Natl Acad Sci USA. 2014;111(29):10660–10665.</w:t>
      </w:r>
    </w:p>
    <w:p w14:paraId="52F7A517" w14:textId="77777777" w:rsidR="00640B29" w:rsidRPr="00456379" w:rsidRDefault="00640B29">
      <w:pPr>
        <w:pStyle w:val="Body0"/>
        <w:ind w:left="540" w:hanging="540"/>
        <w:rPr>
          <w:rFonts w:ascii="Arial" w:hAnsi="Arial" w:cs="Arial"/>
          <w:sz w:val="24"/>
          <w:szCs w:val="24"/>
        </w:rPr>
      </w:pPr>
    </w:p>
    <w:p w14:paraId="01853D0C" w14:textId="34724536"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[44] </w:t>
      </w:r>
      <w:r w:rsidRPr="00456379">
        <w:rPr>
          <w:rFonts w:ascii="Arial" w:hAnsi="Arial" w:cs="Arial"/>
          <w:sz w:val="24"/>
          <w:szCs w:val="24"/>
        </w:rPr>
        <w:tab/>
        <w:t>Boulware DR, Atukunda M, Kagimu E, et al. Oral Lipid Nanocrystal Amphotericin B for Cryptococcal Meningitis: A Randomized Clinical Trial. Clin Infect Dis. 2023;77(12):1659–1667.</w:t>
      </w:r>
    </w:p>
    <w:p w14:paraId="6F83B918" w14:textId="77777777" w:rsidR="00640B29" w:rsidRPr="00456379" w:rsidRDefault="00640B29">
      <w:pPr>
        <w:pStyle w:val="Body0"/>
        <w:ind w:left="540" w:hanging="540"/>
        <w:rPr>
          <w:rFonts w:ascii="Arial" w:hAnsi="Arial" w:cs="Arial"/>
          <w:sz w:val="24"/>
          <w:szCs w:val="24"/>
        </w:rPr>
      </w:pPr>
    </w:p>
    <w:p w14:paraId="2B60AF5A" w14:textId="4B2DC26D" w:rsidR="00640B29" w:rsidRPr="00456379" w:rsidRDefault="00117048">
      <w:pPr>
        <w:pStyle w:val="Body0"/>
        <w:ind w:left="540" w:hanging="540"/>
        <w:rPr>
          <w:rFonts w:ascii="Arial" w:hAnsi="Arial" w:cs="Arial"/>
          <w:sz w:val="24"/>
          <w:szCs w:val="24"/>
        </w:rPr>
      </w:pPr>
      <w:r w:rsidRPr="00456379">
        <w:rPr>
          <w:rFonts w:ascii="Arial" w:hAnsi="Arial" w:cs="Arial"/>
          <w:sz w:val="24"/>
          <w:szCs w:val="24"/>
        </w:rPr>
        <w:t xml:space="preserve">[45] </w:t>
      </w:r>
      <w:r w:rsidRPr="00456379">
        <w:rPr>
          <w:rFonts w:ascii="Arial" w:hAnsi="Arial" w:cs="Arial"/>
          <w:sz w:val="24"/>
          <w:szCs w:val="24"/>
        </w:rPr>
        <w:tab/>
        <w:t>Kontoyiannis DP, Andersson BS, Lewis RE, et al. Progressive disseminated aspergillosis in a bone marrow transplant recipient: response with a high-dose lipid formulation of amphotericin B. Clin Infect Dis. 2001;32(5):E94-6.</w:t>
      </w:r>
    </w:p>
    <w:p w14:paraId="3733E8A3" w14:textId="77777777" w:rsidR="00640B29" w:rsidRPr="00456379" w:rsidRDefault="00117048">
      <w:pPr>
        <w:pStyle w:val="Parstyle"/>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 w:val="left" w:pos="24000"/>
        </w:tabs>
        <w:spacing w:after="80" w:line="480" w:lineRule="auto"/>
        <w:rPr>
          <w:rFonts w:ascii="Arial" w:hAnsi="Arial" w:cs="Arial"/>
          <w:sz w:val="24"/>
          <w:szCs w:val="24"/>
        </w:rPr>
      </w:pPr>
      <w:r w:rsidRPr="00456379">
        <w:rPr>
          <w:rFonts w:ascii="Arial" w:hAnsi="Arial" w:cs="Arial"/>
          <w:sz w:val="24"/>
          <w:szCs w:val="24"/>
        </w:rPr>
        <w:fldChar w:fldCharType="end"/>
      </w:r>
    </w:p>
    <w:sectPr w:rsidR="00640B29" w:rsidRPr="00456379">
      <w:endnotePr>
        <w:numFmt w:val="decimal"/>
      </w:endnotePr>
      <w:type w:val="continuous"/>
      <w:pgSz w:w="11900" w:h="16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17AF" w14:textId="77777777" w:rsidR="00E21C09" w:rsidRDefault="00E21C09">
      <w:pPr>
        <w:spacing w:after="0" w:line="240" w:lineRule="auto"/>
      </w:pPr>
      <w:r>
        <w:separator/>
      </w:r>
    </w:p>
  </w:endnote>
  <w:endnote w:type="continuationSeparator" w:id="0">
    <w:p w14:paraId="76E2BFF6" w14:textId="77777777" w:rsidR="00E21C09" w:rsidRDefault="00E2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Bold">
    <w:altName w:val="Sylfaen"/>
    <w:charset w:val="00"/>
    <w:family w:val="auto"/>
    <w:pitch w:val="variable"/>
    <w:sig w:usb0="E50002FF" w:usb1="500079DB" w:usb2="0000101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Italic">
    <w:altName w:val="Sylfaen"/>
    <w:charset w:val="00"/>
    <w:family w:val="auto"/>
    <w:pitch w:val="variable"/>
    <w:sig w:usb0="E50002FF" w:usb1="500079DB" w:usb2="0000101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111C" w14:textId="77777777" w:rsidR="00640B29" w:rsidRDefault="00640B29">
    <w:pPr>
      <w:pStyle w:val="Body0"/>
    </w:pPr>
  </w:p>
  <w:p w14:paraId="2E471F16" w14:textId="77777777" w:rsidR="00640B29" w:rsidRDefault="00640B29">
    <w:pPr>
      <w:pStyle w:val="Body0"/>
    </w:pPr>
  </w:p>
  <w:p w14:paraId="79806681" w14:textId="77777777" w:rsidR="00640B29" w:rsidRDefault="00640B29">
    <w:pPr>
      <w:pStyle w:val="Body0"/>
    </w:pPr>
  </w:p>
  <w:p w14:paraId="4DE9690F" w14:textId="77777777" w:rsidR="00640B29" w:rsidRDefault="00117048">
    <w:pPr>
      <w:pStyle w:val="Body0"/>
      <w:jc w:val="center"/>
    </w:pP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D959" w14:textId="77777777" w:rsidR="00640B29" w:rsidRDefault="00640B29">
    <w:pPr>
      <w:pStyle w:val="Body0"/>
    </w:pPr>
  </w:p>
  <w:p w14:paraId="1A43ED0C" w14:textId="77777777" w:rsidR="00640B29" w:rsidRDefault="00640B29">
    <w:pPr>
      <w:pStyle w:val="Body0"/>
    </w:pPr>
  </w:p>
  <w:p w14:paraId="3AE9A44D" w14:textId="77777777" w:rsidR="00640B29" w:rsidRDefault="00640B29">
    <w:pPr>
      <w:pStyle w:val="Body0"/>
    </w:pPr>
  </w:p>
  <w:p w14:paraId="3050E7A1" w14:textId="5791D3EF" w:rsidR="00640B29" w:rsidRDefault="00117048">
    <w:pPr>
      <w:pStyle w:val="Body0"/>
      <w:jc w:val="center"/>
    </w:pPr>
    <w:r>
      <w:fldChar w:fldCharType="begin"/>
    </w:r>
    <w:r>
      <w:instrText xml:space="preserve"> PAGE </w:instrText>
    </w:r>
    <w:r>
      <w:fldChar w:fldCharType="separate"/>
    </w:r>
    <w:r w:rsidR="007536B9">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97CE" w14:textId="77777777" w:rsidR="00640B29" w:rsidRDefault="00640B2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C937" w14:textId="77777777" w:rsidR="00E21C09" w:rsidRDefault="00E21C09">
      <w:pPr>
        <w:spacing w:after="0" w:line="240" w:lineRule="auto"/>
      </w:pPr>
      <w:r>
        <w:separator/>
      </w:r>
    </w:p>
  </w:footnote>
  <w:footnote w:type="continuationSeparator" w:id="0">
    <w:p w14:paraId="6C98CCFA" w14:textId="77777777" w:rsidR="00E21C09" w:rsidRDefault="00E21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179" w14:textId="77777777" w:rsidR="00640B29" w:rsidRDefault="00640B2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B7AE" w14:textId="77777777" w:rsidR="00640B29" w:rsidRDefault="00640B29">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56CD" w14:textId="77777777" w:rsidR="00640B29" w:rsidRDefault="00640B2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E4091"/>
    <w:multiLevelType w:val="multilevel"/>
    <w:tmpl w:val="9AE6F8D0"/>
    <w:lvl w:ilvl="0">
      <w:start w:val="1"/>
      <w:numFmt w:val="bullet"/>
      <w:lvlText w:val="•"/>
      <w:lvlJc w:val="left"/>
      <w:pPr>
        <w:ind w:left="18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1">
      <w:start w:val="1"/>
      <w:numFmt w:val="bullet"/>
      <w:lvlText w:val="•"/>
      <w:lvlJc w:val="left"/>
      <w:pPr>
        <w:ind w:left="36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2">
      <w:start w:val="1"/>
      <w:numFmt w:val="bullet"/>
      <w:lvlText w:val="•"/>
      <w:lvlJc w:val="left"/>
      <w:pPr>
        <w:ind w:left="54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3">
      <w:start w:val="1"/>
      <w:numFmt w:val="bullet"/>
      <w:lvlText w:val="•"/>
      <w:lvlJc w:val="left"/>
      <w:pPr>
        <w:ind w:left="72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4">
      <w:start w:val="1"/>
      <w:numFmt w:val="bullet"/>
      <w:lvlText w:val="•"/>
      <w:lvlJc w:val="left"/>
      <w:pPr>
        <w:ind w:left="90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5">
      <w:start w:val="1"/>
      <w:numFmt w:val="bullet"/>
      <w:lvlText w:val="•"/>
      <w:lvlJc w:val="left"/>
      <w:pPr>
        <w:ind w:left="108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6">
      <w:start w:val="1"/>
      <w:numFmt w:val="bullet"/>
      <w:lvlText w:val="•"/>
      <w:lvlJc w:val="left"/>
      <w:pPr>
        <w:ind w:left="126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7">
      <w:start w:val="1"/>
      <w:numFmt w:val="bullet"/>
      <w:lvlText w:val="•"/>
      <w:lvlJc w:val="left"/>
      <w:pPr>
        <w:ind w:left="144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lvl w:ilvl="8">
      <w:start w:val="1"/>
      <w:numFmt w:val="bullet"/>
      <w:lvlText w:val="•"/>
      <w:lvlJc w:val="left"/>
      <w:pPr>
        <w:ind w:left="1620" w:hanging="180"/>
      </w:pPr>
      <w:rPr>
        <w:rFonts w:ascii="Helvetica Neue Bold" w:hAnsi="Helvetica Neue Bold" w:cs="Helvetica Neue Bold"/>
        <w:b/>
        <w:bCs/>
        <w:i w:val="0"/>
        <w:iCs w:val="0"/>
        <w:caps w:val="0"/>
        <w:smallCaps w:val="0"/>
        <w:strike w:val="0"/>
        <w:dstrike w:val="0"/>
        <w:color w:val="000000"/>
        <w:spacing w:val="0"/>
        <w:position w:val="0"/>
        <w:sz w:val="22"/>
        <w:szCs w:val="22"/>
        <w:u w:val="none"/>
        <w:shd w:val="clear" w:color="auto" w:fill="auto"/>
        <w:vertAlign w:val="baseline"/>
        <w14:ligatures w14:val="standardContextual"/>
      </w:rPr>
    </w:lvl>
  </w:abstractNum>
  <w:num w:numId="1" w16cid:durableId="63583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B29"/>
    <w:rsid w:val="0009427B"/>
    <w:rsid w:val="000A7651"/>
    <w:rsid w:val="000E2839"/>
    <w:rsid w:val="0010761C"/>
    <w:rsid w:val="00117048"/>
    <w:rsid w:val="0021493A"/>
    <w:rsid w:val="00352960"/>
    <w:rsid w:val="00456379"/>
    <w:rsid w:val="00635D78"/>
    <w:rsid w:val="00640B29"/>
    <w:rsid w:val="007136E1"/>
    <w:rsid w:val="007536B9"/>
    <w:rsid w:val="007644DF"/>
    <w:rsid w:val="00864C28"/>
    <w:rsid w:val="00906D7F"/>
    <w:rsid w:val="00A926BF"/>
    <w:rsid w:val="00AA68DB"/>
    <w:rsid w:val="00AE1018"/>
    <w:rsid w:val="00E21C09"/>
    <w:rsid w:val="00EB095E"/>
    <w:rsid w:val="00ED2AA3"/>
    <w:rsid w:val="00F00DA1"/>
    <w:rsid w:val="00F106F4"/>
    <w:rsid w:val="00F9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39E7"/>
  <w15:docId w15:val="{497B20FF-7C0F-8D40-BFCF-11AAAD9B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imes New Roman" w:hAnsi="Helvetica Neue" w:cs="Helvetica Neue"/>
        <w:color w:val="000000"/>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
    <w:name w:val="Body"/>
    <w:link w:val="Body0"/>
    <w:qFormat/>
    <w:rPr>
      <w:rFonts w:ascii="Helvetica Neue" w:hAnsi="Helvetica Neue" w:cs="Helvetica Neue"/>
      <w:b w:val="0"/>
      <w:bCs w:val="0"/>
      <w:i w:val="0"/>
      <w:iCs w:val="0"/>
      <w:caps w:val="0"/>
      <w:smallCaps w:val="0"/>
      <w:strike w:val="0"/>
      <w:dstrike w:val="0"/>
      <w:color w:val="000000"/>
      <w:spacing w:val="0"/>
      <w:position w:val="0"/>
      <w:sz w:val="22"/>
      <w:szCs w:val="22"/>
      <w:u w:val="none"/>
      <w:shd w:val="clear" w:color="auto" w:fill="auto"/>
      <w:vertAlign w:val="baseline"/>
      <w14:ligatures w14:val="standardContextual"/>
    </w:rPr>
  </w:style>
  <w:style w:type="paragraph" w:customStyle="1" w:styleId="Parstyle">
    <w:name w:val="Par. style"/>
    <w:qFormat/>
    <w:pPr>
      <w:widowControl w:val="0"/>
      <w:suppressAutoHyphens/>
      <w:spacing w:after="0" w:line="240" w:lineRule="auto"/>
    </w:pPr>
  </w:style>
  <w:style w:type="character" w:customStyle="1" w:styleId="TimesNewRomanRegular12">
    <w:name w:val="Times New Roman Regular 12"/>
    <w:qFormat/>
    <w:rPr>
      <w:rFonts w:ascii="Times New Roman" w:hAnsi="Times New Roman" w:cs="Times New Roman"/>
      <w:b w:val="0"/>
      <w:bCs w:val="0"/>
      <w:i w:val="0"/>
      <w:iCs w:val="0"/>
      <w:caps w:val="0"/>
      <w:smallCaps w:val="0"/>
      <w:strike w:val="0"/>
      <w:dstrike w:val="0"/>
      <w:color w:val="000000"/>
      <w:spacing w:val="0"/>
      <w:position w:val="0"/>
      <w:sz w:val="24"/>
      <w:szCs w:val="24"/>
      <w:u w:val="none"/>
      <w:shd w:val="clear" w:color="auto" w:fill="auto"/>
      <w:vertAlign w:val="baseline"/>
      <w14:ligatures w14:val="standardContextual"/>
    </w:rPr>
  </w:style>
  <w:style w:type="paragraph" w:customStyle="1" w:styleId="BodyHIGHLIGHTED">
    <w:name w:val="Body HIGHLIGHTED"/>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before="220" w:after="0" w:line="360" w:lineRule="auto"/>
    </w:pPr>
  </w:style>
  <w:style w:type="paragraph" w:customStyle="1" w:styleId="HeaderFooter">
    <w:name w:val="Header &amp; Footer"/>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after="0" w:line="240" w:lineRule="auto"/>
      <w:jc w:val="center"/>
    </w:pPr>
  </w:style>
  <w:style w:type="paragraph" w:customStyle="1" w:styleId="Body0">
    <w:name w:val="Body"/>
    <w:link w:val="Body"/>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before="220" w:after="0" w:line="360" w:lineRule="auto"/>
    </w:pPr>
  </w:style>
  <w:style w:type="character" w:customStyle="1" w:styleId="HelveticaRegular12">
    <w:name w:val="Helvetica Regular 12"/>
    <w:qFormat/>
    <w:rPr>
      <w:rFonts w:ascii="Helvetica" w:hAnsi="Helvetica" w:cs="Helvetica"/>
      <w:b w:val="0"/>
      <w:bCs w:val="0"/>
      <w:i w:val="0"/>
      <w:iCs w:val="0"/>
      <w:caps w:val="0"/>
      <w:smallCaps w:val="0"/>
      <w:strike w:val="0"/>
      <w:dstrike w:val="0"/>
      <w:color w:val="000000"/>
      <w:spacing w:val="0"/>
      <w:position w:val="0"/>
      <w:sz w:val="24"/>
      <w:szCs w:val="24"/>
      <w:u w:val="none"/>
      <w:shd w:val="clear" w:color="auto" w:fill="auto"/>
      <w:vertAlign w:val="baseline"/>
      <w14:ligatures w14:val="standardContextual"/>
    </w:rPr>
  </w:style>
  <w:style w:type="character" w:styleId="LineNumber">
    <w:name w:val="line number"/>
    <w:basedOn w:val="DefaultParagraphFont"/>
    <w:uiPriority w:val="99"/>
    <w:semiHidden/>
    <w:unhideWhenUsed/>
    <w:rsid w:val="00713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988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34DEF9A8FC1541BA32E557993B475E" ma:contentTypeVersion="18" ma:contentTypeDescription="Create a new document." ma:contentTypeScope="" ma:versionID="538fbb32e8090aed9d11380f3c51caa5">
  <xsd:schema xmlns:xsd="http://www.w3.org/2001/XMLSchema" xmlns:xs="http://www.w3.org/2001/XMLSchema" xmlns:p="http://schemas.microsoft.com/office/2006/metadata/properties" xmlns:ns3="46117db0-41b1-4643-8f44-ffe669c95a10" xmlns:ns4="513934ed-f59d-4578-b9c4-0467b3a71c28" targetNamespace="http://schemas.microsoft.com/office/2006/metadata/properties" ma:root="true" ma:fieldsID="8f9982fe5d53aa3d5b2b8788bf7dc9f7" ns3:_="" ns4:_="">
    <xsd:import namespace="46117db0-41b1-4643-8f44-ffe669c95a10"/>
    <xsd:import namespace="513934ed-f59d-4578-b9c4-0467b3a71c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17db0-41b1-4643-8f44-ffe669c95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3934ed-f59d-4578-b9c4-0467b3a71c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6117db0-41b1-4643-8f44-ffe669c95a10" xsi:nil="true"/>
  </documentManagement>
</p:properties>
</file>

<file path=customXml/itemProps1.xml><?xml version="1.0" encoding="utf-8"?>
<ds:datastoreItem xmlns:ds="http://schemas.openxmlformats.org/officeDocument/2006/customXml" ds:itemID="{32938F8D-DDF5-4555-8077-498E211772C2}">
  <ds:schemaRefs>
    <ds:schemaRef ds:uri="http://schemas.microsoft.com/sharepoint/v3/contenttype/forms"/>
  </ds:schemaRefs>
</ds:datastoreItem>
</file>

<file path=customXml/itemProps2.xml><?xml version="1.0" encoding="utf-8"?>
<ds:datastoreItem xmlns:ds="http://schemas.openxmlformats.org/officeDocument/2006/customXml" ds:itemID="{311B53D9-A4C3-4A38-B20D-F80F2A19B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17db0-41b1-4643-8f44-ffe669c95a10"/>
    <ds:schemaRef ds:uri="513934ed-f59d-4578-b9c4-0467b3a71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42FC0-7768-42AB-A6E0-C62BB460B8BC}">
  <ds:schemaRefs>
    <ds:schemaRef ds:uri="http://schemas.microsoft.com/office/2006/metadata/properties"/>
    <ds:schemaRef ds:uri="http://schemas.microsoft.com/office/infopath/2007/PartnerControls"/>
    <ds:schemaRef ds:uri="46117db0-41b1-4643-8f44-ffe669c95a1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7146</Words>
  <Characters>40734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Saxton,Salli Y</dc:creator>
  <cp:lastModifiedBy>Pikett, Abby</cp:lastModifiedBy>
  <cp:revision>2</cp:revision>
  <dcterms:created xsi:type="dcterms:W3CDTF">2026-02-27T16:25:00Z</dcterms:created>
  <dcterms:modified xsi:type="dcterms:W3CDTF">2026-02-27T16:25:00Z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0x0101000134DEF9A8FC1541BA32E557993B475E</vt:lpwstr>
  </property>
</Properties>
</file>