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4DC80" w14:textId="77777777" w:rsidR="0086365F" w:rsidRDefault="00DF243A">
      <w:pPr>
        <w:pStyle w:val="Standard"/>
      </w:pPr>
      <w:r>
        <w:t>ISTRUZIONI per compilazione report trimestrale:</w:t>
      </w:r>
    </w:p>
    <w:p w14:paraId="5C1BDB80" w14:textId="77777777" w:rsidR="0086365F" w:rsidRDefault="0086365F">
      <w:pPr>
        <w:pStyle w:val="Standard"/>
      </w:pPr>
    </w:p>
    <w:p w14:paraId="33C09A26" w14:textId="77777777" w:rsidR="00557B0D" w:rsidRDefault="00557B0D">
      <w:pPr>
        <w:pStyle w:val="Standard"/>
      </w:pPr>
    </w:p>
    <w:p w14:paraId="7EE68176" w14:textId="77777777" w:rsidR="00557B0D" w:rsidRDefault="00557B0D">
      <w:pPr>
        <w:pStyle w:val="Standard"/>
      </w:pPr>
    </w:p>
    <w:p w14:paraId="6C018E04" w14:textId="77777777" w:rsidR="00AF7F88" w:rsidRDefault="00AF7F88">
      <w:pPr>
        <w:pStyle w:val="Standard"/>
      </w:pPr>
      <w:r>
        <w:t xml:space="preserve">Il report </w:t>
      </w:r>
      <w:r w:rsidR="00557B0D">
        <w:t>viene emesso entro 6 settimane dal termine del periodo di interesse.</w:t>
      </w:r>
    </w:p>
    <w:p w14:paraId="12B21CED" w14:textId="77777777" w:rsidR="00AF7F88" w:rsidRDefault="00AF7F88">
      <w:pPr>
        <w:pStyle w:val="Standard"/>
      </w:pPr>
    </w:p>
    <w:p w14:paraId="560C721C" w14:textId="77777777" w:rsidR="0086365F" w:rsidRDefault="00DF243A">
      <w:pPr>
        <w:pStyle w:val="Standard"/>
      </w:pPr>
      <w:r>
        <w:t>Il report trimestrale e annuale dell’unità clinica e di raccolta HPC-M conterrà le seguenti informazioni:</w:t>
      </w:r>
    </w:p>
    <w:p w14:paraId="368276FC" w14:textId="77777777" w:rsidR="0086365F" w:rsidRDefault="00DF243A">
      <w:pPr>
        <w:pStyle w:val="Standard"/>
        <w:numPr>
          <w:ilvl w:val="0"/>
          <w:numId w:val="1"/>
        </w:numPr>
      </w:pPr>
      <w:r>
        <w:t>Elenco dei pazienti trapiantati nei due anni precedenti utili alla valutazione degli indicatori, suddivisi in allogenici e autologi, con indicate le informazioni rilevanti per gli indicatori e gli eventi maggiori (in particolare gli eventi del periodo in considerazione nel report)</w:t>
      </w:r>
    </w:p>
    <w:p w14:paraId="461B8115" w14:textId="77777777" w:rsidR="0086365F" w:rsidRDefault="00DF243A">
      <w:pPr>
        <w:pStyle w:val="Standard"/>
        <w:numPr>
          <w:ilvl w:val="0"/>
          <w:numId w:val="1"/>
        </w:numPr>
      </w:pPr>
      <w:r>
        <w:t>Esito degli indicatori dell’unità clinica e loro conformità rispetto al valore soglia</w:t>
      </w:r>
    </w:p>
    <w:p w14:paraId="2833CCCF" w14:textId="77777777" w:rsidR="0086365F" w:rsidRDefault="00DF243A">
      <w:pPr>
        <w:pStyle w:val="Standard"/>
        <w:numPr>
          <w:ilvl w:val="0"/>
          <w:numId w:val="1"/>
        </w:numPr>
      </w:pPr>
      <w:r>
        <w:t>Elenco degli espianti eseguiti nel periodo di riferimento con indicate le informazioni rilevanti per gli indicatori</w:t>
      </w:r>
    </w:p>
    <w:p w14:paraId="6644F44B" w14:textId="77777777" w:rsidR="0086365F" w:rsidRDefault="00DF243A">
      <w:pPr>
        <w:pStyle w:val="Standard"/>
        <w:numPr>
          <w:ilvl w:val="0"/>
          <w:numId w:val="1"/>
        </w:numPr>
      </w:pPr>
      <w:r>
        <w:t xml:space="preserve">Esito degli indicatori dell’unità </w:t>
      </w:r>
      <w:r w:rsidR="001E1D29">
        <w:t>di raccolta HPC-M</w:t>
      </w:r>
      <w:r>
        <w:t xml:space="preserve"> e loro conformità rispetto al valore soglia</w:t>
      </w:r>
    </w:p>
    <w:p w14:paraId="7E5CCBF1" w14:textId="77777777" w:rsidR="0086365F" w:rsidRDefault="00DF243A">
      <w:pPr>
        <w:pStyle w:val="Standard"/>
        <w:numPr>
          <w:ilvl w:val="0"/>
          <w:numId w:val="1"/>
        </w:numPr>
      </w:pPr>
      <w:r>
        <w:t>Elenco dei documenti e accordi rivisti nel periodo di riferimento</w:t>
      </w:r>
    </w:p>
    <w:p w14:paraId="4908CF91" w14:textId="77777777" w:rsidR="0086365F" w:rsidRDefault="00DF243A">
      <w:pPr>
        <w:pStyle w:val="Standard"/>
        <w:numPr>
          <w:ilvl w:val="0"/>
          <w:numId w:val="1"/>
        </w:numPr>
      </w:pPr>
      <w:r>
        <w:t>Non conformità</w:t>
      </w:r>
      <w:r w:rsidR="006F7B79">
        <w:t xml:space="preserve">, </w:t>
      </w:r>
      <w:proofErr w:type="spellStart"/>
      <w:r w:rsidR="006F7B79">
        <w:t>adverse</w:t>
      </w:r>
      <w:proofErr w:type="spellEnd"/>
      <w:r w:rsidR="006F7B79">
        <w:t xml:space="preserve"> </w:t>
      </w:r>
      <w:proofErr w:type="spellStart"/>
      <w:r w:rsidR="006F7B79">
        <w:t>drug</w:t>
      </w:r>
      <w:proofErr w:type="spellEnd"/>
      <w:r w:rsidR="006F7B79">
        <w:t xml:space="preserve"> reactions</w:t>
      </w:r>
      <w:r>
        <w:t xml:space="preserve"> e </w:t>
      </w:r>
      <w:proofErr w:type="spellStart"/>
      <w:r>
        <w:t>incident</w:t>
      </w:r>
      <w:proofErr w:type="spellEnd"/>
      <w:r>
        <w:t xml:space="preserve"> registrati nel periodo di riferimento</w:t>
      </w:r>
    </w:p>
    <w:p w14:paraId="720FC09E" w14:textId="77777777" w:rsidR="006F7B79" w:rsidRDefault="006F7B79">
      <w:pPr>
        <w:pStyle w:val="Standard"/>
        <w:numPr>
          <w:ilvl w:val="0"/>
          <w:numId w:val="1"/>
        </w:numPr>
      </w:pPr>
      <w:r>
        <w:t>R</w:t>
      </w:r>
      <w:r>
        <w:rPr>
          <w:rFonts w:hint="eastAsia"/>
        </w:rPr>
        <w:t>e</w:t>
      </w:r>
      <w:r>
        <w:t>azioni avverse del prodotto cellulare</w:t>
      </w:r>
    </w:p>
    <w:p w14:paraId="615D7085" w14:textId="77777777" w:rsidR="006F7B79" w:rsidRDefault="006F7B79">
      <w:pPr>
        <w:pStyle w:val="Standard"/>
        <w:numPr>
          <w:ilvl w:val="0"/>
          <w:numId w:val="1"/>
        </w:numPr>
      </w:pPr>
      <w:r>
        <w:t>Reazione avverse trasfusionali</w:t>
      </w:r>
    </w:p>
    <w:p w14:paraId="58B29992" w14:textId="77777777" w:rsidR="0086365F" w:rsidRDefault="00DF243A">
      <w:pPr>
        <w:pStyle w:val="Standard"/>
        <w:numPr>
          <w:ilvl w:val="0"/>
          <w:numId w:val="1"/>
        </w:numPr>
      </w:pPr>
      <w:r>
        <w:t>Audit eseguiti nel periodo di riferimento</w:t>
      </w:r>
    </w:p>
    <w:p w14:paraId="56BA6E86" w14:textId="77777777" w:rsidR="00AF7F88" w:rsidRDefault="00AF7F88">
      <w:pPr>
        <w:pStyle w:val="Standard"/>
        <w:numPr>
          <w:ilvl w:val="0"/>
          <w:numId w:val="1"/>
        </w:numPr>
      </w:pPr>
      <w:r>
        <w:t>Obiettivi di miglioramento</w:t>
      </w:r>
    </w:p>
    <w:p w14:paraId="492EE784" w14:textId="77777777" w:rsidR="0086365F" w:rsidRDefault="0086365F">
      <w:pPr>
        <w:pStyle w:val="Standard"/>
      </w:pPr>
    </w:p>
    <w:p w14:paraId="27748ED1" w14:textId="77777777" w:rsidR="0086365F" w:rsidRDefault="00DF243A">
      <w:pPr>
        <w:pStyle w:val="Standard"/>
      </w:pPr>
      <w:r>
        <w:t>Considerata il volume dell’attività del centro trapianti, la rarità di alcuni eventi individuati dagli indicatori ed il lungo termine necessario perché questi eventi avvengano, per valutare gli indicatori si segue la seguente policy:</w:t>
      </w:r>
    </w:p>
    <w:p w14:paraId="3D97B5ED" w14:textId="77777777" w:rsidR="0086365F" w:rsidRDefault="00DF243A">
      <w:pPr>
        <w:pStyle w:val="Standard"/>
      </w:pPr>
      <w:r>
        <w:t>Report trimestrale:</w:t>
      </w:r>
    </w:p>
    <w:p w14:paraId="002B2250" w14:textId="77777777" w:rsidR="0086365F" w:rsidRDefault="00DF243A">
      <w:pPr>
        <w:pStyle w:val="Standard"/>
        <w:numPr>
          <w:ilvl w:val="0"/>
          <w:numId w:val="1"/>
        </w:numPr>
      </w:pPr>
      <w:r>
        <w:t>indicatori a 30 giorni dal TCSE: analisi dei pazienti che hanno raggiunto i 30 giorni post TCSE nel trimestre di riferimento e nel trimestre precedente</w:t>
      </w:r>
    </w:p>
    <w:p w14:paraId="11D0090B" w14:textId="77777777" w:rsidR="0086365F" w:rsidRDefault="00DF243A">
      <w:pPr>
        <w:pStyle w:val="Standard"/>
        <w:numPr>
          <w:ilvl w:val="0"/>
          <w:numId w:val="1"/>
        </w:numPr>
      </w:pPr>
      <w:r>
        <w:t>indicatori a 100 giorni dal TCSE: analisi dei pazienti che hanno raggiunto i 100 giorni post TCSE nel trimestre di riferimento e nel trimestre precedente</w:t>
      </w:r>
    </w:p>
    <w:p w14:paraId="74F7A464" w14:textId="77777777" w:rsidR="0086365F" w:rsidRDefault="00DF243A">
      <w:pPr>
        <w:pStyle w:val="Standard"/>
        <w:numPr>
          <w:ilvl w:val="0"/>
          <w:numId w:val="1"/>
        </w:numPr>
      </w:pPr>
      <w:r>
        <w:t>indicatori a 365 giorni dal TCSE: analisi dei pazienti che hanno raggiunto i 365 giorni post TCSE nel trimestre di riferimento e nel trimestre precedente</w:t>
      </w:r>
    </w:p>
    <w:p w14:paraId="5B6A7DC7" w14:textId="77777777" w:rsidR="0086365F" w:rsidRDefault="0086365F">
      <w:pPr>
        <w:pStyle w:val="Standard"/>
      </w:pPr>
    </w:p>
    <w:p w14:paraId="1F682B77" w14:textId="77777777" w:rsidR="0086365F" w:rsidRDefault="00DF243A">
      <w:pPr>
        <w:pStyle w:val="Standard"/>
      </w:pPr>
      <w:r>
        <w:t>Report annuale:</w:t>
      </w:r>
    </w:p>
    <w:p w14:paraId="7A58247B" w14:textId="77777777" w:rsidR="0086365F" w:rsidRDefault="00DF243A">
      <w:pPr>
        <w:pStyle w:val="Standard"/>
        <w:numPr>
          <w:ilvl w:val="0"/>
          <w:numId w:val="1"/>
        </w:numPr>
      </w:pPr>
      <w:r>
        <w:t xml:space="preserve">Nel report annuale vengono indicati anche il numero di procedure eseguite nel periodo di riferimento e valutate rispetto </w:t>
      </w:r>
      <w:proofErr w:type="gramStart"/>
      <w:r>
        <w:t>alle indicazione</w:t>
      </w:r>
      <w:proofErr w:type="gramEnd"/>
      <w:r>
        <w:t xml:space="preserve"> JACIE di volume minimo</w:t>
      </w:r>
    </w:p>
    <w:p w14:paraId="227C81FD" w14:textId="77777777" w:rsidR="0086365F" w:rsidRDefault="00DF243A">
      <w:pPr>
        <w:pStyle w:val="Standard"/>
        <w:numPr>
          <w:ilvl w:val="0"/>
          <w:numId w:val="1"/>
        </w:numPr>
      </w:pPr>
      <w:r>
        <w:t>indicatori a 30 giorni dal TCSE: analisi dei pazienti che hanno raggiunto i 30 giorni post TCSE nell’anno di riferimento</w:t>
      </w:r>
    </w:p>
    <w:p w14:paraId="1D9391C4" w14:textId="77777777" w:rsidR="0086365F" w:rsidRDefault="00DF243A">
      <w:pPr>
        <w:pStyle w:val="Standard"/>
        <w:numPr>
          <w:ilvl w:val="0"/>
          <w:numId w:val="1"/>
        </w:numPr>
      </w:pPr>
      <w:r>
        <w:t>indicatori a 100 giorni dal TCSE: analisi dei pazienti che hanno raggiunto i 100 giorni post TCSE nell’anno di riferimento</w:t>
      </w:r>
    </w:p>
    <w:p w14:paraId="414BD14A" w14:textId="77777777" w:rsidR="0086365F" w:rsidRDefault="00DF243A">
      <w:pPr>
        <w:pStyle w:val="Standard"/>
        <w:numPr>
          <w:ilvl w:val="0"/>
          <w:numId w:val="1"/>
        </w:numPr>
      </w:pPr>
      <w:r>
        <w:t>indicatori a 365 giorni dal TCSE: analisi dei pazienti che hanno raggiunto i 365 giorni post TCSE nell’anno di riferimento</w:t>
      </w:r>
    </w:p>
    <w:p w14:paraId="14A8C97F" w14:textId="77777777" w:rsidR="0086365F" w:rsidRDefault="0086365F">
      <w:pPr>
        <w:pStyle w:val="Standard"/>
      </w:pPr>
    </w:p>
    <w:p w14:paraId="2A46B6CC" w14:textId="77777777" w:rsidR="0086365F" w:rsidRDefault="00DF243A">
      <w:pPr>
        <w:pStyle w:val="Standard"/>
      </w:pPr>
      <w:r>
        <w:t>Diffusione</w:t>
      </w:r>
    </w:p>
    <w:p w14:paraId="75DF89A5" w14:textId="77777777" w:rsidR="0086365F" w:rsidRDefault="00DF243A">
      <w:pPr>
        <w:pStyle w:val="Standard"/>
      </w:pPr>
      <w:r>
        <w:t xml:space="preserve">Il report trimestrale viene diffuso via e-mail al direttore programma Unità clinica, direttore Unità Raccolta HPC-M, direttore PrTCSEPed, al personale medico e ai coordinatori infermieristici di DH e reparto. I direttori programma Unità </w:t>
      </w:r>
      <w:proofErr w:type="gramStart"/>
      <w:r>
        <w:t>clinica,  Unità</w:t>
      </w:r>
      <w:proofErr w:type="gramEnd"/>
      <w:r>
        <w:t xml:space="preserve"> Raccolta HPC-M e PrTCSEPed apporranno firma di presa visione sul documento.</w:t>
      </w:r>
    </w:p>
    <w:p w14:paraId="1BB08178" w14:textId="77777777" w:rsidR="005161FE" w:rsidRDefault="00DF243A">
      <w:pPr>
        <w:pStyle w:val="Standard"/>
      </w:pPr>
      <w:r>
        <w:lastRenderedPageBreak/>
        <w:t xml:space="preserve">Il documento verrà conservato a cura del QM dell’unità clinica e </w:t>
      </w:r>
      <w:proofErr w:type="spellStart"/>
      <w:r>
        <w:t>e</w:t>
      </w:r>
      <w:proofErr w:type="spellEnd"/>
      <w:r>
        <w:t xml:space="preserve"> unità raccolta HPC-M</w:t>
      </w:r>
      <w:r w:rsidR="005161FE">
        <w:t>.</w:t>
      </w:r>
      <w:r w:rsidR="005161FE">
        <w:rPr>
          <w:rFonts w:hint="eastAsia"/>
        </w:rPr>
        <w:br w:type="page"/>
      </w:r>
    </w:p>
    <w:p w14:paraId="5D639C1A" w14:textId="77777777" w:rsidR="005161FE" w:rsidRDefault="005161FE">
      <w:pPr>
        <w:pStyle w:val="Standard"/>
      </w:pPr>
      <w:r>
        <w:lastRenderedPageBreak/>
        <w:t>Periodo interesse</w:t>
      </w:r>
      <w:r w:rsidR="00BC1D23">
        <w:t xml:space="preserve"> report trimestrale</w:t>
      </w:r>
      <w:r>
        <w:t xml:space="preserve"> (data TCSE)</w:t>
      </w:r>
    </w:p>
    <w:tbl>
      <w:tblPr>
        <w:tblStyle w:val="TableGrid"/>
        <w:tblW w:w="0" w:type="auto"/>
        <w:tblLook w:val="04A0" w:firstRow="1" w:lastRow="0" w:firstColumn="1" w:lastColumn="0" w:noHBand="0" w:noVBand="1"/>
      </w:tblPr>
      <w:tblGrid>
        <w:gridCol w:w="2489"/>
        <w:gridCol w:w="2489"/>
        <w:gridCol w:w="2489"/>
        <w:gridCol w:w="2495"/>
      </w:tblGrid>
      <w:tr w:rsidR="005161FE" w14:paraId="2D0FD6EE" w14:textId="77777777" w:rsidTr="005161FE">
        <w:tc>
          <w:tcPr>
            <w:tcW w:w="2528" w:type="dxa"/>
          </w:tcPr>
          <w:p w14:paraId="51688489" w14:textId="77777777" w:rsidR="005161FE" w:rsidRDefault="005161FE">
            <w:pPr>
              <w:pStyle w:val="Standard"/>
            </w:pPr>
            <w:r>
              <w:t>Trimestre</w:t>
            </w:r>
          </w:p>
        </w:tc>
        <w:tc>
          <w:tcPr>
            <w:tcW w:w="2528" w:type="dxa"/>
          </w:tcPr>
          <w:p w14:paraId="31B1559C" w14:textId="77777777" w:rsidR="005161FE" w:rsidRDefault="005161FE">
            <w:pPr>
              <w:pStyle w:val="Standard"/>
            </w:pPr>
            <w:proofErr w:type="spellStart"/>
            <w:r>
              <w:rPr>
                <w:rFonts w:hint="eastAsia"/>
              </w:rPr>
              <w:t>O</w:t>
            </w:r>
            <w:r>
              <w:t>utcome</w:t>
            </w:r>
            <w:proofErr w:type="spellEnd"/>
            <w:r>
              <w:t xml:space="preserve"> a 30 giorni</w:t>
            </w:r>
          </w:p>
        </w:tc>
        <w:tc>
          <w:tcPr>
            <w:tcW w:w="2528" w:type="dxa"/>
          </w:tcPr>
          <w:p w14:paraId="7B2E1357" w14:textId="77777777" w:rsidR="005161FE" w:rsidRDefault="005161FE">
            <w:pPr>
              <w:pStyle w:val="Standard"/>
            </w:pPr>
            <w:proofErr w:type="spellStart"/>
            <w:r>
              <w:rPr>
                <w:rFonts w:hint="eastAsia"/>
              </w:rPr>
              <w:t>O</w:t>
            </w:r>
            <w:r>
              <w:t>utcome</w:t>
            </w:r>
            <w:proofErr w:type="spellEnd"/>
            <w:r>
              <w:t xml:space="preserve"> a 100 giorni</w:t>
            </w:r>
          </w:p>
        </w:tc>
        <w:tc>
          <w:tcPr>
            <w:tcW w:w="2528" w:type="dxa"/>
          </w:tcPr>
          <w:p w14:paraId="31A8F05C" w14:textId="77777777" w:rsidR="005161FE" w:rsidRDefault="005161FE">
            <w:pPr>
              <w:pStyle w:val="Standard"/>
            </w:pPr>
            <w:proofErr w:type="spellStart"/>
            <w:r>
              <w:rPr>
                <w:rFonts w:hint="eastAsia"/>
              </w:rPr>
              <w:t>O</w:t>
            </w:r>
            <w:r>
              <w:t>utcome</w:t>
            </w:r>
            <w:proofErr w:type="spellEnd"/>
            <w:r>
              <w:t xml:space="preserve"> a 365 giorni</w:t>
            </w:r>
          </w:p>
          <w:p w14:paraId="3919C7B9" w14:textId="77777777" w:rsidR="005161FE" w:rsidRDefault="005161FE">
            <w:pPr>
              <w:pStyle w:val="Standard"/>
            </w:pPr>
            <w:r>
              <w:t>(anno precedente)</w:t>
            </w:r>
          </w:p>
        </w:tc>
      </w:tr>
      <w:tr w:rsidR="005161FE" w14:paraId="56528200" w14:textId="77777777" w:rsidTr="005161FE">
        <w:tc>
          <w:tcPr>
            <w:tcW w:w="2528" w:type="dxa"/>
          </w:tcPr>
          <w:p w14:paraId="53B53051" w14:textId="77777777" w:rsidR="005161FE" w:rsidRDefault="005161FE">
            <w:pPr>
              <w:pStyle w:val="Standard"/>
            </w:pPr>
            <w:r>
              <w:t>1 (01-03)</w:t>
            </w:r>
          </w:p>
        </w:tc>
        <w:tc>
          <w:tcPr>
            <w:tcW w:w="2528" w:type="dxa"/>
          </w:tcPr>
          <w:p w14:paraId="690B74AE" w14:textId="77777777" w:rsidR="005161FE" w:rsidRDefault="005161FE">
            <w:pPr>
              <w:pStyle w:val="Standard"/>
            </w:pPr>
            <w:r>
              <w:t xml:space="preserve">01/09 </w:t>
            </w:r>
            <w:r>
              <w:sym w:font="Wingdings" w:char="F0E0"/>
            </w:r>
            <w:r>
              <w:t xml:space="preserve"> 28/02 </w:t>
            </w:r>
          </w:p>
        </w:tc>
        <w:tc>
          <w:tcPr>
            <w:tcW w:w="2528" w:type="dxa"/>
          </w:tcPr>
          <w:p w14:paraId="77882E92" w14:textId="77777777" w:rsidR="005161FE" w:rsidRDefault="005161FE">
            <w:pPr>
              <w:pStyle w:val="Standard"/>
            </w:pPr>
            <w:r>
              <w:t xml:space="preserve">01/07 </w:t>
            </w:r>
            <w:r>
              <w:sym w:font="Wingdings" w:char="F0E0"/>
            </w:r>
            <w:r>
              <w:t xml:space="preserve"> 31/12</w:t>
            </w:r>
          </w:p>
        </w:tc>
        <w:tc>
          <w:tcPr>
            <w:tcW w:w="2528" w:type="dxa"/>
          </w:tcPr>
          <w:p w14:paraId="3E6F7E71" w14:textId="77777777" w:rsidR="005161FE" w:rsidRDefault="005161FE">
            <w:pPr>
              <w:pStyle w:val="Standard"/>
            </w:pPr>
            <w:r>
              <w:t xml:space="preserve">01/10 </w:t>
            </w:r>
            <w:r>
              <w:sym w:font="Wingdings" w:char="F0E0"/>
            </w:r>
            <w:r>
              <w:t xml:space="preserve"> 30/03</w:t>
            </w:r>
          </w:p>
        </w:tc>
      </w:tr>
      <w:tr w:rsidR="005161FE" w14:paraId="46FCBA2D" w14:textId="77777777" w:rsidTr="000739E2">
        <w:tc>
          <w:tcPr>
            <w:tcW w:w="2528" w:type="dxa"/>
            <w:shd w:val="clear" w:color="auto" w:fill="FFFF00"/>
          </w:tcPr>
          <w:p w14:paraId="365228BF" w14:textId="77777777" w:rsidR="005161FE" w:rsidRDefault="005161FE">
            <w:pPr>
              <w:pStyle w:val="Standard"/>
            </w:pPr>
            <w:r>
              <w:t>2 (04-06)</w:t>
            </w:r>
          </w:p>
        </w:tc>
        <w:tc>
          <w:tcPr>
            <w:tcW w:w="2528" w:type="dxa"/>
            <w:shd w:val="clear" w:color="auto" w:fill="FFFF00"/>
          </w:tcPr>
          <w:p w14:paraId="08F1ECB3" w14:textId="77777777" w:rsidR="005161FE" w:rsidRDefault="005161FE">
            <w:pPr>
              <w:pStyle w:val="Standard"/>
            </w:pPr>
            <w:r>
              <w:t xml:space="preserve">01/12 </w:t>
            </w:r>
            <w:r>
              <w:sym w:font="Wingdings" w:char="F0E0"/>
            </w:r>
            <w:r>
              <w:t xml:space="preserve"> 31/05</w:t>
            </w:r>
          </w:p>
        </w:tc>
        <w:tc>
          <w:tcPr>
            <w:tcW w:w="2528" w:type="dxa"/>
            <w:shd w:val="clear" w:color="auto" w:fill="FFFF00"/>
          </w:tcPr>
          <w:p w14:paraId="4412432D" w14:textId="77777777" w:rsidR="005161FE" w:rsidRDefault="005161FE">
            <w:pPr>
              <w:pStyle w:val="Standard"/>
            </w:pPr>
            <w:r>
              <w:t xml:space="preserve">01/10 </w:t>
            </w:r>
            <w:r>
              <w:sym w:font="Wingdings" w:char="F0E0"/>
            </w:r>
            <w:r>
              <w:t xml:space="preserve"> 31/03</w:t>
            </w:r>
          </w:p>
        </w:tc>
        <w:tc>
          <w:tcPr>
            <w:tcW w:w="2528" w:type="dxa"/>
            <w:shd w:val="clear" w:color="auto" w:fill="FFFF00"/>
          </w:tcPr>
          <w:p w14:paraId="0BA7FF60" w14:textId="77777777" w:rsidR="005161FE" w:rsidRDefault="005161FE">
            <w:pPr>
              <w:pStyle w:val="Standard"/>
            </w:pPr>
            <w:r>
              <w:t xml:space="preserve">01/01 </w:t>
            </w:r>
            <w:r>
              <w:sym w:font="Wingdings" w:char="F0E0"/>
            </w:r>
            <w:r>
              <w:t xml:space="preserve"> 30/06</w:t>
            </w:r>
          </w:p>
        </w:tc>
      </w:tr>
      <w:tr w:rsidR="005161FE" w14:paraId="1F05652B" w14:textId="77777777" w:rsidTr="000739E2">
        <w:tc>
          <w:tcPr>
            <w:tcW w:w="2528" w:type="dxa"/>
            <w:shd w:val="clear" w:color="auto" w:fill="D99594" w:themeFill="accent2" w:themeFillTint="99"/>
          </w:tcPr>
          <w:p w14:paraId="687F21F1" w14:textId="77777777" w:rsidR="005161FE" w:rsidRDefault="005161FE">
            <w:pPr>
              <w:pStyle w:val="Standard"/>
            </w:pPr>
            <w:r>
              <w:t>3 (07-09)</w:t>
            </w:r>
          </w:p>
        </w:tc>
        <w:tc>
          <w:tcPr>
            <w:tcW w:w="2528" w:type="dxa"/>
            <w:shd w:val="clear" w:color="auto" w:fill="D99594" w:themeFill="accent2" w:themeFillTint="99"/>
          </w:tcPr>
          <w:p w14:paraId="70461355" w14:textId="77777777" w:rsidR="005161FE" w:rsidRDefault="005161FE">
            <w:pPr>
              <w:pStyle w:val="Standard"/>
            </w:pPr>
            <w:r>
              <w:t xml:space="preserve">01/03 </w:t>
            </w:r>
            <w:r>
              <w:sym w:font="Wingdings" w:char="F0E0"/>
            </w:r>
            <w:r>
              <w:t xml:space="preserve"> 31/08</w:t>
            </w:r>
          </w:p>
        </w:tc>
        <w:tc>
          <w:tcPr>
            <w:tcW w:w="2528" w:type="dxa"/>
            <w:shd w:val="clear" w:color="auto" w:fill="D99594" w:themeFill="accent2" w:themeFillTint="99"/>
          </w:tcPr>
          <w:p w14:paraId="4B609C97" w14:textId="77777777" w:rsidR="005161FE" w:rsidRDefault="005161FE">
            <w:pPr>
              <w:pStyle w:val="Standard"/>
            </w:pPr>
            <w:r>
              <w:t xml:space="preserve">01/01 </w:t>
            </w:r>
            <w:r>
              <w:sym w:font="Wingdings" w:char="F0E0"/>
            </w:r>
            <w:r>
              <w:t xml:space="preserve"> 30/06</w:t>
            </w:r>
          </w:p>
        </w:tc>
        <w:tc>
          <w:tcPr>
            <w:tcW w:w="2528" w:type="dxa"/>
            <w:shd w:val="clear" w:color="auto" w:fill="D99594" w:themeFill="accent2" w:themeFillTint="99"/>
          </w:tcPr>
          <w:p w14:paraId="5464184F" w14:textId="77777777" w:rsidR="005161FE" w:rsidRDefault="005161FE">
            <w:pPr>
              <w:pStyle w:val="Standard"/>
            </w:pPr>
            <w:r>
              <w:t xml:space="preserve">01/04 </w:t>
            </w:r>
            <w:r>
              <w:sym w:font="Wingdings" w:char="F0E0"/>
            </w:r>
            <w:r>
              <w:t xml:space="preserve"> 30/09</w:t>
            </w:r>
          </w:p>
        </w:tc>
      </w:tr>
      <w:tr w:rsidR="005161FE" w14:paraId="6BF831D7" w14:textId="77777777" w:rsidTr="000739E2">
        <w:tc>
          <w:tcPr>
            <w:tcW w:w="2528" w:type="dxa"/>
            <w:shd w:val="clear" w:color="auto" w:fill="00B0F0"/>
          </w:tcPr>
          <w:p w14:paraId="2D06EDA0" w14:textId="77777777" w:rsidR="005161FE" w:rsidRDefault="005161FE">
            <w:pPr>
              <w:pStyle w:val="Standard"/>
            </w:pPr>
            <w:r>
              <w:t>4 (10-12)</w:t>
            </w:r>
          </w:p>
        </w:tc>
        <w:tc>
          <w:tcPr>
            <w:tcW w:w="2528" w:type="dxa"/>
            <w:shd w:val="clear" w:color="auto" w:fill="00B0F0"/>
          </w:tcPr>
          <w:p w14:paraId="7DD6E624" w14:textId="77777777" w:rsidR="005161FE" w:rsidRDefault="005161FE">
            <w:pPr>
              <w:pStyle w:val="Standard"/>
            </w:pPr>
            <w:r>
              <w:t xml:space="preserve">01/06 </w:t>
            </w:r>
            <w:r>
              <w:sym w:font="Wingdings" w:char="F0E0"/>
            </w:r>
            <w:r>
              <w:t xml:space="preserve"> 30/11</w:t>
            </w:r>
          </w:p>
        </w:tc>
        <w:tc>
          <w:tcPr>
            <w:tcW w:w="2528" w:type="dxa"/>
            <w:shd w:val="clear" w:color="auto" w:fill="00B0F0"/>
          </w:tcPr>
          <w:p w14:paraId="3847FD2C" w14:textId="77777777" w:rsidR="005161FE" w:rsidRDefault="005161FE">
            <w:pPr>
              <w:pStyle w:val="Standard"/>
            </w:pPr>
            <w:r>
              <w:t xml:space="preserve">01/04 </w:t>
            </w:r>
            <w:r>
              <w:sym w:font="Wingdings" w:char="F0E0"/>
            </w:r>
            <w:r>
              <w:t xml:space="preserve"> 30/09</w:t>
            </w:r>
          </w:p>
        </w:tc>
        <w:tc>
          <w:tcPr>
            <w:tcW w:w="2528" w:type="dxa"/>
            <w:shd w:val="clear" w:color="auto" w:fill="00B0F0"/>
          </w:tcPr>
          <w:p w14:paraId="3CC851D5" w14:textId="77777777" w:rsidR="005161FE" w:rsidRDefault="005161FE">
            <w:pPr>
              <w:pStyle w:val="Standard"/>
            </w:pPr>
            <w:r>
              <w:t xml:space="preserve">01/07 </w:t>
            </w:r>
            <w:r>
              <w:sym w:font="Wingdings" w:char="F0E0"/>
            </w:r>
            <w:r>
              <w:t xml:space="preserve"> 31/12</w:t>
            </w:r>
          </w:p>
        </w:tc>
      </w:tr>
    </w:tbl>
    <w:p w14:paraId="2B9D00AA" w14:textId="77777777" w:rsidR="005161FE" w:rsidRDefault="005161FE">
      <w:pPr>
        <w:pStyle w:val="Standard"/>
      </w:pPr>
    </w:p>
    <w:sectPr w:rsidR="005161FE">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5328A" w14:textId="77777777" w:rsidR="0058234D" w:rsidRDefault="0058234D">
      <w:r>
        <w:separator/>
      </w:r>
    </w:p>
  </w:endnote>
  <w:endnote w:type="continuationSeparator" w:id="0">
    <w:p w14:paraId="09172FE9" w14:textId="77777777" w:rsidR="0058234D" w:rsidRDefault="00582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panose1 w:val="020B0604020202020204"/>
    <w:charset w:val="00"/>
    <w:family w:val="auto"/>
    <w:pitch w:val="variable"/>
    <w:sig w:usb0="800000AF" w:usb1="1001ECEA" w:usb2="00000000" w:usb3="00000000" w:csb0="80000001" w:csb1="00000000"/>
  </w:font>
  <w:font w:name="Liberation Serif">
    <w:altName w:val="Times New Roman"/>
    <w:panose1 w:val="020B06040202020202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28642" w14:textId="77777777" w:rsidR="0058234D" w:rsidRDefault="0058234D">
      <w:r>
        <w:rPr>
          <w:color w:val="000000"/>
        </w:rPr>
        <w:separator/>
      </w:r>
    </w:p>
  </w:footnote>
  <w:footnote w:type="continuationSeparator" w:id="0">
    <w:p w14:paraId="20443858" w14:textId="77777777" w:rsidR="0058234D" w:rsidRDefault="005823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94435"/>
    <w:multiLevelType w:val="multilevel"/>
    <w:tmpl w:val="CE9EFC5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num w:numId="1" w16cid:durableId="405034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9"/>
  <w:autoHyphenation/>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bcwMrAwMTA2NrMwNjRT0lEKTi0uzszPAykwqgUAV/i7oiwAAAA="/>
  </w:docVars>
  <w:rsids>
    <w:rsidRoot w:val="0086365F"/>
    <w:rsid w:val="000739E2"/>
    <w:rsid w:val="001E1D29"/>
    <w:rsid w:val="005066C9"/>
    <w:rsid w:val="005161FE"/>
    <w:rsid w:val="00557B0D"/>
    <w:rsid w:val="00570109"/>
    <w:rsid w:val="0058234D"/>
    <w:rsid w:val="006F7B79"/>
    <w:rsid w:val="007811A5"/>
    <w:rsid w:val="0086365F"/>
    <w:rsid w:val="008A3A53"/>
    <w:rsid w:val="00966E9C"/>
    <w:rsid w:val="00A70324"/>
    <w:rsid w:val="00AF7F88"/>
    <w:rsid w:val="00BC1D23"/>
    <w:rsid w:val="00C54321"/>
    <w:rsid w:val="00CB748D"/>
    <w:rsid w:val="00CE5B91"/>
    <w:rsid w:val="00DF243A"/>
    <w:rsid w:val="00F20D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B54AF"/>
  <w15:docId w15:val="{D8E3E4E1-F886-4E03-B1AF-094277DC4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3"/>
        <w:sz w:val="24"/>
        <w:szCs w:val="24"/>
        <w:lang w:val="it-IT"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BulletSymbols">
    <w:name w:val="Bullet Symbols"/>
    <w:rPr>
      <w:rFonts w:ascii="OpenSymbol" w:eastAsia="OpenSymbol" w:hAnsi="OpenSymbol" w:cs="OpenSymbol"/>
    </w:rPr>
  </w:style>
  <w:style w:type="table" w:styleId="TableGrid">
    <w:name w:val="Table Grid"/>
    <w:basedOn w:val="TableNormal"/>
    <w:uiPriority w:val="59"/>
    <w:unhideWhenUsed/>
    <w:rsid w:val="005161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4321"/>
    <w:rPr>
      <w:rFonts w:ascii="Segoe UI" w:hAnsi="Segoe UI"/>
      <w:sz w:val="18"/>
      <w:szCs w:val="16"/>
    </w:rPr>
  </w:style>
  <w:style w:type="character" w:customStyle="1" w:styleId="BalloonTextChar">
    <w:name w:val="Balloon Text Char"/>
    <w:basedOn w:val="DefaultParagraphFont"/>
    <w:link w:val="BalloonText"/>
    <w:uiPriority w:val="99"/>
    <w:semiHidden/>
    <w:rsid w:val="00C54321"/>
    <w:rPr>
      <w:rFonts w:ascii="Segoe UI" w:hAnsi="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471</Words>
  <Characters>2685</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Toni</dc:creator>
  <cp:lastModifiedBy>Russell Edward Lewis</cp:lastModifiedBy>
  <cp:revision>2</cp:revision>
  <dcterms:created xsi:type="dcterms:W3CDTF">2026-01-21T09:10:00Z</dcterms:created>
  <dcterms:modified xsi:type="dcterms:W3CDTF">2026-01-21T09:10:00Z</dcterms:modified>
</cp:coreProperties>
</file>