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14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Adjunctive echinocandin plus TMP-SMX versus TMP-SMX monotherapy for Pneumocystis pneumonia in HIV-negative adults: an interim Bayesian meta-analysis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✔ dplyr     1.2.1     ✔ readr     2.2.0</w:t>
      </w:r>
      <w:r>
        <w:br/>
      </w:r>
      <w:r>
        <w:rPr>
          <w:rStyle w:val="VerbatimChar"/>
        </w:rPr>
        <w:t xml:space="preserve">✔ forcats   1.0.1     ✔ stringr   1.6.0</w:t>
      </w:r>
      <w:r>
        <w:br/>
      </w:r>
      <w:r>
        <w:rPr>
          <w:rStyle w:val="VerbatimChar"/>
        </w:rPr>
        <w:t xml:space="preserve">✔ ggplot2   4.0.3     ✔ tibble    3.3.1</w:t>
      </w:r>
      <w:r>
        <w:br/>
      </w:r>
      <w:r>
        <w:rPr>
          <w:rStyle w:val="VerbatimChar"/>
        </w:rPr>
        <w:t xml:space="preserve">✔ lubridate 1.9.5     ✔ tidyr     1.3.2</w:t>
      </w:r>
      <w:r>
        <w:br/>
      </w:r>
      <w:r>
        <w:rPr>
          <w:rStyle w:val="VerbatimChar"/>
        </w:rPr>
        <w:t xml:space="preserve">✔ purrr     1.2.2     </w:t>
      </w:r>
      <w:r>
        <w:br/>
      </w:r>
      <w:r>
        <w:rPr>
          <w:rStyle w:val="VerbatimChar"/>
        </w:rPr>
        <w:t xml:space="preserve">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✖ dplyr::filter() masks stats::filter()</w:t>
      </w:r>
      <w:r>
        <w:br/>
      </w:r>
      <w:r>
        <w:rPr>
          <w:rStyle w:val="VerbatimChar"/>
        </w:rPr>
        <w:t xml:space="preserve">✖ dplyr::lag()    masks stats::lag()</w:t>
      </w:r>
      <w:r>
        <w:br/>
      </w:r>
      <w:r>
        <w:rPr>
          <w:rStyle w:val="VerbatimChar"/>
        </w:rPr>
        <w:t xml:space="preserve">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(metafor)</w:t>
      </w:r>
    </w:p>
    <w:p>
      <w:pPr>
        <w:pStyle w:val="SourceCode"/>
      </w:pPr>
      <w:r>
        <w:rPr>
          <w:rStyle w:val="VerbatimChar"/>
        </w:rPr>
        <w:t xml:space="preserve">Loading required package: Matrix</w:t>
      </w:r>
      <w:r>
        <w:br/>
      </w:r>
      <w:r>
        <w:br/>
      </w:r>
      <w:r>
        <w:rPr>
          <w:rStyle w:val="VerbatimChar"/>
        </w:rPr>
        <w:t xml:space="preserve">Attaching package: 'Matrix'</w:t>
      </w:r>
      <w:r>
        <w:br/>
      </w:r>
      <w:r>
        <w:br/>
      </w:r>
      <w:r>
        <w:rPr>
          <w:rStyle w:val="VerbatimChar"/>
        </w:rPr>
        <w:t xml:space="preserve">The following objects are masked from 'package:tidyr':</w:t>
      </w:r>
      <w:r>
        <w:br/>
      </w:r>
      <w:r>
        <w:br/>
      </w:r>
      <w:r>
        <w:rPr>
          <w:rStyle w:val="VerbatimChar"/>
        </w:rPr>
        <w:t xml:space="preserve">    expand, pack, unpack</w:t>
      </w:r>
      <w:r>
        <w:br/>
      </w:r>
      <w:r>
        <w:br/>
      </w:r>
      <w:r>
        <w:rPr>
          <w:rStyle w:val="VerbatimChar"/>
        </w:rPr>
        <w:t xml:space="preserve">Loading required package: metadat</w:t>
      </w:r>
      <w:r>
        <w:br/>
      </w:r>
      <w:r>
        <w:rPr>
          <w:rStyle w:val="VerbatimChar"/>
        </w:rPr>
        <w:t xml:space="preserve">Loading required package: numDeriv</w:t>
      </w:r>
      <w:r>
        <w:br/>
      </w:r>
      <w:r>
        <w:br/>
      </w:r>
      <w:r>
        <w:rPr>
          <w:rStyle w:val="VerbatimChar"/>
        </w:rPr>
        <w:t xml:space="preserve">Loading the 'metafor' package (version 5.0-1). For an</w:t>
      </w:r>
      <w:r>
        <w:br/>
      </w:r>
      <w:r>
        <w:rPr>
          <w:rStyle w:val="VerbatimChar"/>
        </w:rPr>
        <w:t xml:space="preserve">introduction to the package please type: help(metafor)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(bayesmeta)</w:t>
      </w:r>
    </w:p>
    <w:p>
      <w:pPr>
        <w:pStyle w:val="SourceCode"/>
      </w:pPr>
      <w:r>
        <w:rPr>
          <w:rStyle w:val="VerbatimChar"/>
        </w:rPr>
        <w:t xml:space="preserve">Loading required package: forestplot</w:t>
      </w:r>
      <w:r>
        <w:br/>
      </w:r>
      <w:r>
        <w:rPr>
          <w:rStyle w:val="VerbatimChar"/>
        </w:rPr>
        <w:t xml:space="preserve">Loading required package: grid</w:t>
      </w:r>
      <w:r>
        <w:br/>
      </w:r>
      <w:r>
        <w:rPr>
          <w:rStyle w:val="VerbatimChar"/>
        </w:rPr>
        <w:t xml:space="preserve">Loading required package: checkmate</w:t>
      </w:r>
      <w:r>
        <w:br/>
      </w:r>
      <w:r>
        <w:rPr>
          <w:rStyle w:val="VerbatimChar"/>
        </w:rPr>
        <w:t xml:space="preserve">Loading required package: abind</w:t>
      </w:r>
      <w:r>
        <w:br/>
      </w:r>
      <w:r>
        <w:rPr>
          <w:rStyle w:val="VerbatimChar"/>
        </w:rPr>
        <w:t xml:space="preserve">Loading required package: mvtnorm</w:t>
      </w:r>
      <w:r>
        <w:br/>
      </w:r>
      <w:r>
        <w:br/>
      </w:r>
      <w:r>
        <w:rPr>
          <w:rStyle w:val="VerbatimChar"/>
        </w:rPr>
        <w:t xml:space="preserve">Attaching package: 'bayesmeta'</w:t>
      </w:r>
      <w:r>
        <w:br/>
      </w:r>
      <w:r>
        <w:br/>
      </w:r>
      <w:r>
        <w:rPr>
          <w:rStyle w:val="VerbatimChar"/>
        </w:rPr>
        <w:t xml:space="preserve">The following object is masked from 'package:stats':</w:t>
      </w:r>
      <w:r>
        <w:br/>
      </w:r>
      <w:r>
        <w:br/>
      </w:r>
      <w:r>
        <w:rPr>
          <w:rStyle w:val="VerbatimChar"/>
        </w:rPr>
        <w:t xml:space="preserve">    convolve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"analysis/jama_style.R"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Verified analysis dataset (source-checked counts). One row per study:</w:t>
      </w:r>
      <w:r>
        <w:br/>
      </w:r>
      <w:r>
        <w:rPr>
          <w:rStyle w:val="CommentTok"/>
        </w:rPr>
        <w:t xml:space="preserve"># combination (echinocandin) arm events/N and reference (monotherapy) arm events/N.</w:t>
      </w:r>
      <w:r>
        <w:br/>
      </w:r>
      <w:r>
        <w:rPr>
          <w:rStyle w:val="NormalTok"/>
        </w:rPr>
        <w:t xml:space="preserve">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"analysis/pcp_primary_meta_dataset.csv"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(study, tier, timing, timepoint, e_comb, n_comb, e_ref, n_ref)</w:t>
      </w:r>
      <w:r>
        <w:br/>
      </w:r>
      <w:r>
        <w:br/>
      </w:r>
      <w:r>
        <w:rPr>
          <w:rStyle w:val="CommentTok"/>
        </w:rPr>
        <w:t xml:space="preserve"># Recompute per-study log odds ratios from the raw counts (self-contained).</w:t>
      </w:r>
      <w:r>
        <w:br/>
      </w:r>
      <w:r>
        <w:rPr>
          <w:rStyle w:val="NormalTok"/>
        </w:rPr>
        <w:t xml:space="preserve">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escalc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measure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ai =</w:t>
      </w:r>
      <w:r>
        <w:rPr>
          <w:rStyle w:val="NormalTok"/>
        </w:rPr>
        <w:t xml:space="preserve"> e_comb, </w:t>
      </w:r>
      <w:r>
        <w:rPr>
          <w:rStyle w:val="AttributeTok"/>
        </w:rPr>
        <w:t xml:space="preserve">n1i =</w:t>
      </w:r>
      <w:r>
        <w:rPr>
          <w:rStyle w:val="NormalTok"/>
        </w:rPr>
        <w:t xml:space="preserve"> n_comb,   </w:t>
      </w:r>
      <w:r>
        <w:rPr>
          <w:rStyle w:val="CommentTok"/>
        </w:rPr>
        <w:t xml:space="preserve"># combination (echinocandin) arm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e_ref,  </w:t>
      </w:r>
      <w:r>
        <w:rPr>
          <w:rStyle w:val="AttributeTok"/>
        </w:rPr>
        <w:t xml:space="preserve">n2i =</w:t>
      </w:r>
      <w:r>
        <w:rPr>
          <w:rStyle w:val="NormalTok"/>
        </w:rPr>
        <w:t xml:space="preserve"> n_ref,    </w:t>
      </w:r>
      <w:r>
        <w:rPr>
          <w:rStyle w:val="CommentTok"/>
        </w:rPr>
        <w:t xml:space="preserve"># reference (monotherapy) arm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ma, </w:t>
      </w:r>
      <w:r>
        <w:rPr>
          <w:rStyle w:val="AttributeTok"/>
        </w:rPr>
        <w:t xml:space="preserve">slab =</w:t>
      </w:r>
      <w:r>
        <w:rPr>
          <w:rStyle w:val="NormalTok"/>
        </w:rPr>
        <w:t xml:space="preserve"> study)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(vi), </w:t>
      </w:r>
      <w:r>
        <w:rPr>
          <w:rStyle w:val="AttributeTok"/>
        </w:rPr>
        <w:t xml:space="preserve">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(yi))</w:t>
      </w:r>
    </w:p>
    <w:p>
      <w:pPr>
        <w:pStyle w:val="SourceCode"/>
      </w:pPr>
      <w:r>
        <w:rPr>
          <w:rStyle w:val="CommentTok"/>
        </w:rPr>
        <w:t xml:space="preserve"># Bayesian random-effects (normal-normal) meta-analysis with weakly informative</w:t>
      </w:r>
      <w:r>
        <w:br/>
      </w:r>
      <w:r>
        <w:rPr>
          <w:rStyle w:val="CommentTok"/>
        </w:rPr>
        <w:t xml:space="preserve"># priors: mu ~ N(0, 1.5) on the log-OR; tau ~ half-normal(0.5).</w:t>
      </w:r>
      <w:r>
        <w:br/>
      </w:r>
      <w:r>
        <w:rPr>
          <w:rStyle w:val="NormalTok"/>
        </w:rPr>
        <w:t xml:space="preserve">fit_bm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bayesmeta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yi,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sei,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study,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mu.prior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tau.prior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dhalfnormal</w:t>
      </w:r>
      <w:r>
        <w:rPr>
          <w:rStyle w:val="NormalTok"/>
        </w:rPr>
        <w:t xml:space="preserve">(t,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(bm)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summary[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summary[</w:t>
      </w:r>
      <w:r>
        <w:rPr>
          <w:rStyle w:val="StringTok"/>
        </w:rPr>
        <w:t xml:space="preserve">"95% 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summary[</w:t>
      </w:r>
      <w:r>
        <w:rPr>
          <w:rStyle w:val="StringTok"/>
        </w:rPr>
        <w:t xml:space="preserve">"95% upper"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fmt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(bm) {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or_ci</w:t>
      </w:r>
      <w:r>
        <w:rPr>
          <w:rStyle w:val="NormalTok"/>
        </w:rPr>
        <w:t xml:space="preserve">(bm);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"%.2f (95%% CrI %.2f\u2013%.2f)"</w:t>
      </w:r>
      <w:r>
        <w:rPr>
          <w:rStyle w:val="NormalTok"/>
        </w:rPr>
        <w:t xml:space="preserve">, v[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v[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v[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 }</w:t>
      </w:r>
      <w:r>
        <w:br/>
      </w:r>
      <w:r>
        <w:rPr>
          <w:rStyle w:val="NormalTok"/>
        </w:rPr>
        <w:t xml:space="preserve">plt1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(bm) bm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pposterior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P(OR &lt; 1 | data)</w:t>
      </w:r>
      <w:r>
        <w:br/>
      </w:r>
      <w:r>
        <w:br/>
      </w:r>
      <w:r>
        <w:rPr>
          <w:rStyle w:val="NormalTok"/>
        </w:rPr>
        <w:t xml:space="preserve">bm_primary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fit_bm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(ma, tier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"primary"</w:t>
      </w:r>
      <w:r>
        <w:rPr>
          <w:rStyle w:val="NormalTok"/>
        </w:rPr>
        <w:t xml:space="preserve">))      </w:t>
      </w:r>
      <w:r>
        <w:rPr>
          <w:rStyle w:val="CommentTok"/>
        </w:rPr>
        <w:t xml:space="preserve"># k = 3</w:t>
      </w:r>
      <w:r>
        <w:br/>
      </w:r>
      <w:r>
        <w:rPr>
          <w:rStyle w:val="NormalTok"/>
        </w:rPr>
        <w:t xml:space="preserve">bm_sens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fit_bm</w:t>
      </w:r>
      <w:r>
        <w:rPr>
          <w:rStyle w:val="NormalTok"/>
        </w:rPr>
        <w:t xml:space="preserve">(ma)                                  </w:t>
      </w:r>
      <w:r>
        <w:rPr>
          <w:rStyle w:val="CommentTok"/>
        </w:rPr>
        <w:t xml:space="preserve"># k = 6</w:t>
      </w:r>
      <w:r>
        <w:br/>
      </w:r>
      <w:r>
        <w:rPr>
          <w:rStyle w:val="NormalTok"/>
        </w:rPr>
        <w:t xml:space="preserve">bm_initial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fit_bm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(ma, timing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"initial"</w:t>
      </w:r>
      <w:r>
        <w:rPr>
          <w:rStyle w:val="NormalTok"/>
        </w:rPr>
        <w:t xml:space="preserve">))    </w:t>
      </w:r>
      <w:r>
        <w:rPr>
          <w:rStyle w:val="CommentTok"/>
        </w:rPr>
        <w:t xml:space="preserve"># Jin2019, Qi2023, Li2024a</w:t>
      </w:r>
      <w:r>
        <w:br/>
      </w:r>
      <w:r>
        <w:rPr>
          <w:rStyle w:val="NormalTok"/>
        </w:rPr>
        <w:t xml:space="preserve">bm_mixed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fit_bm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(ma, timing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"mixed"</w:t>
      </w:r>
      <w:r>
        <w:rPr>
          <w:rStyle w:val="NormalTok"/>
        </w:rPr>
        <w:t xml:space="preserve">))       </w:t>
      </w:r>
      <w:r>
        <w:rPr>
          <w:rStyle w:val="CommentTok"/>
        </w:rPr>
        <w:t xml:space="preserve"># Qi2025, Xu2025, Lu2017</w:t>
      </w:r>
    </w:p>
    <w:bookmarkStart w:id="9" w:name="background-and-objective"/>
    <w:p>
      <w:pPr>
        <w:pStyle w:val="Heading1"/>
      </w:pPr>
      <w:r>
        <w:t xml:space="preserve">Background and objective</w:t>
      </w:r>
    </w:p>
    <w:p>
      <w:pPr>
        <w:pStyle w:val="FirstParagraph"/>
      </w:pPr>
      <w:r>
        <w:t xml:space="preserve">This review addresses the PROSPERO-registered question of the comparative effectiveness of combination and adjunctive regimens versus standard monotherapy for</w:t>
      </w:r>
      <w:r>
        <w:t xml:space="preserve"> </w:t>
      </w:r>
      <w:r>
        <w:rPr>
          <w:i/>
          <w:iCs/>
        </w:rPr>
        <w:t xml:space="preserve">Pneumocystis jirovecii</w:t>
      </w:r>
      <w:r>
        <w:t xml:space="preserve"> </w:t>
      </w:r>
      <w:r>
        <w:t xml:space="preserve">pneumonia (PCP/PJP) in HIV-negative / immunocompromised adults. The most coherent contrast supported by the currently available data is</w:t>
      </w:r>
      <w:r>
        <w:t xml:space="preserve"> </w:t>
      </w:r>
      <w:r>
        <w:rPr>
          <w:b/>
          <w:bCs/>
        </w:rPr>
        <w:t xml:space="preserve">adjunctive echinocandin/caspofungin plus trimethoprim-sulfamethoxazole (TMP-SMX) versus TMP-SMX monotherapy</w:t>
      </w:r>
      <w:r>
        <w:t xml:space="preserve">, with all-cause mortality (30-day and/or in-hospital) as the primary outcome, expressed as an odds ratio (OR) with 95% credible intervals (CrI).</w:t>
      </w:r>
    </w:p>
    <w:bookmarkEnd w:id="9"/>
    <w:bookmarkStart w:id="12" w:name="methods"/>
    <w:p>
      <w:pPr>
        <w:pStyle w:val="Heading1"/>
      </w:pPr>
      <w:r>
        <w:t xml:space="preserve">Methods</w:t>
      </w:r>
    </w:p>
    <w:bookmarkStart w:id="10" w:name="data-source-and-verification"/>
    <w:p>
      <w:pPr>
        <w:pStyle w:val="Heading2"/>
      </w:pPr>
      <w:r>
        <w:t xml:space="preserve">Data source and verification</w:t>
      </w:r>
    </w:p>
    <w:p>
      <w:pPr>
        <w:pStyle w:val="FirstParagraph"/>
      </w:pPr>
      <w:r>
        <w:t xml:space="preserve">Study-level data were extracted from a structured extraction database (machine first-pass) and then</w:t>
      </w:r>
      <w:r>
        <w:t xml:space="preserve"> </w:t>
      </w:r>
      <w:r>
        <w:rPr>
          <w:b/>
          <w:bCs/>
        </w:rPr>
        <w:t xml:space="preserve">verified against the source full texts</w:t>
      </w:r>
      <w:r>
        <w:t xml:space="preserve"> </w:t>
      </w:r>
      <w:r>
        <w:t xml:space="preserve">before analysis. Verification changed the analytic set in three material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Tian2020 was excluded</w:t>
      </w:r>
      <w:r>
        <w:t xml:space="preserve">: it is an HIV-</w:t>
      </w:r>
      <w:r>
        <w:rPr>
          <w:i/>
          <w:iCs/>
        </w:rPr>
        <w:t xml:space="preserve">positive</w:t>
      </w:r>
      <w:r>
        <w:t xml:space="preserve"> </w:t>
      </w:r>
      <w:r>
        <w:t xml:space="preserve">cohort (published in</w:t>
      </w:r>
      <w:r>
        <w:t xml:space="preserve"> </w:t>
      </w:r>
      <w:r>
        <w:rPr>
          <w:i/>
          <w:iCs/>
        </w:rPr>
        <w:t xml:space="preserve">HIV Medicine</w:t>
      </w:r>
      <w:r>
        <w:t xml:space="preserve">), which violates the HIV-negative inclusion criterion. The machine draft had misclassified it.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Qi2025 and Yanmeng2026 are the same PUMCH cohort</w:t>
      </w:r>
      <w:r>
        <w:t xml:space="preserve"> </w:t>
      </w:r>
      <w:r>
        <w:t xml:space="preserve">(byte-identical source); one copy was retained. The full-cohort comparison (Table 4: 18/35 caspofungin vs 31/79 monotherapy) was used, not the mechanically-ventilated subgroup.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Li2024a was retained but flagged confounded</w:t>
      </w:r>
      <w:r>
        <w:t xml:space="preserve">: its combination arm bundles caspofungin with a corticosteroid and a lower TMP dose, so it cannot isolate an echinocandin effect. It sits in the sensitivity tier only.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primary</w:t>
      </w:r>
      <w:r>
        <w:t xml:space="preserve"> </w:t>
      </w:r>
      <w:r>
        <w:t xml:space="preserve">analysis comprises the studies reporting in-hospital or ~30-day mortality (Qi2025, Xu2025, Lu2017);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analysis adds studies reporting longer-timepoint mortality (Jin2019, Qi2023, Li2024a).</w:t>
      </w:r>
    </w:p>
    <w:bookmarkEnd w:id="10"/>
    <w:bookmarkStart w:id="11" w:name="statistical-model"/>
    <w:p>
      <w:pPr>
        <w:pStyle w:val="Heading2"/>
      </w:pPr>
      <w:r>
        <w:t xml:space="preserve">Statistical model</w:t>
      </w:r>
    </w:p>
    <w:p>
      <w:pPr>
        <w:pStyle w:val="FirstParagraph"/>
      </w:pPr>
      <w:r>
        <w:t xml:space="preserve">We fitted a Bayesian random-effects (normal-normal) meta-analysis on the per-study log odds ratios, with weakly informative priors: a normal N(0, 1.5) prior on the pooled log-OR and a half-normal(0.5) prior on the between-study standard deviation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</m:oMath>
      </m:oMathPara>
    </w:p>
    <w:p>
      <w:pPr>
        <w:pStyle w:val="FirstParagraph"/>
      </w:pPr>
      <w:r>
        <w:t xml:space="preserve">. Models were fitted with the</w:t>
      </w:r>
      <w:r>
        <w:t xml:space="preserve"> </w:t>
      </w:r>
      <w:r>
        <w:rPr>
          <w:rStyle w:val="VerbatimChar"/>
        </w:rPr>
        <w:t xml:space="preserve">bayesmeta</w:t>
      </w:r>
      <w:r>
        <w:t xml:space="preserve"> </w:t>
      </w:r>
      <w:r>
        <w:t xml:space="preserve">package, which integrates the posterior semi-analytically (no MCMC). This choice was necessary because the Stan toolchain is unavailable on the analysis machine; the trade-off is that we use a two-stage normal approximation rather than an exact binomial-likelihood hierarchical model, which is less ideal for the sparse cells in the smallest studies.</w:t>
      </w:r>
    </w:p>
    <w:bookmarkEnd w:id="11"/>
    <w:bookmarkEnd w:id="12"/>
    <w:bookmarkStart w:id="28" w:name="results"/>
    <w:p>
      <w:pPr>
        <w:pStyle w:val="Heading1"/>
      </w:pPr>
      <w:r>
        <w:t xml:space="preserve">Results</w:t>
      </w:r>
    </w:p>
    <w:bookmarkStart w:id="13" w:name="included-studies"/>
    <w:p>
      <w:pPr>
        <w:pStyle w:val="Heading2"/>
      </w:pPr>
      <w:r>
        <w:t xml:space="preserve">Included studies</w:t>
      </w:r>
    </w:p>
    <w:p>
      <w:pPr>
        <w:pStyle w:val="SourceCode"/>
      </w:pPr>
      <w:r>
        <w:rPr>
          <w:rStyle w:val="NormalTok"/>
        </w:rPr>
        <w:t xml:space="preserve">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transmute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Study =</w:t>
      </w:r>
      <w:r>
        <w:rPr>
          <w:rStyle w:val="NormalTok"/>
        </w:rPr>
        <w:t xml:space="preserve"> study, </w:t>
      </w:r>
      <w:r>
        <w:rPr>
          <w:rStyle w:val="AttributeTok"/>
        </w:rPr>
        <w:t xml:space="preserve">Tier =</w:t>
      </w:r>
      <w:r>
        <w:rPr>
          <w:rStyle w:val="NormalTok"/>
        </w:rPr>
        <w:t xml:space="preserve"> tier, </w:t>
      </w:r>
      <w:r>
        <w:rPr>
          <w:rStyle w:val="AttributeTok"/>
        </w:rPr>
        <w:t xml:space="preserve">Timing =</w:t>
      </w:r>
      <w:r>
        <w:rPr>
          <w:rStyle w:val="NormalTok"/>
        </w:rPr>
        <w:t xml:space="preserve"> timing, </w:t>
      </w:r>
      <w:r>
        <w:rPr>
          <w:rStyle w:val="AttributeTok"/>
        </w:rPr>
        <w:t xml:space="preserve">Timepoint =</w:t>
      </w:r>
      <w:r>
        <w:rPr>
          <w:rStyle w:val="NormalTok"/>
        </w:rPr>
        <w:t xml:space="preserve"> timepoint,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Combination (events/N)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(e_comb, 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, n_comb),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Monotherapy (events/N)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(e_ref, 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, n_ref),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(OR,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0"/>
        <w:gridCol w:w="990"/>
        <w:gridCol w:w="660"/>
        <w:gridCol w:w="1402"/>
        <w:gridCol w:w="1897"/>
        <w:gridCol w:w="1897"/>
        <w:gridCol w:w="41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Study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Combination (events/N)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Monotherapy (events/N)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Qi2025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in-hospital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18/35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31/79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Xu2025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28-day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33/89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19/31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episode/in-hosp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Jin2019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33/91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Qi2023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90-day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17/43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Li2024a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episode (unspec)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1.67</w:t>
            </w:r>
          </w:p>
        </w:tc>
      </w:tr>
    </w:tbl>
    <w:bookmarkEnd w:id="13"/>
    <w:bookmarkStart w:id="17" w:name="primary-and-sensitivity-estimates"/>
    <w:p>
      <w:pPr>
        <w:pStyle w:val="Heading2"/>
      </w:pPr>
      <w:r>
        <w:t xml:space="preserve">Primary and sensitivity estimates</w:t>
      </w:r>
    </w:p>
    <w:p>
      <w:pPr>
        <w:pStyle w:val="FirstParagraph"/>
      </w:pPr>
      <w:r>
        <w:t xml:space="preserve">The primary analysis (k = 3) gives a pooled OR of 0.78 (95% CrI 0.31–1.93), and the sensitivity analysis (k = 6) gives 0.76 (95% CrI 0.43–1.37) (posterior probability that OR &lt; 1 = 0.84). Both estimates point toward a possible mortality reduction with adjunctive echinocandin, but</w:t>
      </w:r>
      <w:r>
        <w:t xml:space="preserve"> </w:t>
      </w:r>
      <w:r>
        <w:rPr>
          <w:b/>
          <w:bCs/>
        </w:rPr>
        <w:t xml:space="preserve">both credible intervals include OR = 1</w:t>
      </w:r>
      <w:r>
        <w:t xml:space="preserve">, so the evidence is suggestive rather than conclusive.</w:t>
      </w:r>
    </w:p>
    <w:p>
      <w:pPr>
        <w:pStyle w:val="SourceCode"/>
      </w:pPr>
      <w:r>
        <w:rPr>
          <w:rStyle w:val="NormalTok"/>
        </w:rPr>
        <w:t xml:space="preserve">study_fp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transmute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study, tier,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(yi), </w:t>
      </w:r>
      <w:r>
        <w:rPr>
          <w:rStyle w:val="AttributeTok"/>
        </w:rPr>
        <w:t xml:space="preserve">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(yi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sei), </w:t>
      </w:r>
      <w:r>
        <w:rPr>
          <w:rStyle w:val="AttributeTok"/>
        </w:rPr>
        <w:t xml:space="preserve">hi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(yi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sei))</w:t>
      </w:r>
      <w:r>
        <w:br/>
      </w:r>
      <w:r>
        <w:rPr>
          <w:rStyle w:val="NormalTok"/>
        </w:rPr>
        <w:t xml:space="preserve">pooled_fp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"Pooled: primary (k=3)"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"Pooled: sensitivity (k=6)"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tier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"pooled"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or_ci</w:t>
      </w:r>
      <w:r>
        <w:rPr>
          <w:rStyle w:val="NormalTok"/>
        </w:rPr>
        <w:t xml:space="preserve">(bm_primary)[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or_ci</w:t>
      </w:r>
      <w:r>
        <w:rPr>
          <w:rStyle w:val="NormalTok"/>
        </w:rPr>
        <w:t xml:space="preserve">(bm_sens)[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or_ci</w:t>
      </w:r>
      <w:r>
        <w:rPr>
          <w:rStyle w:val="NormalTok"/>
        </w:rPr>
        <w:t xml:space="preserve">(bm_primary)[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or_ci</w:t>
      </w:r>
      <w:r>
        <w:rPr>
          <w:rStyle w:val="NormalTok"/>
        </w:rPr>
        <w:t xml:space="preserve">(bm_sens)[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or_ci</w:t>
      </w:r>
      <w:r>
        <w:rPr>
          <w:rStyle w:val="NormalTok"/>
        </w:rPr>
        <w:t xml:space="preserve">(bm_primary)[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or_ci</w:t>
      </w:r>
      <w:r>
        <w:rPr>
          <w:rStyle w:val="NormalTok"/>
        </w:rPr>
        <w:t xml:space="preserve">(bm_sens)[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]))</w:t>
      </w:r>
      <w:r>
        <w:br/>
      </w:r>
      <w:r>
        <w:br/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(study_fp, pooled_fp)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"Qi2025"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"Xu2025"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"Lu2017"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"Jin2019"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"Qi2023"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"Li2024a"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"Pooled: primary (k=3)"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"Pooled: sensitivity (k=6)"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tier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(tier,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"primary"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"sensitivity"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"pooled"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(OR, label,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tier))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"grey50"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xmin =</w:t>
      </w:r>
      <w:r>
        <w:rPr>
          <w:rStyle w:val="NormalTok"/>
        </w:rPr>
        <w:t xml:space="preserve"> lo, </w:t>
      </w:r>
      <w:r>
        <w:rPr>
          <w:rStyle w:val="AttributeTok"/>
        </w:rPr>
        <w:t xml:space="preserve">xmax =</w:t>
      </w:r>
      <w:r>
        <w:rPr>
          <w:rStyle w:val="NormalTok"/>
        </w:rPr>
        <w:t xml:space="preserve"> hi,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tier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"pooled"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scale_x_log10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jama_tier)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guide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"Odds ratio (log scale) \u2014 &lt;1 favours adjunctive echinocandin"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"Adjunctive echinocandin + TMP-SMX vs TMP-SMX monotherapy"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"All-cause mortality; Bayesian random-effects meta-analysis"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theme_jama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pcp_echinocandin_meta_writeup_files/figure-docx/forest-main-1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7"/>
    <w:bookmarkStart w:id="18" w:name="timing-subgroups"/>
    <w:p>
      <w:pPr>
        <w:pStyle w:val="Heading2"/>
      </w:pPr>
      <w:r>
        <w:t xml:space="preserve">Timing subgroups</w:t>
      </w:r>
    </w:p>
    <w:p>
      <w:pPr>
        <w:pStyle w:val="FirstParagraph"/>
      </w:pPr>
      <w:r>
        <w:t xml:space="preserve">Following Yang et al. (2026), studies were classified by treatment timing (initial vs mixed; no pure salvage-vs-monotherapy study is available in our set). The initial-strategy subgroup (k = 3) gives 0.74 (95% CrI 0.34–1.62) and the mixed-strategy subgroup (k = 3) gives 0.78 (95% CrI 0.31–1.93). Both remain inconclusive. Our strict initial subgroup is less protective than Yang’s because we classified Xu2025 (a strong-benefit study) as</w:t>
      </w:r>
      <w:r>
        <w:t xml:space="preserve"> </w:t>
      </w:r>
      <w:r>
        <w:rPr>
          <w:i/>
          <w:iCs/>
        </w:rPr>
        <w:t xml:space="preserve">mixed</w:t>
      </w:r>
      <w:r>
        <w:t xml:space="preserve">, consistent with its source (caspofungin timing not restricted to first-line;</w:t>
      </w:r>
      <w:r>
        <w:t xml:space="preserve"> </w:t>
      </w:r>
      <w:r>
        <w:t xml:space="preserve">“selection bias in caspofungin use”</w:t>
      </w:r>
      <w:r>
        <w:t xml:space="preserve"> </w:t>
      </w:r>
      <w:r>
        <w:t xml:space="preserve">acknowledged).</w:t>
      </w:r>
    </w:p>
    <w:bookmarkEnd w:id="18"/>
    <w:bookmarkStart w:id="22" w:name="comparison-with-yang-et-al.-2026"/>
    <w:p>
      <w:pPr>
        <w:pStyle w:val="Heading2"/>
      </w:pPr>
      <w:r>
        <w:t xml:space="preserve">Comparison with Yang et al. (2026)</w:t>
      </w:r>
    </w:p>
    <w:p>
      <w:pPr>
        <w:pStyle w:val="FirstParagraph"/>
      </w:pPr>
      <w:r>
        <w:t xml:space="preserve">Yang et al. asked the same question with a broader search (including Chinese databases). We share 9 of their 16 studies. Their overall estimate is null (OR 0.93) but their initial-strategy subgroup is clearly protective (OR 0.50); the figure below places our estimates alongside theirs. The two analyses are consistent once treatment timing is matched.</w:t>
      </w:r>
    </w:p>
    <w:p>
      <w:pPr>
        <w:pStyle w:val="SourceCode"/>
      </w:pPr>
      <w:r>
        <w:rPr>
          <w:rStyle w:val="NormalTok"/>
        </w:rPr>
        <w:t xml:space="preserve">comp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source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"Our analysis"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"Yang et al. 2026"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subgroup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"Overall"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"Initial"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"Mixed"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"Overall"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"Initial"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"Mixed"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"Salvage"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or_ci</w:t>
      </w:r>
      <w:r>
        <w:rPr>
          <w:rStyle w:val="NormalTok"/>
        </w:rPr>
        <w:t xml:space="preserve">(bm_sens)[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or_ci</w:t>
      </w:r>
      <w:r>
        <w:rPr>
          <w:rStyle w:val="NormalTok"/>
        </w:rPr>
        <w:t xml:space="preserve">(bm_initial)[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or_ci</w:t>
      </w:r>
      <w:r>
        <w:rPr>
          <w:rStyle w:val="NormalTok"/>
        </w:rPr>
        <w:t xml:space="preserve">(bm_mixed)[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loatTok"/>
        </w:rPr>
        <w:t xml:space="preserve">0.93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1.38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1.60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or_ci</w:t>
      </w:r>
      <w:r>
        <w:rPr>
          <w:rStyle w:val="NormalTok"/>
        </w:rPr>
        <w:t xml:space="preserve">(bm_sens)[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or_ci</w:t>
      </w:r>
      <w:r>
        <w:rPr>
          <w:rStyle w:val="NormalTok"/>
        </w:rPr>
        <w:t xml:space="preserve">(bm_initial)[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or_ci</w:t>
      </w:r>
      <w:r>
        <w:rPr>
          <w:rStyle w:val="NormalTok"/>
        </w:rPr>
        <w:t xml:space="preserve">(bm_mixed)[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loatTok"/>
        </w:rPr>
        <w:t xml:space="preserve">0.71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or_ci</w:t>
      </w:r>
      <w:r>
        <w:rPr>
          <w:rStyle w:val="NormalTok"/>
        </w:rPr>
        <w:t xml:space="preserve">(bm_sens)[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or_ci</w:t>
      </w:r>
      <w:r>
        <w:rPr>
          <w:rStyle w:val="NormalTok"/>
        </w:rPr>
        <w:t xml:space="preserve">(bm_initial)[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or_ci</w:t>
      </w:r>
      <w:r>
        <w:rPr>
          <w:rStyle w:val="NormalTok"/>
        </w:rPr>
        <w:t xml:space="preserve">(bm_mixed)[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</w:t>
      </w:r>
      <w:r>
        <w:rPr>
          <w:rStyle w:val="FloatTok"/>
        </w:rPr>
        <w:t xml:space="preserve">1.21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1.95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4.11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(source, </w:t>
      </w:r>
      <w:r>
        <w:rPr>
          <w:rStyle w:val="StringTok"/>
        </w:rPr>
        <w:t xml:space="preserve">" \u2014 "</w:t>
      </w:r>
      <w:r>
        <w:rPr>
          <w:rStyle w:val="NormalTok"/>
        </w:rPr>
        <w:t xml:space="preserve">, subgroup, </w:t>
      </w:r>
      <w:r>
        <w:rPr>
          <w:rStyle w:val="StringTok"/>
        </w:rPr>
        <w:t xml:space="preserve">" (k="</w:t>
      </w:r>
      <w:r>
        <w:rPr>
          <w:rStyle w:val="NormalTok"/>
        </w:rPr>
        <w:t xml:space="preserve">, k, </w:t>
      </w:r>
      <w:r>
        <w:rPr>
          <w:rStyle w:val="StringTok"/>
        </w:rPr>
        <w:t xml:space="preserve">")"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(comp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row,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rev</w:t>
      </w:r>
      <w:r>
        <w:rPr>
          <w:rStyle w:val="NormalTok"/>
        </w:rPr>
        <w:t xml:space="preserve">(comp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row))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(comp,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(OR, row,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source))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"grey50"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xmin =</w:t>
      </w:r>
      <w:r>
        <w:rPr>
          <w:rStyle w:val="NormalTok"/>
        </w:rPr>
        <w:t xml:space="preserve"> lo, </w:t>
      </w:r>
      <w:r>
        <w:rPr>
          <w:rStyle w:val="AttributeTok"/>
        </w:rPr>
        <w:t xml:space="preserve">xmax =</w:t>
      </w:r>
      <w:r>
        <w:rPr>
          <w:rStyle w:val="NormalTok"/>
        </w:rPr>
        <w:t xml:space="preserve"> hi),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scale_x_log10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"Our analysis"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jama_blue_grey[[</w:t>
      </w:r>
      <w:r>
        <w:rPr>
          <w:rStyle w:val="StringTok"/>
        </w:rPr>
        <w:t xml:space="preserve">"dark"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 xml:space="preserve">"Yang et al. 2026"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jama_blue_grey[[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]]))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"Odds ratio (log scale) \u2014 &lt;1 favours combination"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"Our estimates vs Yang et al. (2026)"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"All-cause mortality; Bayesian random-effects (ours) vs fixed-effect M-H (Yang)"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theme_jama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pcp_echinocandin_meta_writeup_files/figure-docx/compare-yang-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Note that Yang et al.’s extraction contains errors we identified during verification, so it is a useful comparator rather than a ground truth: their Qi2025 numbers come from the ventilated subgroup, and their</w:t>
      </w:r>
      <w:r>
        <w:t xml:space="preserve"> </w:t>
      </w:r>
      <w:r>
        <w:t xml:space="preserve">“Wang 2019”</w:t>
      </w:r>
      <w:r>
        <w:t xml:space="preserve"> </w:t>
      </w:r>
      <w:r>
        <w:t xml:space="preserve">entry treats a single-arm case series (9 patients, 0 deaths) as a two-arm comparison.</w:t>
      </w:r>
    </w:p>
    <w:bookmarkEnd w:id="22"/>
    <w:bookmarkStart w:id="26" w:name="robustness-leave-one-out"/>
    <w:p>
      <w:pPr>
        <w:pStyle w:val="Heading2"/>
      </w:pPr>
      <w:r>
        <w:t xml:space="preserve">Robustness: leave-one-out</w:t>
      </w:r>
    </w:p>
    <w:p>
      <w:pPr>
        <w:pStyle w:val="SourceCode"/>
      </w:pPr>
      <w:r>
        <w:rPr>
          <w:rStyle w:val="NormalTok"/>
        </w:rPr>
        <w:t xml:space="preserve">loo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map_dfr</w:t>
      </w:r>
      <w:r>
        <w:rPr>
          <w:rStyle w:val="NormalTok"/>
        </w:rPr>
        <w:t xml:space="preserve">(ma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study,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{</w:t>
      </w:r>
      <w:r>
        <w:br/>
      </w:r>
      <w:r>
        <w:rPr>
          <w:rStyle w:val="NormalTok"/>
        </w:rPr>
        <w:t xml:space="preserve">  bm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fit_bm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(ma, study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s))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removed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"\u2212 "</w:t>
      </w:r>
      <w:r>
        <w:rPr>
          <w:rStyle w:val="NormalTok"/>
        </w:rPr>
        <w:t xml:space="preserve">, s),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summary[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summary[</w:t>
      </w:r>
      <w:r>
        <w:rPr>
          <w:rStyle w:val="StringTok"/>
        </w:rPr>
        <w:t xml:space="preserve">"95% 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hi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summary[</w:t>
      </w:r>
      <w:r>
        <w:rPr>
          <w:rStyle w:val="StringTok"/>
        </w:rPr>
        <w:t xml:space="preserve">"95% upper"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loo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removed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"Full model (k=6)"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or_ci</w:t>
      </w:r>
      <w:r>
        <w:rPr>
          <w:rStyle w:val="NormalTok"/>
        </w:rPr>
        <w:t xml:space="preserve">(bm_sens)[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or_ci</w:t>
      </w:r>
      <w:r>
        <w:rPr>
          <w:rStyle w:val="NormalTok"/>
        </w:rPr>
        <w:t xml:space="preserve">(bm_sens)[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hi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or_ci</w:t>
      </w:r>
      <w:r>
        <w:rPr>
          <w:rStyle w:val="NormalTok"/>
        </w:rPr>
        <w:t xml:space="preserve">(bm_sens)[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loo)</w:t>
      </w:r>
      <w:r>
        <w:br/>
      </w:r>
      <w:r>
        <w:rPr>
          <w:rStyle w:val="NormalTok"/>
        </w:rPr>
        <w:t xml:space="preserve">loo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(is.numeric), 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(.x,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removed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model (k=6)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− Qi2025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− Xu2025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− Lu2017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− Jin2019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− Qi2023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− Li2024a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</w:t>
            </w:r>
          </w:p>
        </w:tc>
      </w:tr>
    </w:tbl>
    <w:p>
      <w:pPr>
        <w:pStyle w:val="BodyText"/>
      </w:pPr>
      <w:r>
        <w:t xml:space="preserve">The pooled OR ranges from about 0.59 (omitting Qi2025) to 0.94 (omitting Xu2025). Every leave-one-out estimate still crosses OR = 1, so no single study changes the qualitative conclusion, but</w:t>
      </w:r>
      <w:r>
        <w:t xml:space="preserve"> </w:t>
      </w:r>
      <w:r>
        <w:rPr>
          <w:b/>
          <w:bCs/>
        </w:rPr>
        <w:t xml:space="preserve">Xu2025 is the single most influential study</w:t>
      </w:r>
      <w:r>
        <w:t xml:space="preserve">, accounting for most of the apparent benefit.</w:t>
      </w:r>
    </w:p>
    <w:p>
      <w:pPr>
        <w:pStyle w:val="SourceCode"/>
      </w:pPr>
      <w:r>
        <w:rPr>
          <w:rStyle w:val="NormalTok"/>
        </w:rPr>
        <w:t xml:space="preserve">loo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kind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(removed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"Full model (k=6)"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"full"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removed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(removed,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rev</w:t>
      </w:r>
      <w:r>
        <w:rPr>
          <w:rStyle w:val="NormalTok"/>
        </w:rPr>
        <w:t xml:space="preserve">(removed)))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(OR, removed,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kind))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"grey50"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xmin =</w:t>
      </w:r>
      <w:r>
        <w:rPr>
          <w:rStyle w:val="NormalTok"/>
        </w:rPr>
        <w:t xml:space="preserve"> lo, </w:t>
      </w:r>
      <w:r>
        <w:rPr>
          <w:rStyle w:val="AttributeTok"/>
        </w:rPr>
        <w:t xml:space="preserve">xmax =</w:t>
      </w:r>
      <w:r>
        <w:rPr>
          <w:rStyle w:val="NormalTok"/>
        </w:rPr>
        <w:t xml:space="preserve"> hi),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scale_x_log10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full =</w:t>
      </w:r>
      <w:r>
        <w:rPr>
          <w:rStyle w:val="NormalTok"/>
        </w:rPr>
        <w:t xml:space="preserve"> jama_blue_grey[[</w:t>
      </w:r>
      <w:r>
        <w:rPr>
          <w:rStyle w:val="StringTok"/>
        </w:rPr>
        <w:t xml:space="preserve">"accent"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 xml:space="preserve">loo  =</w:t>
      </w:r>
      <w:r>
        <w:rPr>
          <w:rStyle w:val="NormalTok"/>
        </w:rPr>
        <w:t xml:space="preserve"> jama_blue_grey[[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]]), </w:t>
      </w:r>
      <w:r>
        <w:rPr>
          <w:rStyle w:val="AttributeTok"/>
        </w:rPr>
        <w:t xml:space="preserve">guide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"Pooled odds ratio (log scale) \u2014 &lt;1 favours combination"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"Leave-one-out sensitivity (6-study model)"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"Each row omits one study; top row = full model"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theme_jama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pcp_echinocandin_meta_writeup_files/figure-docx/loo-plot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6"/>
    <w:bookmarkStart w:id="27" w:name="robustness-prior-sensitivity"/>
    <w:p>
      <w:pPr>
        <w:pStyle w:val="Heading2"/>
      </w:pPr>
      <w:r>
        <w:t xml:space="preserve">Robustness: prior sensitivity</w:t>
      </w:r>
    </w:p>
    <w:p>
      <w:pPr>
        <w:pStyle w:val="SourceCode"/>
      </w:pPr>
      <w:r>
        <w:rPr>
          <w:rStyle w:val="NormalTok"/>
        </w:rPr>
        <w:t xml:space="preserve">fit_prior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(mu_sd, tau_scale, fam) {</w:t>
      </w:r>
      <w:r>
        <w:br/>
      </w:r>
      <w:r>
        <w:rPr>
          <w:rStyle w:val="NormalTok"/>
        </w:rPr>
        <w:t xml:space="preserve">  tp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(fam,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dhalfnormal</w:t>
      </w:r>
      <w:r>
        <w:rPr>
          <w:rStyle w:val="NormalTok"/>
        </w:rPr>
        <w:t xml:space="preserve">(t,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tau_scale),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HC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dhalfcauchy</w:t>
      </w:r>
      <w:r>
        <w:rPr>
          <w:rStyle w:val="NormalTok"/>
        </w:rPr>
        <w:t xml:space="preserve">(t,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tau_scale),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dunif</w:t>
      </w:r>
      <w:r>
        <w:rPr>
          <w:rStyle w:val="NormalTok"/>
        </w:rPr>
        <w:t xml:space="preserve">(t,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tau_scale))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bayesmeta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yi,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ma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sei,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ma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study,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mu.prior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mu_sd), </w:t>
      </w:r>
      <w:r>
        <w:rPr>
          <w:rStyle w:val="AttributeTok"/>
        </w:rPr>
        <w:t xml:space="preserve">tau.prior =</w:t>
      </w:r>
      <w:r>
        <w:rPr>
          <w:rStyle w:val="NormalTok"/>
        </w:rPr>
        <w:t xml:space="preserve"> tp)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prior,                      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mu_sd,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tau_scale,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fam,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"Base: mu~N(0,1.5), tau~HN(0.5)"</w:t>
      </w:r>
      <w:r>
        <w:rPr>
          <w:rStyle w:val="NormalTok"/>
        </w:rPr>
        <w:t xml:space="preserve">,    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0.50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"Tighter tau ~ HN(0.25)"</w:t>
      </w:r>
      <w:r>
        <w:rPr>
          <w:rStyle w:val="NormalTok"/>
        </w:rPr>
        <w:t xml:space="preserve">,            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"Wider tau ~ HN(1.0)"</w:t>
      </w:r>
      <w:r>
        <w:rPr>
          <w:rStyle w:val="NormalTok"/>
        </w:rPr>
        <w:t xml:space="preserve">,               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1.00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"tau ~ half-Cauchy(0.5)"</w:t>
      </w:r>
      <w:r>
        <w:rPr>
          <w:rStyle w:val="NormalTok"/>
        </w:rPr>
        <w:t xml:space="preserve">,            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0.50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"tau ~ Uniform(0,2)"</w:t>
      </w:r>
      <w:r>
        <w:rPr>
          <w:rStyle w:val="NormalTok"/>
        </w:rPr>
        <w:t xml:space="preserve">,                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2.00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"Wider mu ~ N(0,10)"</w:t>
      </w:r>
      <w:r>
        <w:rPr>
          <w:rStyle w:val="NormalTok"/>
        </w:rPr>
        <w:t xml:space="preserve">,                 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0.50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"Tighter mu ~ N(0,1)"</w:t>
      </w:r>
      <w:r>
        <w:rPr>
          <w:rStyle w:val="NormalTok"/>
        </w:rPr>
        <w:t xml:space="preserve">,               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0.50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pmap_dfr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mu_sd,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tau_scale,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fam),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m, ts, f) {</w:t>
      </w:r>
      <w:r>
        <w:br/>
      </w:r>
      <w:r>
        <w:rPr>
          <w:rStyle w:val="NormalTok"/>
        </w:rPr>
        <w:t xml:space="preserve">    bm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fit_prior</w:t>
      </w:r>
      <w:r>
        <w:rPr>
          <w:rStyle w:val="NormalTok"/>
        </w:rPr>
        <w:t xml:space="preserve">(m, ts, f)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summary[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summary[</w:t>
      </w:r>
      <w:r>
        <w:rPr>
          <w:rStyle w:val="StringTok"/>
        </w:rPr>
        <w:t xml:space="preserve">"95% 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hi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summary[</w:t>
      </w:r>
      <w:r>
        <w:rPr>
          <w:rStyle w:val="StringTok"/>
        </w:rPr>
        <w:t xml:space="preserve">"95% upper"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tau =</w:t>
      </w:r>
      <w:r>
        <w:rPr>
          <w:rStyle w:val="NormalTok"/>
        </w:rPr>
        <w:t xml:space="preserve"> bm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summary[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(is.numeric), 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(.x,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Base: mu~N(0,1.5), tau~HN(0.5)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Tighter tau ~ HN(0.25)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Wider tau ~ HN(1.0)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tau ~ half-Cauchy(0.5)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tau ~ Uniform(0,2)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Wider mu ~ N(0,10)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Tighter mu ~ N(0,1)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</w:t>
            </w:r>
          </w:p>
        </w:tc>
      </w:tr>
    </w:tbl>
    <w:p>
      <w:pPr>
        <w:pStyle w:val="BodyText"/>
      </w:pPr>
      <w:r>
        <w:t xml:space="preserve">The pooled OR is essentially invariant to the prior specification (0.75–0.77 across all choices). Only the credible-interval width responds to the heterogeneity prior, as expected: a tighter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</m:oMath>
      </m:oMathPara>
    </w:p>
    <w:p>
      <w:pPr>
        <w:pStyle w:val="FirstParagraph"/>
      </w:pPr>
      <w:r>
        <w:t xml:space="preserve">prior narrows the interval and a uniform prior widens it. The pooled location is therefore robust; the residual uncertainty is driven by the small number of studies and genuine between-study heterogeneity rather than by prior choice.</w:t>
      </w:r>
    </w:p>
    <w:bookmarkEnd w:id="27"/>
    <w:bookmarkEnd w:id="28"/>
    <w:bookmarkStart w:id="29" w:name="limitations"/>
    <w:p>
      <w:pPr>
        <w:pStyle w:val="Heading1"/>
      </w:pPr>
      <w:r>
        <w:t xml:space="preserve">Limitations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Missing Chinese-language studies.</w:t>
      </w:r>
      <w:r>
        <w:t xml:space="preserve"> </w:t>
      </w:r>
      <w:r>
        <w:t xml:space="preserve">Yang et al.’s broader search (CNKI/Wanfang) captured several Chinese-language papers and two master’s theses (Li2015, Liu2015, Wang2021, Wu2023, Xiang2015) plus Yu2017 (a discontinued journal) that we could not retrieve. Their absence limits power and could introduce language/selection bias relative to a complete corpus. (Wang ZG 2019, also missing from our set, was obtained and found ineligible — a single-arm case series with no comparator.)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Extraction provenance.</w:t>
      </w:r>
      <w:r>
        <w:t xml:space="preserve"> </w:t>
      </w:r>
      <w:r>
        <w:t xml:space="preserve">The source database is a machine first-pass. Counts for the included studies were verified against source text, but full dual human verification is still pending.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Observational data and confounding.</w:t>
      </w:r>
      <w:r>
        <w:t xml:space="preserve"> </w:t>
      </w:r>
      <w:r>
        <w:t xml:space="preserve">All included studies are observational; treatment was clinician-assigned, so confounding by indication is likely. This is most acute for Xu2025 — the most influential study — whose monotherapy arm was sicker (more solid tumour and aspergillosis co-infection).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Small k and heterogeneous timepoints.</w:t>
      </w:r>
      <w:r>
        <w:t xml:space="preserve"> </w:t>
      </w:r>
      <w:r>
        <w:t xml:space="preserve">With three to six studies and mortality measured over differing windows (in-hospital, 28-day, 90-day, 3-month), pooled estimates are imprecise and heterogeneity is difficult to characterise.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Confounded and non-estimable comparisons.</w:t>
      </w:r>
      <w:r>
        <w:t xml:space="preserve"> </w:t>
      </w:r>
      <w:r>
        <w:t xml:space="preserve">Li2024a bundles caspofungin with corticosteroid and a lower TMP dose. Near-universal corticosteroid use across studies precludes a corticosteroid presence/absence subgroup, and only one small study omitted β-D-glucan, so those planned sub-analyses were not estimable.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Model approximation.</w:t>
      </w:r>
      <w:r>
        <w:t xml:space="preserve"> </w:t>
      </w:r>
      <w:r>
        <w:t xml:space="preserve">Because Stan was unavailable, we used a two-stage normal-normal model rather than an exact binomial hierarchical model, which is less ideal for the sparse cells in the smallest studies (e.g., Lu2017).</w:t>
      </w:r>
    </w:p>
    <w:bookmarkEnd w:id="29"/>
    <w:bookmarkStart w:id="30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In source-verified, HIV-negative PCP cohorts, adjunctive echinocandin plus TMP-SMX shows a</w:t>
      </w:r>
      <w:r>
        <w:t xml:space="preserve"> </w:t>
      </w:r>
      <w:r>
        <w:rPr>
          <w:b/>
          <w:bCs/>
        </w:rPr>
        <w:t xml:space="preserve">possible but inconclusive</w:t>
      </w:r>
      <w:r>
        <w:t xml:space="preserve"> </w:t>
      </w:r>
      <w:r>
        <w:t xml:space="preserve">mortality benefit versus TMP-SMX monotherapy (sensitivity OR 0.76 (95% CrI 0.43–1.37)). The direction is consistent with Yang et al.’s initial-therapy signal once timing is matched, but the credible intervals include no effect, the result is sensitive to a single influential study (Xu2025), and the evidence base is small, observational, and incomplete. Higher-quality data — ideally the missing Chinese-language studies and, ultimately, randomized evidence — are needed before drawing a firm conclusion.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14" Target="media/rId14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Adjunctive echinocandin plus TMP-SMX versus TMP-SMX monotherapy for Pneumocystis pneumonia in HIV-negative adults: an interim Bayesian meta-analysis</dc:title>
  <dc:creator/>
  <cp:keywords/>
  <dcterms:created xsi:type="dcterms:W3CDTF">2026-09-05T15:00:37Z</dcterms:created>
  <dcterms:modified xsi:type="dcterms:W3CDTF">2026-09-05T15:00:37Z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