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Statistical Methods</w:t>
      </w:r>
    </w:p>
    <w:p>
      <w:pPr>
        <w:pStyle w:val="Subtitle"/>
      </w:pPr>
      <w:r>
        <w:t xml:space="preserve">Novel vs. older regimens for CRE infection in liver transplant recipients (CRECOOLT)</w:t>
      </w:r>
    </w:p>
    <w:p>
      <w:pPr>
        <w:pStyle w:val="Date"/>
      </w:pPr>
      <w:r>
        <w:t xml:space="preserve">2026-07-20</w:t>
      </w:r>
    </w:p>
    <w:bookmarkStart w:id="9" w:name="study-sample-and-endpoints"/>
    <w:p>
      <w:pPr>
        <w:pStyle w:val="Heading1"/>
      </w:pPr>
      <w:r>
        <w:t xml:space="preserve">Study sample and endpoints</w:t>
      </w:r>
    </w:p>
    <w:p>
      <w:pPr>
        <w:pStyle w:val="FirstParagraph"/>
      </w:pPr>
      <w:r>
        <w:t xml:space="preserve">Analyses included the</w:t>
      </w:r>
      <w:r>
        <w:t xml:space="preserve"> </w:t>
      </w:r>
      <w:r>
        <w:rPr>
          <w:rStyle w:val="VerbatimChar"/>
        </w:rPr>
        <w:t xml:space="preserve">r 405</w:t>
      </w:r>
      <w:r>
        <w:t xml:space="preserve"> </w:t>
      </w:r>
      <w:r>
        <w:t xml:space="preserve">liver transplant recipients with a documented CRE infection within</w:t>
      </w:r>
      <w:r>
        <w:t xml:space="preserve"> </w:t>
      </w:r>
      <w:r>
        <w:t xml:space="preserve">90 days of transplantation (one record per patient). The</w:t>
      </w:r>
      <w:r>
        <w:t xml:space="preserve"> </w:t>
      </w:r>
      <w:r>
        <w:rPr>
          <w:b/>
          <w:bCs/>
        </w:rPr>
        <w:t xml:space="preserve">primary endpoint</w:t>
      </w:r>
      <w:r>
        <w:t xml:space="preserve"> </w:t>
      </w:r>
      <w:r>
        <w:t xml:space="preserve">was all-cause</w:t>
      </w:r>
      <w:r>
        <w:t xml:space="preserve"> </w:t>
      </w:r>
      <w:r>
        <w:t xml:space="preserve">mortality within 90 days;</w:t>
      </w:r>
      <w:r>
        <w:t xml:space="preserve"> </w:t>
      </w:r>
      <w:r>
        <w:rPr>
          <w:b/>
          <w:bCs/>
        </w:rPr>
        <w:t xml:space="preserve">secondary endpoints</w:t>
      </w:r>
      <w:r>
        <w:t xml:space="preserve"> </w:t>
      </w:r>
      <w:r>
        <w:t xml:space="preserve">were CRE infection recurrence and emergence of</w:t>
      </w:r>
      <w:r>
        <w:t xml:space="preserve"> </w:t>
      </w:r>
      <w:r>
        <w:t xml:space="preserve">resistance to the administered regimen. Treatment was classified as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(ceftazidime–avibactam,</w:t>
      </w:r>
      <w:r>
        <w:t xml:space="preserve"> </w:t>
      </w:r>
      <w:r>
        <w:t xml:space="preserve">meropenem–vaborbactam, or cefiderocol) versus</w:t>
      </w:r>
      <w:r>
        <w:t xml:space="preserve"> </w:t>
      </w:r>
      <w:r>
        <w:rPr>
          <w:i/>
          <w:iCs/>
        </w:rPr>
        <w:t xml:space="preserve">older</w:t>
      </w:r>
      <w:r>
        <w:t xml:space="preserve"> </w:t>
      </w:r>
      <w:r>
        <w:t xml:space="preserve">(high-dose carbapenem-based) regimens.</w:t>
      </w:r>
    </w:p>
    <w:bookmarkEnd w:id="9"/>
    <w:bookmarkStart w:id="10" w:name="time-origin-follow-up-and-censoring"/>
    <w:p>
      <w:pPr>
        <w:pStyle w:val="Heading1"/>
      </w:pPr>
      <w:r>
        <w:t xml:space="preserve">Time origin, follow-up, and censoring</w:t>
      </w:r>
    </w:p>
    <w:p>
      <w:pPr>
        <w:pStyle w:val="FirstParagraph"/>
      </w:pPr>
      <w:r>
        <w:t xml:space="preserve">The time origin for all time-to-event analyses was the</w:t>
      </w:r>
      <w:r>
        <w:t xml:space="preserve"> </w:t>
      </w:r>
      <w:r>
        <w:rPr>
          <w:b/>
          <w:bCs/>
        </w:rPr>
        <w:t xml:space="preserve">date of CRE infection</w:t>
      </w:r>
      <w:r>
        <w:t xml:space="preserve">. Event times were</w:t>
      </w:r>
      <w:r>
        <w:t xml:space="preserve"> </w:t>
      </w:r>
      <w:r>
        <w:t xml:space="preserve">taken from the recorded dates of death, recurrence (relapse), and resistance emergence. Patients</w:t>
      </w:r>
      <w:r>
        <w:t xml:space="preserve"> </w:t>
      </w:r>
      <w:r>
        <w:t xml:space="preserve">without an event were censored at their last valid contact date (the latest of hospital discharge,</w:t>
      </w:r>
      <w:r>
        <w:t xml:space="preserve"> </w:t>
      </w:r>
      <w:r>
        <w:t xml:space="preserve">microbiological clearance, or end-of-therapy dates), and follow-up was administratively censored at</w:t>
      </w:r>
      <w:r>
        <w:t xml:space="preserve"> </w:t>
      </w:r>
      <w:r>
        <w:t xml:space="preserve">90 days.</w:t>
      </w:r>
    </w:p>
    <w:p>
      <w:pPr>
        <w:pStyle w:val="BodyText"/>
      </w:pPr>
      <w:r>
        <w:rPr>
          <w:b/>
          <w:bCs/>
        </w:rPr>
        <w:t xml:space="preserve">Data-quality handling.</w:t>
      </w:r>
      <w:r>
        <w:t xml:space="preserve"> </w:t>
      </w:r>
      <w:r>
        <w:t xml:space="preserve">Discharge dates recorded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infection date (n = 54) were</w:t>
      </w:r>
      <w:r>
        <w:t xml:space="preserve"> </w:t>
      </w:r>
      <w:r>
        <w:t xml:space="preserve">treated as invalid; for these records, censoring fell back to the latest remaining valid contact</w:t>
      </w:r>
      <w:r>
        <w:t xml:space="preserve"> </w:t>
      </w:r>
      <w:r>
        <w:t xml:space="preserve">date. The competing-event (death) time was computed from the raw 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death_date − infection_date</w:t>
      </w:r>
      <w:r>
        <w:t xml:space="preserve">) to provide a single, transparent source of timing.</w:t>
      </w:r>
    </w:p>
    <w:bookmarkEnd w:id="10"/>
    <w:bookmarkStart w:id="11" w:name="positivity-and-the-era-restriction"/>
    <w:p>
      <w:pPr>
        <w:pStyle w:val="Heading1"/>
      </w:pPr>
      <w:r>
        <w:t xml:space="preserve">Positivity and the era restriction</w:t>
      </w:r>
    </w:p>
    <w:p>
      <w:pPr>
        <w:pStyle w:val="FirstParagraph"/>
      </w:pPr>
      <w:r>
        <w:t xml:space="preserve">Novel agents were unavailable before 2018, so treatment assignment was perfectly separated by</w:t>
      </w:r>
      <w:r>
        <w:t xml:space="preserve"> </w:t>
      </w:r>
      <w:r>
        <w:t xml:space="preserve">calendar era in the full cohort: no patient treated in 2010–2017 could have received a novel</w:t>
      </w:r>
      <w:r>
        <w:t xml:space="preserve"> </w:t>
      </w:r>
      <w:r>
        <w:t xml:space="preserve">regimen. This is a structural violation of the</w:t>
      </w:r>
      <w:r>
        <w:t xml:space="preserve"> </w:t>
      </w:r>
      <w:r>
        <w:rPr>
          <w:b/>
          <w:bCs/>
        </w:rPr>
        <w:t xml:space="preserve">positivity (overlap) assumption</w:t>
      </w:r>
      <w:r>
        <w:t xml:space="preserve">, under which a</w:t>
      </w:r>
      <w:r>
        <w:t xml:space="preserve"> </w:t>
      </w:r>
      <w:r>
        <w:t xml:space="preserve">covariate that perfectly predicts treatment cannot be balanced by weighting. Accordingly,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weighted analyses were restricted to the contemporaneous 2018–2025 era (n = 182)</w:t>
      </w:r>
      <w:r>
        <w:t xml:space="preserve">, in which both</w:t>
      </w:r>
      <w:r>
        <w:t xml:space="preserve"> </w:t>
      </w:r>
      <w:r>
        <w:t xml:space="preserve">regimens were used and outcome surveillance was concurrent. Full-cohort weighted estimates are not</w:t>
      </w:r>
      <w:r>
        <w:t xml:space="preserve"> </w:t>
      </w:r>
      <w:r>
        <w:t xml:space="preserve">reported as primary because they conflate treatment with calendar era.</w:t>
      </w:r>
    </w:p>
    <w:bookmarkEnd w:id="11"/>
    <w:bookmarkStart w:id="12" w:name="propensity-score-and-weighting"/>
    <w:p>
      <w:pPr>
        <w:pStyle w:val="Heading1"/>
      </w:pPr>
      <w:r>
        <w:t xml:space="preserve">Propensity score and weighting</w:t>
      </w:r>
    </w:p>
    <w:p>
      <w:pPr>
        <w:pStyle w:val="FirstParagraph"/>
      </w:pPr>
      <w:r>
        <w:t xml:space="preserve">A propensity score (PS) for receipt of a novel regimen was estimated within the 2018–2025 cohort by</w:t>
      </w:r>
      <w:r>
        <w:t xml:space="preserve"> </w:t>
      </w:r>
      <w:r>
        <w:t xml:space="preserve">logistic regression (</w:t>
      </w:r>
      <w:r>
        <w:rPr>
          <w:rStyle w:val="VerbatimChar"/>
        </w:rPr>
        <w:t xml:space="preserve">stats::glm</w:t>
      </w:r>
      <w:r>
        <w:t xml:space="preserve">, binomial link) on four baseline covariates:</w:t>
      </w:r>
      <w:r>
        <w:t xml:space="preserve"> </w:t>
      </w:r>
      <w:r>
        <w:rPr>
          <w:b/>
          <w:bCs/>
        </w:rPr>
        <w:t xml:space="preserve">age, MELD at</w:t>
      </w:r>
      <w:r>
        <w:rPr>
          <w:b/>
          <w:bCs/>
        </w:rPr>
        <w:t xml:space="preserve"> </w:t>
      </w:r>
      <w:r>
        <w:rPr>
          <w:b/>
          <w:bCs/>
        </w:rPr>
        <w:t xml:space="preserve">transplantation, multisite colonization, and SOFA score</w:t>
      </w:r>
      <w:r>
        <w:t xml:space="preserve">. Stabilized inverse-probability-of-</w:t>
      </w:r>
      <w:r>
        <w:t xml:space="preserve"> </w:t>
      </w:r>
      <w:r>
        <w:t xml:space="preserve">treatment weights (IPTW) targeting the average treatment effect were computed as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for novel-treated patients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older-regimen</w:t>
      </w:r>
      <w:r>
        <w:t xml:space="preserve"> </w:t>
      </w:r>
      <w:r>
        <w:t xml:space="preserve">patients, where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is the estimated PS and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the marginal probability of novel</w:t>
      </w:r>
      <w:r>
        <w:t xml:space="preserve"> </w:t>
      </w:r>
      <w:r>
        <w:t xml:space="preserve">treatment. Covariate balance was assessed by standardized mean differences (SMD), with |SMD| &lt; 0.10</w:t>
      </w:r>
      <w:r>
        <w:t xml:space="preserve"> </w:t>
      </w:r>
      <w:r>
        <w:t xml:space="preserve">indicating adequate balance; after weighting, the maximum |SMD| was 0.017 (Supplementary Figure 1).</w:t>
      </w:r>
    </w:p>
    <w:bookmarkEnd w:id="12"/>
    <w:bookmarkStart w:id="13" w:name="primary-endpoint-90-day-mortality"/>
    <w:p>
      <w:pPr>
        <w:pStyle w:val="Heading1"/>
      </w:pPr>
      <w:r>
        <w:t xml:space="preserve">Primary endpoint: 90-day mortality</w:t>
      </w:r>
    </w:p>
    <w:p>
      <w:pPr>
        <w:pStyle w:val="FirstParagraph"/>
      </w:pPr>
      <w:r>
        <w:t xml:space="preserve">The weighted treatment effect on 90-day mortality was estimated with a</w:t>
      </w:r>
      <w:r>
        <w:t xml:space="preserve"> </w:t>
      </w:r>
      <w:r>
        <w:rPr>
          <w:b/>
          <w:bCs/>
        </w:rPr>
        <w:t xml:space="preserve">weighted Cox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proportional-hazards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survival::coxph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 = IPTW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 = TRUE</w:t>
      </w:r>
      <w:r>
        <w:t xml:space="preserve">), reported as a</w:t>
      </w:r>
      <w:r>
        <w:t xml:space="preserve"> </w:t>
      </w:r>
      <w:r>
        <w:t xml:space="preserve">hazard ratio (HR) with robust 95% CI. The adjusted cumulative-mortality curve (Figure 1) is the</w:t>
      </w:r>
      <w:r>
        <w:t xml:space="preserve"> </w:t>
      </w:r>
      <w:r>
        <w:t xml:space="preserve">complement of the weighted Kaplan–Meier estimate (</w:t>
      </w:r>
      <w:r>
        <w:rPr>
          <w:rStyle w:val="VerbatimChar"/>
        </w:rPr>
        <w:t xml:space="preserve">survival::survfit</w:t>
      </w:r>
      <w:r>
        <w:t xml:space="preserve">), with 95% confidence bands</w:t>
      </w:r>
      <w:r>
        <w:t xml:space="preserve"> </w:t>
      </w:r>
      <w:r>
        <w:t xml:space="preserve">from the robust variance. Because all-cause death is a terminal event with</w:t>
      </w:r>
      <w:r>
        <w:t xml:space="preserve"> </w:t>
      </w:r>
      <w:r>
        <w:rPr>
          <w:b/>
          <w:bCs/>
        </w:rPr>
        <w:t xml:space="preserve">no competing risk</w:t>
      </w:r>
      <w:r>
        <w:t xml:space="preserve">, a</w:t>
      </w:r>
      <w:r>
        <w:t xml:space="preserve"> </w:t>
      </w:r>
      <w:r>
        <w:t xml:space="preserve">subdistribution model is not applicable to mortality and was not used for this endpoint.</w:t>
      </w:r>
    </w:p>
    <w:p>
      <w:pPr>
        <w:pStyle w:val="BodyText"/>
      </w:pPr>
      <w:r>
        <w:rPr>
          <w:b/>
          <w:bCs/>
        </w:rPr>
        <w:t xml:space="preserve">Subgroups.</w:t>
      </w:r>
      <w:r>
        <w:t xml:space="preserve"> </w:t>
      </w:r>
      <w:r>
        <w:t xml:space="preserve">Consistency of the mortality effect was examined across pre-specified subgroups</w:t>
      </w:r>
      <w:r>
        <w:t xml:space="preserve"> </w:t>
      </w:r>
      <w:r>
        <w:t xml:space="preserve">(carbapenemase status, infection source, SOFA score, therapy type) by fitting the weighted Cox model</w:t>
      </w:r>
      <w:r>
        <w:t xml:space="preserve"> </w:t>
      </w:r>
      <w:r>
        <w:t xml:space="preserve">within each stratum and testing treatment-by-subgroup interactions (Supplementary Figure, forest</w:t>
      </w:r>
      <w:r>
        <w:t xml:space="preserve"> </w:t>
      </w:r>
      <w:r>
        <w:t xml:space="preserve">plot). Subgroup sizes within the era are small; confidence intervals are correspondingly wide and</w:t>
      </w:r>
      <w:r>
        <w:t xml:space="preserve"> </w:t>
      </w:r>
      <w:r>
        <w:t xml:space="preserve">interaction tests are of limited power.</w:t>
      </w:r>
    </w:p>
    <w:bookmarkEnd w:id="13"/>
    <w:bookmarkStart w:id="14" w:name="X41e60c88ec5e2ff75d96f812981686b0bd830d9"/>
    <w:p>
      <w:pPr>
        <w:pStyle w:val="Heading1"/>
      </w:pPr>
      <w:r>
        <w:t xml:space="preserve">Secondary endpoints: recurrence and resistance (competing risks)</w:t>
      </w:r>
    </w:p>
    <w:p>
      <w:pPr>
        <w:pStyle w:val="FirstParagraph"/>
      </w:pPr>
      <w:r>
        <w:t xml:space="preserve">Recurrence and resistance cannot occur after death, so death is a genuine</w:t>
      </w:r>
      <w:r>
        <w:t xml:space="preserve"> </w:t>
      </w:r>
      <w:r>
        <w:rPr>
          <w:b/>
          <w:bCs/>
        </w:rPr>
        <w:t xml:space="preserve">competing event</w:t>
      </w:r>
      <w:r>
        <w:t xml:space="preserve">. Each</w:t>
      </w:r>
      <w:r>
        <w:t xml:space="preserve"> </w:t>
      </w:r>
      <w:r>
        <w:t xml:space="preserve">patient was assigned a status of event of interest, death without the event, or censored. Weighted</w:t>
      </w:r>
      <w:r>
        <w:t xml:space="preserve"> </w:t>
      </w:r>
      <w:r>
        <w:rPr>
          <w:b/>
          <w:bCs/>
        </w:rPr>
        <w:t xml:space="preserve">Fine–Gray subdistribution hazard models</w:t>
      </w:r>
      <w:r>
        <w:t xml:space="preserve"> </w:t>
      </w:r>
      <w:r>
        <w:t xml:space="preserve">were fitted using</w:t>
      </w:r>
      <w:r>
        <w:t xml:space="preserve"> </w:t>
      </w:r>
      <w:r>
        <w:rPr>
          <w:rStyle w:val="VerbatimChar"/>
        </w:rPr>
        <w:t xml:space="preserve">survival::finegray</w:t>
      </w:r>
      <w:r>
        <w:t xml:space="preserve"> </w:t>
      </w:r>
      <w:r>
        <w:t xml:space="preserve">to construct the</w:t>
      </w:r>
      <w:r>
        <w:t xml:space="preserve"> </w:t>
      </w:r>
      <w:r>
        <w:t xml:space="preserve">subdistribution risk set, followed by</w:t>
      </w:r>
      <w:r>
        <w:t xml:space="preserve"> </w:t>
      </w:r>
      <w:r>
        <w:rPr>
          <w:rStyle w:val="VerbatimChar"/>
        </w:rPr>
        <w:t xml:space="preserve">survival::coxph</w:t>
      </w:r>
      <w:r>
        <w:t xml:space="preserve"> </w:t>
      </w:r>
      <w:r>
        <w:t xml:space="preserve">with the product of the Fine–Gray censoring</w:t>
      </w:r>
      <w:r>
        <w:t xml:space="preserve"> </w:t>
      </w:r>
      <w:r>
        <w:t xml:space="preserve">weights and the IPTW, and cluster-robust standard errors (</w:t>
      </w:r>
      <w:r>
        <w:rPr>
          <w:rStyle w:val="VerbatimChar"/>
        </w:rPr>
        <w:t xml:space="preserve">cluster(record_id)</w:t>
      </w:r>
      <w:r>
        <w:t xml:space="preserve">). Effects are reported</w:t>
      </w:r>
      <w:r>
        <w:t xml:space="preserve"> </w:t>
      </w:r>
      <w:r>
        <w:t xml:space="preserve">as subdistribution hazard ratios (sHR) with 95% CI. Cumulative incidence functions (Supplementary</w:t>
      </w:r>
      <w:r>
        <w:t xml:space="preserve"> </w:t>
      </w:r>
      <w:r>
        <w:t xml:space="preserve">Figure 2) were estimated by weighted multi-state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(Aalen–Johansen), with death as the</w:t>
      </w:r>
      <w:r>
        <w:t xml:space="preserve"> </w:t>
      </w:r>
      <w:r>
        <w:t xml:space="preserve">competing state.</w:t>
      </w:r>
    </w:p>
    <w:bookmarkEnd w:id="14"/>
    <w:bookmarkStart w:id="15" w:name="X4defad3c0f8082459c9fd84d58665853de522a6"/>
    <w:p>
      <w:pPr>
        <w:pStyle w:val="Heading1"/>
      </w:pPr>
      <w:r>
        <w:t xml:space="preserve">Outcome ascertainment (interpretive caveat)</w:t>
      </w:r>
    </w:p>
    <w:p>
      <w:pPr>
        <w:pStyle w:val="FirstParagraph"/>
      </w:pPr>
      <w:r>
        <w:t xml:space="preserve">Recurrence and resistance require repeat cultures and susceptibility testing to be detected. In the</w:t>
      </w:r>
      <w:r>
        <w:t xml:space="preserve"> </w:t>
      </w:r>
      <w:r>
        <w:t xml:space="preserve">2010–2017 records these outcomes were rarely recorded (no resistance events; few recurrences; almost</w:t>
      </w:r>
      <w:r>
        <w:t xml:space="preserve"> </w:t>
      </w:r>
      <w:r>
        <w:t xml:space="preserve">no microbiological clearance dates), consistent with less systematic retrospective follow-up.</w:t>
      </w:r>
      <w:r>
        <w:t xml:space="preserve"> </w:t>
      </w:r>
      <w:r>
        <w:t xml:space="preserve">Crude, era-spanning rates of these endpoints are therefore susceptible to differential detection;</w:t>
      </w:r>
      <w:r>
        <w:t xml:space="preserve"> </w:t>
      </w:r>
      <w:r>
        <w:t xml:space="preserve">the competing-risks comparison was based on the 2018–2025 era, in which surveillance was concurrent.</w:t>
      </w:r>
    </w:p>
    <w:bookmarkEnd w:id="15"/>
    <w:bookmarkStart w:id="16" w:name="software"/>
    <w:p>
      <w:pPr>
        <w:pStyle w:val="Heading1"/>
      </w:pPr>
      <w:r>
        <w:t xml:space="preserve">Software</w:t>
      </w:r>
    </w:p>
    <w:p>
      <w:pPr>
        <w:pStyle w:val="FirstParagraph"/>
      </w:pPr>
      <w:r>
        <w:t xml:space="preserve">All analyses were performed in</w:t>
      </w:r>
      <w:r>
        <w:t xml:space="preserve"> </w:t>
      </w:r>
      <w:r>
        <w:rPr>
          <w:b/>
          <w:bCs/>
        </w:rPr>
        <w:t xml:space="preserve">R version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as.character(getRversion())</w:t>
      </w:r>
      <w:r>
        <w:t xml:space="preserve"> </w:t>
      </w:r>
      <w:r>
        <w:t xml:space="preserve">(R Foundation for</w:t>
      </w:r>
      <w:r>
        <w:t xml:space="preserve"> </w:t>
      </w:r>
      <w:r>
        <w:t xml:space="preserve">Statistical Computing). Analyses are fully reproducible from a single script (</w:t>
      </w:r>
      <w:r>
        <w:rPr>
          <w:rStyle w:val="VerbatimChar"/>
        </w:rPr>
        <w:t xml:space="preserve">analysis.R</w:t>
      </w:r>
      <w:r>
        <w:t xml:space="preserve">).</w:t>
      </w:r>
    </w:p>
    <w:p>
      <w:pPr>
        <w:pStyle w:val="TableCaption"/>
      </w:pPr>
      <w:r>
        <w:t xml:space="preserve">Statistical software and R packages used.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tistical software and R packages used."/>
      </w:tblPr>
      <w:tblGrid>
        <w:gridCol w:w="1742"/>
        <w:gridCol w:w="950"/>
        <w:gridCol w:w="5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3.8.9</w:t>
            </w:r>
          </w:p>
        </w:tc>
        <w:tc>
          <w:tcPr/>
          <w:p>
            <w:pPr>
              <w:pStyle w:val="Compact"/>
            </w:pPr>
            <w:r>
              <w:t xml:space="preserve">Cox models,</w:t>
            </w:r>
            <w:r>
              <w:t xml:space="preserve"> </w:t>
            </w:r>
            <w:r>
              <w:rPr>
                <w:rStyle w:val="VerbatimChar"/>
              </w:rPr>
              <w:t xml:space="preserve">finegray</w:t>
            </w:r>
            <w:r>
              <w:t xml:space="preserve">, weighted</w:t>
            </w:r>
            <w:r>
              <w:t xml:space="preserve"> </w:t>
            </w:r>
            <w:r>
              <w:rPr>
                <w:rStyle w:val="VerbatimChar"/>
              </w:rPr>
              <w:t xml:space="preserve">survfit</w:t>
            </w:r>
            <w:r>
              <w:t xml:space="preserve"> </w:t>
            </w:r>
            <w:r>
              <w:t xml:space="preserve">(competing risks, CIF)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WeightIt</w:t>
            </w:r>
          </w:p>
        </w:tc>
        <w:tc>
          <w:tcPr/>
          <w:p>
            <w:pPr>
              <w:pStyle w:val="Compact"/>
            </w:pPr>
            <w:r>
              <w:t xml:space="preserve">1.7.0</w:t>
            </w:r>
          </w:p>
        </w:tc>
        <w:tc>
          <w:tcPr/>
          <w:p>
            <w:pPr>
              <w:pStyle w:val="Compact"/>
            </w:pPr>
            <w:r>
              <w:t xml:space="preserve">Propensity-score weighting (verification)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cobalt</w:t>
            </w:r>
          </w:p>
        </w:tc>
        <w:tc>
          <w:tcPr/>
          <w:p>
            <w:pPr>
              <w:pStyle w:val="Compact"/>
            </w:pPr>
            <w:r>
              <w:t xml:space="preserve">4.6.3</w:t>
            </w:r>
          </w:p>
        </w:tc>
        <w:tc>
          <w:tcPr/>
          <w:p>
            <w:pPr>
              <w:pStyle w:val="Compact"/>
            </w:pPr>
            <w:r>
              <w:t xml:space="preserve">Covariate-balance diagnostics / Love 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4.0.3</w:t>
            </w:r>
          </w:p>
        </w:tc>
        <w:tc>
          <w:tcPr/>
          <w:p>
            <w:pPr>
              <w:pStyle w:val="Compact"/>
            </w:pPr>
            <w:r>
              <w:t xml:space="preserve">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patchwork</w:t>
            </w:r>
          </w:p>
        </w:tc>
        <w:tc>
          <w:tcPr/>
          <w:p>
            <w:pPr>
              <w:pStyle w:val="Compact"/>
            </w:pPr>
            <w:r>
              <w:t xml:space="preserve">1.3.2</w:t>
            </w:r>
          </w:p>
        </w:tc>
        <w:tc>
          <w:tcPr/>
          <w:p>
            <w:pPr>
              <w:pStyle w:val="Compact"/>
            </w:pPr>
            <w:r>
              <w:t xml:space="preserve">Multi-panel figure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Formatted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haven</w:t>
            </w:r>
          </w:p>
        </w:tc>
        <w:tc>
          <w:tcPr/>
          <w:p>
            <w:pPr>
              <w:pStyle w:val="Compact"/>
            </w:pPr>
            <w:r>
              <w:t xml:space="preserve">2.5.5</w:t>
            </w:r>
          </w:p>
        </w:tc>
        <w:tc>
          <w:tcPr/>
          <w:p>
            <w:pPr>
              <w:pStyle w:val="Compact"/>
            </w:pPr>
            <w:r>
              <w:t xml:space="preserve">Import of SPSS (</w:t>
            </w:r>
            <w:r>
              <w:rPr>
                <w:rStyle w:val="VerbatimChar"/>
              </w:rPr>
              <w:t xml:space="preserve">.sav</w:t>
            </w:r>
            <w:r>
              <w:t xml:space="preserve">)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tidyverse (dplyr)</w:t>
            </w:r>
          </w:p>
        </w:tc>
        <w:tc>
          <w:tcPr/>
          <w:p>
            <w:pPr>
              <w:pStyle w:val="Compact"/>
            </w:pPr>
            <w:r>
              <w:t xml:space="preserve">2.0.0 (1.2.1)</w:t>
            </w:r>
          </w:p>
        </w:tc>
        <w:tc>
          <w:tcPr/>
          <w:p>
            <w:pPr>
              <w:pStyle w:val="Compact"/>
            </w:pPr>
            <w:r>
              <w:t xml:space="preserve">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1.4.0</w:t>
            </w:r>
          </w:p>
        </w:tc>
        <w:tc>
          <w:tcPr/>
          <w:p>
            <w:pPr>
              <w:pStyle w:val="Compact"/>
            </w:pPr>
            <w:r>
              <w:t xml:space="preserve">Axis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svglite</w:t>
            </w:r>
          </w:p>
        </w:tc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Vector (SVG) figure export</w:t>
            </w:r>
          </w:p>
        </w:tc>
      </w:tr>
    </w:tbl>
    <w:p>
      <w:pPr>
        <w:pStyle w:val="BodyText"/>
      </w:pPr>
      <w:r>
        <w:t xml:space="preserve">All statistical tests were two-sided; p &lt; 0.05 was considered statistically significant.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Statistical Methods</dc:title>
  <dc:creator/>
  <cp:keywords/>
  <dcterms:created xsi:type="dcterms:W3CDTF">2026-07-20T15:26:12Z</dcterms:created>
  <dcterms:modified xsi:type="dcterms:W3CDTF">2026-07-20T15:26:12Z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2026-07-20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Novel vs. older regimens for CRE infection in liver transplant recipients (CRECOOLT)</vt:lpwstr>
  </property>
  <property fmtid="{D5CDD505-2E9C-101B-9397-08002B2CF9AE}" pid="10" name="toc-title">
    <vt:lpwstr>Table of contents</vt:lpwstr>
  </property>
</Properties>
</file>