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26B48D" w14:textId="77777777" w:rsidR="00D548EB" w:rsidRDefault="00CD24C1" w:rsidP="00D548EB">
      <w:pPr>
        <w:spacing w:after="0"/>
        <w:jc w:val="center"/>
        <w:rPr>
          <w:b/>
          <w:bCs/>
          <w:sz w:val="32"/>
          <w:szCs w:val="32"/>
        </w:rPr>
      </w:pPr>
      <w:r w:rsidRPr="00D548EB">
        <w:rPr>
          <w:b/>
          <w:bCs/>
          <w:sz w:val="32"/>
          <w:szCs w:val="32"/>
        </w:rPr>
        <w:t xml:space="preserve">Phenotypic and Genotypic Adaptation of Fungi to </w:t>
      </w:r>
    </w:p>
    <w:p w14:paraId="2D5EAA86" w14:textId="54D3B72A" w:rsidR="00231DA3" w:rsidRPr="00D548EB" w:rsidRDefault="00CD24C1" w:rsidP="00D548EB">
      <w:pPr>
        <w:spacing w:after="0"/>
        <w:jc w:val="center"/>
        <w:rPr>
          <w:b/>
          <w:bCs/>
          <w:sz w:val="32"/>
          <w:szCs w:val="32"/>
        </w:rPr>
      </w:pPr>
      <w:r w:rsidRPr="00D548EB">
        <w:rPr>
          <w:b/>
          <w:bCs/>
          <w:sz w:val="32"/>
          <w:szCs w:val="32"/>
        </w:rPr>
        <w:t>a Warming and Destabilized Planet</w:t>
      </w:r>
    </w:p>
    <w:p w14:paraId="23C0A728" w14:textId="36100707" w:rsidR="00231DA3" w:rsidRPr="00E72972" w:rsidRDefault="00CD24C1" w:rsidP="0015741A">
      <w:pPr>
        <w:rPr>
          <w:rFonts w:cs="Times New Roman"/>
        </w:rPr>
      </w:pPr>
      <w:r w:rsidRPr="00E72972">
        <w:rPr>
          <w:rFonts w:cs="Times New Roman"/>
          <w:b/>
        </w:rPr>
        <w:t>Dimitrios P. Kontoyiannis</w:t>
      </w:r>
      <w:r w:rsidRPr="00E72972">
        <w:rPr>
          <w:rFonts w:cs="Times New Roman"/>
        </w:rPr>
        <w:t xml:space="preserve"> Division of Internal Medicine, Department of Infectious Diseases, Infection Control and Employee Health, The University of Texas MD Anderson Cancer Center, Houston, TX, USA e-mail: </w:t>
      </w:r>
      <w:r w:rsidR="00583D17">
        <w:rPr>
          <w:rFonts w:cs="Times New Roman"/>
        </w:rPr>
        <w:t>dkontoyi@mdandserson.org</w:t>
      </w:r>
    </w:p>
    <w:p w14:paraId="30D96028" w14:textId="1814CCD5" w:rsidR="00231DA3" w:rsidRPr="00E72972" w:rsidRDefault="00583D17" w:rsidP="0015741A">
      <w:pPr>
        <w:rPr>
          <w:rFonts w:cs="Times New Roman"/>
        </w:rPr>
      </w:pPr>
      <w:r>
        <w:rPr>
          <w:rFonts w:cs="Times New Roman"/>
          <w:b/>
        </w:rPr>
        <w:t>Russell E.</w:t>
      </w:r>
      <w:r w:rsidR="0015741A">
        <w:rPr>
          <w:rFonts w:cs="Times New Roman"/>
          <w:b/>
        </w:rPr>
        <w:t xml:space="preserve"> </w:t>
      </w:r>
      <w:r>
        <w:rPr>
          <w:rFonts w:cs="Times New Roman"/>
          <w:b/>
        </w:rPr>
        <w:t>Lewis</w:t>
      </w:r>
      <w:r w:rsidRPr="00E72972">
        <w:rPr>
          <w:rFonts w:cs="Times New Roman"/>
        </w:rPr>
        <w:t xml:space="preserve"> </w:t>
      </w:r>
      <w:r w:rsidR="00250075">
        <w:rPr>
          <w:rFonts w:cs="Times New Roman"/>
        </w:rPr>
        <w:t>Department of Molecular Medicine, University of Padua, Padua, Italy. email: russelledward.lewis</w:t>
      </w:r>
      <w:r w:rsidR="005350CB">
        <w:rPr>
          <w:rFonts w:cs="Times New Roman"/>
        </w:rPr>
        <w:t>@unipd.it</w:t>
      </w:r>
    </w:p>
    <w:p w14:paraId="1E4AA1F8" w14:textId="71CC61F2" w:rsidR="00231DA3" w:rsidRPr="00E72972" w:rsidRDefault="00CD24C1" w:rsidP="0015741A">
      <w:pPr>
        <w:rPr>
          <w:rFonts w:cs="Times New Roman"/>
        </w:rPr>
      </w:pPr>
      <w:r w:rsidRPr="00E72972">
        <w:rPr>
          <w:rFonts w:cs="Times New Roman"/>
          <w:i/>
        </w:rPr>
        <w:t xml:space="preserve">Corresponding author: </w:t>
      </w:r>
      <w:r w:rsidR="00583D17">
        <w:rPr>
          <w:rFonts w:cs="Times New Roman"/>
          <w:i/>
        </w:rPr>
        <w:t>Dimitrios P. Kontoyiannis</w:t>
      </w:r>
    </w:p>
    <w:p w14:paraId="30346CDA" w14:textId="77777777" w:rsidR="00231DA3" w:rsidRPr="00E72972" w:rsidRDefault="00CD24C1" w:rsidP="0015741A">
      <w:pPr>
        <w:pStyle w:val="Heading1"/>
        <w:rPr>
          <w:rFonts w:ascii="Times New Roman" w:hAnsi="Times New Roman" w:cs="Times New Roman"/>
        </w:rPr>
      </w:pPr>
      <w:r w:rsidRPr="00E72972">
        <w:rPr>
          <w:rFonts w:ascii="Times New Roman" w:hAnsi="Times New Roman" w:cs="Times New Roman"/>
        </w:rPr>
        <w:t>Abstract</w:t>
      </w:r>
    </w:p>
    <w:p w14:paraId="6640C527" w14:textId="77777777" w:rsidR="00231DA3" w:rsidRPr="00E72972" w:rsidRDefault="00CD24C1" w:rsidP="0015741A">
      <w:pPr>
        <w:rPr>
          <w:rFonts w:cs="Times New Roman"/>
        </w:rPr>
      </w:pPr>
      <w:r w:rsidRPr="00E72972">
        <w:rPr>
          <w:rFonts w:cs="Times New Roman"/>
        </w:rPr>
        <w:t>Fungi are an environmental kingdom whose selective landscape humans are actively rewriting. Two distinct kinds of climate pressure act on that landscape: chronic change in mean temperature, humidity and atmospheric composition, and acute geo-meteorological disturbance in the form of tornadoes, floods, wildfires, dust storms and seismic events. The two act through partly different mechanisms — the first largely through selection, the second largely through dispersal, host trauma and combinatorial stress. Thi</w:t>
      </w:r>
      <w:r w:rsidRPr="00E72972">
        <w:rPr>
          <w:rFonts w:cs="Times New Roman"/>
        </w:rPr>
        <w:t xml:space="preserve">s chapter reviews what is now experimentally established about how fungi adapt to these pressures, and separates it from what remains inference. Three mechanistic findings anchor the field: growth at elevated temperature increases virulence and oxidative-stress tolerance in Mucorales through calcineurin-dependent signalling; host temperature is itself mutagenic, mobilizing transposable elements in </w:t>
      </w:r>
      <w:r w:rsidRPr="00E72972">
        <w:rPr>
          <w:rFonts w:cs="Times New Roman"/>
          <w:i/>
        </w:rPr>
        <w:t>Cryptococcus</w:t>
      </w:r>
      <w:r w:rsidRPr="00E72972">
        <w:rPr>
          <w:rFonts w:cs="Times New Roman"/>
        </w:rPr>
        <w:t xml:space="preserve"> and inducing pan-resistant, hypervirulent mutants in </w:t>
      </w:r>
      <w:r w:rsidRPr="00E72972">
        <w:rPr>
          <w:rFonts w:cs="Times New Roman"/>
          <w:i/>
        </w:rPr>
        <w:t>Rhodosporidiobolus</w:t>
      </w:r>
      <w:r w:rsidRPr="00E72972">
        <w:rPr>
          <w:rFonts w:cs="Times New Roman"/>
        </w:rPr>
        <w:t xml:space="preserve">; and physical stresses such as extreme shear can induce transient hypervirulence through the same chaperone and phosphatase networks that mediate thermal adaptation. Against this, the leap to a human fungal pandemic is not supported: the thermal barrier imposed by mammalian endothermy remains wide, thermotolerance alone is a weak predictor of pathogenicity, and the best-documented recent emergences — </w:t>
      </w:r>
      <w:r w:rsidRPr="00E72972">
        <w:rPr>
          <w:rFonts w:cs="Times New Roman"/>
          <w:i/>
        </w:rPr>
        <w:t>Candida auris</w:t>
      </w:r>
      <w:r w:rsidRPr="00E72972">
        <w:rPr>
          <w:rFonts w:cs="Times New Roman"/>
        </w:rPr>
        <w:t xml:space="preserve">, azole-resistant </w:t>
      </w:r>
      <w:r w:rsidRPr="00E72972">
        <w:rPr>
          <w:rFonts w:cs="Times New Roman"/>
          <w:i/>
        </w:rPr>
        <w:t>Aspergillus fumigatus</w:t>
      </w:r>
      <w:r w:rsidRPr="00E72972">
        <w:rPr>
          <w:rFonts w:cs="Times New Roman"/>
        </w:rPr>
        <w:t xml:space="preserve">, terbinafine-resistant </w:t>
      </w:r>
      <w:r w:rsidRPr="00E72972">
        <w:rPr>
          <w:rFonts w:cs="Times New Roman"/>
          <w:i/>
        </w:rPr>
        <w:t>Trichophyton indotineae</w:t>
      </w:r>
      <w:r w:rsidRPr="00E72972">
        <w:rPr>
          <w:rFonts w:cs="Times New Roman"/>
        </w:rPr>
        <w:t xml:space="preserve"> — are as much stories of antifungal selection pressure, healthcare practice and poverty as of temperature. We propose an evidence-graded framework, an explicit set of falsifiable criteria for climate attribution, and a research agenda in which the limiting factor is study design rather than rhetoric.</w:t>
      </w:r>
    </w:p>
    <w:p w14:paraId="5DD860D4" w14:textId="77777777" w:rsidR="00231DA3" w:rsidRPr="00E72972" w:rsidRDefault="00CD24C1" w:rsidP="0015741A">
      <w:pPr>
        <w:rPr>
          <w:rFonts w:cs="Times New Roman"/>
        </w:rPr>
      </w:pPr>
      <w:r w:rsidRPr="00E72972">
        <w:rPr>
          <w:rFonts w:cs="Times New Roman"/>
          <w:b/>
        </w:rPr>
        <w:t>Keywords</w:t>
      </w:r>
      <w:r w:rsidRPr="00E72972">
        <w:rPr>
          <w:rFonts w:cs="Times New Roman"/>
        </w:rPr>
        <w:t xml:space="preserve"> Thermal adaptation · Thermotolerance · Disaster microbiology · Antifungal resistance · </w:t>
      </w:r>
      <w:r w:rsidRPr="00E72972">
        <w:rPr>
          <w:rFonts w:cs="Times New Roman"/>
          <w:i/>
        </w:rPr>
        <w:t>Candida auris</w:t>
      </w:r>
      <w:r w:rsidRPr="00E72972">
        <w:rPr>
          <w:rFonts w:cs="Times New Roman"/>
        </w:rPr>
        <w:t xml:space="preserve"> · Mucorales · Transposon mobilization · One Health</w:t>
      </w:r>
    </w:p>
    <w:p w14:paraId="510781ED" w14:textId="77777777" w:rsidR="00231DA3" w:rsidRPr="00E72972" w:rsidRDefault="00CD24C1" w:rsidP="0015741A">
      <w:pPr>
        <w:pStyle w:val="Heading1"/>
        <w:rPr>
          <w:rFonts w:ascii="Times New Roman" w:hAnsi="Times New Roman" w:cs="Times New Roman"/>
        </w:rPr>
      </w:pPr>
      <w:r w:rsidRPr="00E72972">
        <w:rPr>
          <w:rFonts w:ascii="Times New Roman" w:hAnsi="Times New Roman" w:cs="Times New Roman"/>
        </w:rPr>
        <w:t>1 Introduction: Fungi in a Destabilized Biosphere</w:t>
      </w:r>
    </w:p>
    <w:p w14:paraId="281043EE" w14:textId="77777777" w:rsidR="00231DA3" w:rsidRPr="00E72972" w:rsidRDefault="00CD24C1" w:rsidP="0015741A">
      <w:pPr>
        <w:pStyle w:val="Heading2"/>
        <w:rPr>
          <w:rFonts w:cs="Times New Roman"/>
        </w:rPr>
      </w:pPr>
      <w:r w:rsidRPr="00E72972">
        <w:rPr>
          <w:rFonts w:cs="Times New Roman"/>
        </w:rPr>
        <w:t>1.1 The Fungal Kingdom as a Climate-Responsive System</w:t>
      </w:r>
    </w:p>
    <w:p w14:paraId="130ACB58" w14:textId="77777777" w:rsidR="00231DA3" w:rsidRPr="00E72972" w:rsidRDefault="00CD24C1" w:rsidP="0015741A">
      <w:pPr>
        <w:rPr>
          <w:rFonts w:cs="Times New Roman"/>
        </w:rPr>
      </w:pPr>
      <w:r w:rsidRPr="00E72972">
        <w:rPr>
          <w:rFonts w:cs="Times New Roman"/>
        </w:rPr>
        <w:t>The fungal kingdom is large, ancient and overwhelmingly environmental. Conservative estimates place global fungal diversity between 2.2 and 3.8 million species, of which fewer than 150,000 have been formally described (Hawksworth and Lücking 2017). Of that vast pool, only a few hundred species have ever been implicated in human disease, and yet the aggregate clinical burden is now substantial: current global estimates attribute roughly 6.5 million invasive fungal infections and 3.8 million deaths annually t</w:t>
      </w:r>
      <w:r w:rsidRPr="00E72972">
        <w:rPr>
          <w:rFonts w:cs="Times New Roman"/>
        </w:rPr>
        <w:t xml:space="preserve">o fungal disease, a figure that has risen sharply as estimation methods have improved (Denning 2024). The </w:t>
      </w:r>
      <w:r w:rsidRPr="00E72972">
        <w:rPr>
          <w:rFonts w:cs="Times New Roman"/>
        </w:rPr>
        <w:lastRenderedPageBreak/>
        <w:t>World Health Organization's first fungal priority pathogens list formalized what the mycological community had argued for two decades — that fungi had been systematically neglected in global health policy (Fisher and Denning 2023).</w:t>
      </w:r>
    </w:p>
    <w:p w14:paraId="2027A631" w14:textId="77777777" w:rsidR="00231DA3" w:rsidRPr="00E72972" w:rsidRDefault="00CD24C1" w:rsidP="0015741A">
      <w:pPr>
        <w:rPr>
          <w:rFonts w:cs="Times New Roman"/>
        </w:rPr>
      </w:pPr>
      <w:r w:rsidRPr="00E72972">
        <w:rPr>
          <w:rFonts w:cs="Times New Roman"/>
        </w:rPr>
        <w:t xml:space="preserve">Fungi are also, in a literal sense, a planetary system. They mediate a large fraction of terrestrial carbon and nutrient cycling; mycorrhizal mycelium alone has been estimated to receive on the order of 13 Gt of CO₂-equivalent carbon from plants each year, making it one of the largest annual carbon fluxes in the terrestrial biosphere (Hawkins et al. 2023). Recent syntheses have argued that fungal responses to global change should be treated as an Earth-system variable rather than a specialist concern (Case </w:t>
      </w:r>
      <w:r w:rsidRPr="00E72972">
        <w:rPr>
          <w:rFonts w:cs="Times New Roman"/>
        </w:rPr>
        <w:t xml:space="preserve">et al. 2025). This dual identity — ecosystem engineers that include a small number of opportunistic pathogens — is what makes the question posed in this chapter unusual. We are not asking whether a known pathogen will become more common. We are asking whether human alteration of the physical environment is changing the </w:t>
      </w:r>
      <w:r w:rsidRPr="00E72972">
        <w:rPr>
          <w:rFonts w:cs="Times New Roman"/>
          <w:i/>
        </w:rPr>
        <w:t>properties</w:t>
      </w:r>
      <w:r w:rsidRPr="00E72972">
        <w:rPr>
          <w:rFonts w:cs="Times New Roman"/>
        </w:rPr>
        <w:t xml:space="preserve"> of an enormous environmental reservoir, and whether the small pathogenic subset is being enlarged or intensified as a by-product.</w:t>
      </w:r>
    </w:p>
    <w:p w14:paraId="2C1F7A9F" w14:textId="77777777" w:rsidR="00231DA3" w:rsidRPr="00E72972" w:rsidRDefault="00CD24C1" w:rsidP="0015741A">
      <w:pPr>
        <w:rPr>
          <w:rFonts w:cs="Times New Roman"/>
        </w:rPr>
      </w:pPr>
      <w:r w:rsidRPr="00E72972">
        <w:rPr>
          <w:rFonts w:cs="Times New Roman"/>
        </w:rPr>
        <w:t xml:space="preserve">That question has become empirically tractable only recently, and the reason is instructive. For most of the twentieth century, fungal adaptation was studied either as agricultural fungicide resistance or as laboratory evolution in </w:t>
      </w:r>
      <w:r w:rsidRPr="00E72972">
        <w:rPr>
          <w:rFonts w:cs="Times New Roman"/>
          <w:i/>
        </w:rPr>
        <w:t>Saccharomyces</w:t>
      </w:r>
      <w:r w:rsidRPr="00E72972">
        <w:rPr>
          <w:rFonts w:cs="Times New Roman"/>
        </w:rPr>
        <w:t>. The convergence of three developments — affordable whole-genome sequencing of environmental isolates, tractable invertebrate and tissue-model infection systems, and gridded climate data of sufficient resolution to be joined to isolate metadata — has made it possible to ask mechanistic questions about adaptation in the field rather than only in the laboratory (Seidel et al. 2024; Nnadi and Carter 2021).</w:t>
      </w:r>
    </w:p>
    <w:p w14:paraId="4EAFF0EA" w14:textId="77777777" w:rsidR="00231DA3" w:rsidRPr="00E72972" w:rsidRDefault="00CD24C1" w:rsidP="0015741A">
      <w:pPr>
        <w:pStyle w:val="Heading2"/>
        <w:rPr>
          <w:rFonts w:cs="Times New Roman"/>
        </w:rPr>
      </w:pPr>
      <w:r w:rsidRPr="00E72972">
        <w:rPr>
          <w:rFonts w:cs="Times New Roman"/>
        </w:rPr>
        <w:t>1.2 Two Axes of Change: Chronic Warming and Acute Disturbance</w:t>
      </w:r>
    </w:p>
    <w:p w14:paraId="4EBA21F7" w14:textId="77777777" w:rsidR="00231DA3" w:rsidRPr="00E72972" w:rsidRDefault="00CD24C1" w:rsidP="0015741A">
      <w:pPr>
        <w:rPr>
          <w:rFonts w:cs="Times New Roman"/>
        </w:rPr>
      </w:pPr>
      <w:r w:rsidRPr="00E72972">
        <w:rPr>
          <w:rFonts w:cs="Times New Roman"/>
        </w:rPr>
        <w:t>It is analytically useful, and in our view necessary, to separate two kinds of climate pressure (Fig. 1).</w:t>
      </w:r>
    </w:p>
    <w:p w14:paraId="55B5DC38" w14:textId="77777777" w:rsidR="00231DA3" w:rsidRPr="00E72972" w:rsidRDefault="00CD24C1" w:rsidP="0015741A">
      <w:pPr>
        <w:rPr>
          <w:rFonts w:cs="Times New Roman"/>
        </w:rPr>
      </w:pPr>
      <w:r w:rsidRPr="00E72972">
        <w:rPr>
          <w:rFonts w:cs="Times New Roman"/>
        </w:rPr>
        <w:t xml:space="preserve">The </w:t>
      </w:r>
      <w:r w:rsidRPr="00E72972">
        <w:rPr>
          <w:rFonts w:cs="Times New Roman"/>
          <w:b/>
        </w:rPr>
        <w:t>chronic axis</w:t>
      </w:r>
      <w:r w:rsidRPr="00E72972">
        <w:rPr>
          <w:rFonts w:cs="Times New Roman"/>
        </w:rPr>
        <w:t xml:space="preserve"> comprises slow, directional change: rising mean surface temperature, shifts in aridity and humidity regimes, elevated atmospheric CO₂, altered ultraviolet exposure, glacial retreat and permafrost thaw, and sea-level rise with coastal submersion. These act principally as </w:t>
      </w:r>
      <w:r w:rsidRPr="00E72972">
        <w:rPr>
          <w:rFonts w:cs="Times New Roman"/>
          <w:i/>
        </w:rPr>
        <w:t>selective</w:t>
      </w:r>
      <w:r w:rsidRPr="00E72972">
        <w:rPr>
          <w:rFonts w:cs="Times New Roman"/>
        </w:rPr>
        <w:t xml:space="preserve"> pressures. They change which genotypes in an environmental population are favoured, over timescales of many fungal generations, and they change the geographic envelope within which a species can complete its life cycle.</w:t>
      </w:r>
    </w:p>
    <w:p w14:paraId="3CCE21DE" w14:textId="77777777" w:rsidR="00231DA3" w:rsidRPr="00E72972" w:rsidRDefault="00CD24C1" w:rsidP="0015741A">
      <w:pPr>
        <w:rPr>
          <w:rFonts w:cs="Times New Roman"/>
        </w:rPr>
      </w:pPr>
      <w:r w:rsidRPr="00E72972">
        <w:rPr>
          <w:rFonts w:cs="Times New Roman"/>
        </w:rPr>
        <w:t xml:space="preserve">The </w:t>
      </w:r>
      <w:r w:rsidRPr="00E72972">
        <w:rPr>
          <w:rFonts w:cs="Times New Roman"/>
          <w:b/>
        </w:rPr>
        <w:t>acute axis</w:t>
      </w:r>
      <w:r w:rsidRPr="00E72972">
        <w:rPr>
          <w:rFonts w:cs="Times New Roman"/>
        </w:rPr>
        <w:t xml:space="preserve"> comprises discrete, high-energy events: tornadoes and tropical cyclones, extreme rainfall and flooding, wildfires, dust storms, earthquakes and tsunamis. These act principally through </w:t>
      </w:r>
      <w:r w:rsidRPr="00E72972">
        <w:rPr>
          <w:rFonts w:cs="Times New Roman"/>
          <w:i/>
        </w:rPr>
        <w:t>dispersal</w:t>
      </w:r>
      <w:r w:rsidRPr="00E72972">
        <w:rPr>
          <w:rFonts w:cs="Times New Roman"/>
        </w:rPr>
        <w:t xml:space="preserve">, through </w:t>
      </w:r>
      <w:r w:rsidRPr="00E72972">
        <w:rPr>
          <w:rFonts w:cs="Times New Roman"/>
          <w:i/>
        </w:rPr>
        <w:t>host trauma and displacement</w:t>
      </w:r>
      <w:r w:rsidRPr="00E72972">
        <w:rPr>
          <w:rFonts w:cs="Times New Roman"/>
        </w:rPr>
        <w:t>, and through the delivery of intense, combinatorial physical stress to fungal cells — shear, desiccation, heat, oxidative challenge — over minutes to days rather than decades. The recognition that this second axis constitutes a coherent field of study in its own right, distinct from classical environmental mycology, is the contribution of disaster microbiology (Smith and Casadevall 2022, 2023).</w:t>
      </w:r>
    </w:p>
    <w:p w14:paraId="4AF60D1A" w14:textId="77777777" w:rsidR="00231DA3" w:rsidRPr="00E72972" w:rsidRDefault="00CD24C1" w:rsidP="0015741A">
      <w:pPr>
        <w:rPr>
          <w:rFonts w:cs="Times New Roman"/>
        </w:rPr>
      </w:pPr>
      <w:r w:rsidRPr="00E72972">
        <w:rPr>
          <w:rFonts w:cs="Times New Roman"/>
        </w:rPr>
        <w:t>Both axes are modified throughout by a socioeconomic gradient. Poverty, armed conflict, forced migration, urban crowding and unequal access to diagnostics and antifungals determine who is exposed, who is susceptible, and who is treated — and they do so more powerfully than any biological variable discussed in this chapter (Jenks et al. 2023). A chapter on fungal adaptation that omits this would misrepresent the epidemiology it seeks to explain.</w:t>
      </w:r>
    </w:p>
    <w:p w14:paraId="5C6174E9" w14:textId="77777777" w:rsidR="00231DA3" w:rsidRPr="00E72972" w:rsidRDefault="00CD24C1" w:rsidP="0015741A">
      <w:pPr>
        <w:pStyle w:val="Heading2"/>
        <w:rPr>
          <w:rFonts w:cs="Times New Roman"/>
        </w:rPr>
      </w:pPr>
      <w:r w:rsidRPr="00E72972">
        <w:rPr>
          <w:rFonts w:cs="Times New Roman"/>
        </w:rPr>
        <w:lastRenderedPageBreak/>
        <w:t>1.3 Scope and Roadmap</w:t>
      </w:r>
    </w:p>
    <w:p w14:paraId="21CF0003" w14:textId="77777777" w:rsidR="00231DA3" w:rsidRPr="00E72972" w:rsidRDefault="00CD24C1" w:rsidP="0015741A">
      <w:pPr>
        <w:rPr>
          <w:rFonts w:cs="Times New Roman"/>
        </w:rPr>
      </w:pPr>
      <w:r w:rsidRPr="00E72972">
        <w:rPr>
          <w:rFonts w:cs="Times New Roman"/>
        </w:rPr>
        <w:t>We restrict the chapter to fungal adaptation and its consequences. Section 2 sets out the thermal restriction hypothesis, the quantitative argument on which most climate–mycology reasoning rests, and its principal weakness. Sections 3 and 4 separate phenotypic (plastic, reversible) from genotypic (heritable) adaptation, because conflating them is the most common error in this literature. Section 5 tests the framework against six sentinel emergences, grading the strength of climate attribution in each. Secti</w:t>
      </w:r>
      <w:r w:rsidRPr="00E72972">
        <w:rPr>
          <w:rFonts w:cs="Times New Roman"/>
        </w:rPr>
        <w:t>on 6 treats anthropogenic co-drivers that are often mislabelled as climate effects. Section 7 develops the disaster axis. Section 8 places human mycoses in the broader One Health context of plant, crop and wildlife disease, where climate-driven fungal mortality is already demonstrable. Section 9 addresses the pandemic question with explicit criteria, and Section 10 proposes a research and response agenda. Clinical management and the antifungal development pipeline are outside our scope; both are reviewed el</w:t>
      </w:r>
      <w:r w:rsidRPr="00E72972">
        <w:rPr>
          <w:rFonts w:cs="Times New Roman"/>
        </w:rPr>
        <w:t>sewhere (Lax et al. 2024).</w:t>
      </w:r>
    </w:p>
    <w:p w14:paraId="1D40461D" w14:textId="77777777" w:rsidR="00231DA3" w:rsidRPr="0015741A" w:rsidRDefault="00CD24C1" w:rsidP="0015741A">
      <w:pPr>
        <w:pStyle w:val="Heading2"/>
      </w:pPr>
      <w:r w:rsidRPr="0015741A">
        <w:t>2 The Thermal Restriction Hypothesis and Its Limits</w:t>
      </w:r>
    </w:p>
    <w:p w14:paraId="45CE83E7" w14:textId="77777777" w:rsidR="00231DA3" w:rsidRPr="00E72972" w:rsidRDefault="00CD24C1" w:rsidP="0015741A">
      <w:pPr>
        <w:pStyle w:val="Heading2"/>
        <w:rPr>
          <w:rFonts w:cs="Times New Roman"/>
        </w:rPr>
      </w:pPr>
      <w:r w:rsidRPr="00E72972">
        <w:rPr>
          <w:rFonts w:cs="Times New Roman"/>
        </w:rPr>
        <w:t>2.1 Endothermy as a Barrier to Fungal Infection</w:t>
      </w:r>
    </w:p>
    <w:p w14:paraId="1EA705B1" w14:textId="77777777" w:rsidR="00231DA3" w:rsidRPr="00E72972" w:rsidRDefault="00CD24C1" w:rsidP="0015741A">
      <w:pPr>
        <w:rPr>
          <w:rFonts w:cs="Times New Roman"/>
        </w:rPr>
      </w:pPr>
      <w:r w:rsidRPr="00E72972">
        <w:rPr>
          <w:rFonts w:cs="Times New Roman"/>
        </w:rPr>
        <w:t xml:space="preserve">The dominant conceptual framework in this field holds that mammalian body temperature functions as a thermal barrier excluding the great majority of fungi from vertebrate hosts. Its empirical basis is a survey of fungal thermal tolerance across culture-collection isolates showing that the proportion of species capable of growth declines steeply with increasing temperature, such that each additional degree above roughly 30 °C excludes a substantial further fraction of the environmental mycobiota (Robert and </w:t>
      </w:r>
      <w:r w:rsidRPr="00E72972">
        <w:rPr>
          <w:rFonts w:cs="Times New Roman"/>
        </w:rPr>
        <w:t>Casadevall 2009). Modelling of the trade-off between the metabolic cost of endothermy and the protection it confers against fungal infection identified an optimum close to observed mammalian body temperatures, suggesting that thermal exclusion of fungi may have been one selective factor shaping endothermy itself (Bergman and Casadevall 2010). The corollary argument — that the fungal barrier contributed to mammalian radiation after the Cretaceous–Paleogene extinction, when fungal biomass is thought to have b</w:t>
      </w:r>
      <w:r w:rsidRPr="00E72972">
        <w:rPr>
          <w:rFonts w:cs="Times New Roman"/>
        </w:rPr>
        <w:t>een abundant — remains an evolutionary hypothesis rather than a demonstrated fact, but it has proved a productive one (Casadevall 2012).</w:t>
      </w:r>
    </w:p>
    <w:p w14:paraId="089229CD" w14:textId="77777777" w:rsidR="00231DA3" w:rsidRPr="00E72972" w:rsidRDefault="00CD24C1" w:rsidP="0015741A">
      <w:pPr>
        <w:rPr>
          <w:rFonts w:cs="Times New Roman"/>
        </w:rPr>
      </w:pPr>
      <w:r w:rsidRPr="00E72972">
        <w:rPr>
          <w:rFonts w:cs="Times New Roman"/>
        </w:rPr>
        <w:t>The prediction that follows is simple and testable: sustained environmental warming should select for thermotolerance in environmental fungi, gradually enlarging the subset able to grow at mammalian temperature, and therefore enlarging the pool of potential opportunistic pathogens (García-Solache and Casadevall 2010; Casadevall 2020).</w:t>
      </w:r>
    </w:p>
    <w:p w14:paraId="6A5A506C" w14:textId="77777777" w:rsidR="00231DA3" w:rsidRPr="00E72972" w:rsidRDefault="00CD24C1" w:rsidP="0015741A">
      <w:pPr>
        <w:pStyle w:val="Heading2"/>
        <w:rPr>
          <w:rFonts w:cs="Times New Roman"/>
        </w:rPr>
      </w:pPr>
      <w:r w:rsidRPr="00E72972">
        <w:rPr>
          <w:rFonts w:cs="Times New Roman"/>
        </w:rPr>
        <w:t>2.2 The Narrowing Thermal Exclusion Zone</w:t>
      </w:r>
    </w:p>
    <w:p w14:paraId="25CC2CDB" w14:textId="77777777" w:rsidR="00231DA3" w:rsidRPr="00E72972" w:rsidRDefault="00CD24C1" w:rsidP="0015741A">
      <w:pPr>
        <w:rPr>
          <w:rFonts w:cs="Times New Roman"/>
        </w:rPr>
      </w:pPr>
      <w:r w:rsidRPr="00E72972">
        <w:rPr>
          <w:rFonts w:cs="Times New Roman"/>
        </w:rPr>
        <w:t>Two trends converge on this barrier (Fig. 2). The first is environmental warming itself. The second, less often noted, is that human core temperature has fallen. Analysis of three cohorts spanning more than 150 years of US records found a monotonic decline of approximately 0.03 °C per birth decade, placing the modern mean near 36.6 °C rather than the canonical 37.0 °C (Protsiv et al. 2020). The gradient is therefore closing from both sides.</w:t>
      </w:r>
    </w:p>
    <w:p w14:paraId="24E19D6F" w14:textId="77777777" w:rsidR="00231DA3" w:rsidRPr="00E72972" w:rsidRDefault="00CD24C1" w:rsidP="0015741A">
      <w:pPr>
        <w:rPr>
          <w:rFonts w:cs="Times New Roman"/>
        </w:rPr>
      </w:pPr>
      <w:r w:rsidRPr="00E72972">
        <w:rPr>
          <w:rFonts w:cs="Times New Roman"/>
        </w:rPr>
        <w:t xml:space="preserve">The magnitude, however, deserves emphasis, because it is routinely overstated in secondary commentary. The difference between the thermal optimum of a typical soil fungus and mammalian core temperature remains on the order of 10–20 °C, and neither trend closes a gap of that size on a decadal timescale. What warming plausibly does is shift the </w:t>
      </w:r>
      <w:r w:rsidRPr="00E72972">
        <w:rPr>
          <w:rFonts w:cs="Times New Roman"/>
          <w:i/>
        </w:rPr>
        <w:t>upper tail</w:t>
      </w:r>
      <w:r w:rsidRPr="00E72972">
        <w:rPr>
          <w:rFonts w:cs="Times New Roman"/>
        </w:rPr>
        <w:t xml:space="preserve"> of the environmental thermal-tolerance distribution — and since the pathogenic subset is drawn from precisely that tail, modest shifts in the tail can matter </w:t>
      </w:r>
      <w:r w:rsidRPr="00E72972">
        <w:rPr>
          <w:rFonts w:cs="Times New Roman"/>
        </w:rPr>
        <w:lastRenderedPageBreak/>
        <w:t>disproportionately even when the mean barely moves. This is a different and more defensible claim than the one usually made.</w:t>
      </w:r>
    </w:p>
    <w:p w14:paraId="7E6176EC" w14:textId="77777777" w:rsidR="00231DA3" w:rsidRPr="00E72972" w:rsidRDefault="00CD24C1" w:rsidP="0015741A">
      <w:pPr>
        <w:pStyle w:val="Heading2"/>
        <w:rPr>
          <w:rFonts w:cs="Times New Roman"/>
        </w:rPr>
      </w:pPr>
      <w:r w:rsidRPr="00E72972">
        <w:rPr>
          <w:rFonts w:cs="Times New Roman"/>
        </w:rPr>
        <w:t>2.3 What Adaptation Must Accomplish</w:t>
      </w:r>
    </w:p>
    <w:p w14:paraId="7C1C4680" w14:textId="77777777" w:rsidR="00231DA3" w:rsidRPr="00E72972" w:rsidRDefault="00CD24C1" w:rsidP="0015741A">
      <w:pPr>
        <w:rPr>
          <w:rFonts w:cs="Times New Roman"/>
        </w:rPr>
      </w:pPr>
      <w:r w:rsidRPr="00E72972">
        <w:rPr>
          <w:rFonts w:cs="Times New Roman"/>
        </w:rPr>
        <w:t>Growth at host temperature is necessary but far from sufficient for pathogenicity. A lineage must also survive host innate immune attack, acquire nutrients in host tissue, tolerate host pH and hypoxia, and possess some route of exposure or transmission to reach susceptible hosts at adequate frequency. Comparative genomic analysis of the repeated, independent evolution of human pathogenicity in fungi indicates that it arises from combinations of traits — thermotolerance among them, but also cell-wall remodel</w:t>
      </w:r>
      <w:r w:rsidRPr="00E72972">
        <w:rPr>
          <w:rFonts w:cs="Times New Roman"/>
        </w:rPr>
        <w:t>ling, secondary metabolism, nutrient scavenging and stress-response architecture — assembled along many different trajectories rather than through a single adaptive route (Rokas 2022). There is no "pathogenicity gene" whose acquisition warming would accelerate.</w:t>
      </w:r>
    </w:p>
    <w:p w14:paraId="63C9859F" w14:textId="77777777" w:rsidR="00231DA3" w:rsidRPr="00E72972" w:rsidRDefault="00CD24C1" w:rsidP="0015741A">
      <w:pPr>
        <w:rPr>
          <w:rFonts w:cs="Times New Roman"/>
        </w:rPr>
      </w:pPr>
      <w:r w:rsidRPr="00E72972">
        <w:rPr>
          <w:rFonts w:cs="Times New Roman"/>
        </w:rPr>
        <w:t xml:space="preserve">This has an important consequence for how climate claims should be phrased. Warming can reasonably be expected to enlarge the </w:t>
      </w:r>
      <w:r w:rsidRPr="00E72972">
        <w:rPr>
          <w:rFonts w:cs="Times New Roman"/>
          <w:i/>
        </w:rPr>
        <w:t>candidate pool</w:t>
      </w:r>
      <w:r w:rsidRPr="00E72972">
        <w:rPr>
          <w:rFonts w:cs="Times New Roman"/>
        </w:rPr>
        <w:t xml:space="preserve"> from which opportunistic pathogens may be recruited. Whether any given candidate becomes a clinically relevant pathogen depends on factors — chiefly host susceptibility and exposure route — that warming affects only indirectly.</w:t>
      </w:r>
    </w:p>
    <w:p w14:paraId="45181EF8" w14:textId="77777777" w:rsidR="00231DA3" w:rsidRPr="00E72972" w:rsidRDefault="00CD24C1" w:rsidP="0015741A">
      <w:pPr>
        <w:pStyle w:val="Heading2"/>
        <w:rPr>
          <w:rFonts w:cs="Times New Roman"/>
        </w:rPr>
      </w:pPr>
      <w:r w:rsidRPr="00E72972">
        <w:rPr>
          <w:rFonts w:cs="Times New Roman"/>
        </w:rPr>
        <w:t>2.4 Counterarguments and the Specificity Problem</w:t>
      </w:r>
    </w:p>
    <w:p w14:paraId="4968F3C0" w14:textId="77777777" w:rsidR="00231DA3" w:rsidRPr="00E72972" w:rsidRDefault="00CD24C1" w:rsidP="0015741A">
      <w:pPr>
        <w:rPr>
          <w:rFonts w:cs="Times New Roman"/>
        </w:rPr>
      </w:pPr>
      <w:r w:rsidRPr="00E72972">
        <w:rPr>
          <w:rFonts w:cs="Times New Roman"/>
        </w:rPr>
        <w:t xml:space="preserve">The strongest objection to the thermal restriction argument is one of specificity. Tens of thousands of fungal species already grow at 37 °C without causing human disease; thermotolerance is thus a necessary but very weakly predictive trait, and its increasing prevalence in environmental populations does not by itself forecast new human pathogens. This objection has been made forcefully in the mycological literature and should be met directly rather than deflected [VERIFY: Money NP (2024) </w:t>
      </w:r>
      <w:r w:rsidRPr="00E72972">
        <w:rPr>
          <w:rFonts w:cs="Times New Roman"/>
          <w:i/>
        </w:rPr>
        <w:t>Fungal Biology</w:t>
      </w:r>
      <w:r w:rsidRPr="00E72972">
        <w:rPr>
          <w:rFonts w:cs="Times New Roman"/>
        </w:rPr>
        <w:t xml:space="preserve"> — co-author to supply full citation for the sceptical position summarized here].</w:t>
      </w:r>
    </w:p>
    <w:p w14:paraId="5A5BD68E" w14:textId="77777777" w:rsidR="00231DA3" w:rsidRPr="00E72972" w:rsidRDefault="00CD24C1" w:rsidP="0015741A">
      <w:pPr>
        <w:rPr>
          <w:rFonts w:cs="Times New Roman"/>
        </w:rPr>
      </w:pPr>
      <w:r w:rsidRPr="00E72972">
        <w:rPr>
          <w:rFonts w:cs="Times New Roman"/>
        </w:rPr>
        <w:t xml:space="preserve">We accept the objection and draw two conclusions from it. First, thermotolerance should be treated as a </w:t>
      </w:r>
      <w:r w:rsidRPr="00E72972">
        <w:rPr>
          <w:rFonts w:cs="Times New Roman"/>
          <w:i/>
        </w:rPr>
        <w:t>screening</w:t>
      </w:r>
      <w:r w:rsidRPr="00E72972">
        <w:rPr>
          <w:rFonts w:cs="Times New Roman"/>
        </w:rPr>
        <w:t xml:space="preserve"> variable, not a risk marker: it identifies where to look, not what will happen. Second, the more informative climate-linked question is not "how many species can now grow at 37 °C" but "does thermal stress change the rate at which genotypes of consequence — resistant, hypervirulent, immune-evasive — are generated and selected?" That question is mechanistic, experimentally addressable, and the subject of Sections 3 and 4. Table 1 summarizes the mechanisms considered there with an explicit evidence grade for</w:t>
      </w:r>
      <w:r w:rsidRPr="00E72972">
        <w:rPr>
          <w:rFonts w:cs="Times New Roman"/>
        </w:rPr>
        <w:t xml:space="preserve"> each.</w:t>
      </w:r>
    </w:p>
    <w:p w14:paraId="1042DC35" w14:textId="77777777" w:rsidR="00231DA3" w:rsidRPr="00E72972" w:rsidRDefault="00CD24C1" w:rsidP="0015741A">
      <w:pPr>
        <w:rPr>
          <w:rFonts w:cs="Times New Roman"/>
        </w:rPr>
      </w:pPr>
      <w:r w:rsidRPr="00E72972">
        <w:rPr>
          <w:rFonts w:cs="Times New Roman"/>
        </w:rPr>
        <w:t>A second objection concerns attribution. Most published associations between climatic variables and fungal disease are ecological correlations computed over datasets assembled for other purposes, and they cannot distinguish climate effects from concurrent changes in diagnostics, surveillance intensity, antifungal use, land use or population susceptibility. We return to this problem in Section 4.6 and apply it explicitly to each case study in Section 5.</w:t>
      </w:r>
    </w:p>
    <w:p w14:paraId="70068FD4" w14:textId="77777777" w:rsidR="00231DA3" w:rsidRPr="00E72972" w:rsidRDefault="00CD24C1" w:rsidP="0015741A">
      <w:pPr>
        <w:rPr>
          <w:rFonts w:cs="Times New Roman"/>
        </w:rPr>
      </w:pPr>
      <w:r w:rsidRPr="00E72972">
        <w:rPr>
          <w:rFonts w:cs="Times New Roman"/>
          <w:b/>
        </w:rPr>
        <w:t>Table 1</w:t>
      </w:r>
      <w:r w:rsidRPr="00E72972">
        <w:rPr>
          <w:rFonts w:cs="Times New Roman"/>
        </w:rPr>
        <w:t xml:space="preserve"> Mechanisms of fungal thermal and physical-stress adaptation, with evidence grade</w:t>
      </w:r>
    </w:p>
    <w:tbl>
      <w:tblPr>
        <w:tblStyle w:val="TableGrid"/>
        <w:tblW w:w="0" w:type="auto"/>
        <w:tblLook w:val="04A0" w:firstRow="1" w:lastRow="0" w:firstColumn="1" w:lastColumn="0" w:noHBand="0" w:noVBand="1"/>
      </w:tblPr>
      <w:tblGrid>
        <w:gridCol w:w="1880"/>
        <w:gridCol w:w="1880"/>
        <w:gridCol w:w="1878"/>
        <w:gridCol w:w="1878"/>
        <w:gridCol w:w="1880"/>
      </w:tblGrid>
      <w:tr w:rsidR="00231DA3" w:rsidRPr="00E72972" w14:paraId="6F7EC764" w14:textId="77777777">
        <w:tc>
          <w:tcPr>
            <w:tcW w:w="1881" w:type="dxa"/>
          </w:tcPr>
          <w:p w14:paraId="46C8A928" w14:textId="77777777" w:rsidR="00231DA3" w:rsidRPr="00E72972" w:rsidRDefault="00CD24C1" w:rsidP="0015741A">
            <w:pPr>
              <w:spacing w:line="276" w:lineRule="auto"/>
              <w:rPr>
                <w:rFonts w:cs="Times New Roman"/>
              </w:rPr>
            </w:pPr>
            <w:r w:rsidRPr="00E72972">
              <w:rPr>
                <w:rFonts w:cs="Times New Roman"/>
                <w:b/>
                <w:sz w:val="16"/>
              </w:rPr>
              <w:t>Mechanism</w:t>
            </w:r>
          </w:p>
        </w:tc>
        <w:tc>
          <w:tcPr>
            <w:tcW w:w="1881" w:type="dxa"/>
          </w:tcPr>
          <w:p w14:paraId="1B0E482A" w14:textId="77777777" w:rsidR="00231DA3" w:rsidRPr="00E72972" w:rsidRDefault="00CD24C1" w:rsidP="0015741A">
            <w:pPr>
              <w:spacing w:line="276" w:lineRule="auto"/>
              <w:rPr>
                <w:rFonts w:cs="Times New Roman"/>
              </w:rPr>
            </w:pPr>
            <w:r w:rsidRPr="00E72972">
              <w:rPr>
                <w:rFonts w:cs="Times New Roman"/>
                <w:b/>
                <w:sz w:val="16"/>
              </w:rPr>
              <w:t>Principal organisms</w:t>
            </w:r>
          </w:p>
        </w:tc>
        <w:tc>
          <w:tcPr>
            <w:tcW w:w="1881" w:type="dxa"/>
          </w:tcPr>
          <w:p w14:paraId="0DF32490" w14:textId="77777777" w:rsidR="00231DA3" w:rsidRPr="00E72972" w:rsidRDefault="00CD24C1" w:rsidP="0015741A">
            <w:pPr>
              <w:spacing w:line="276" w:lineRule="auto"/>
              <w:rPr>
                <w:rFonts w:cs="Times New Roman"/>
              </w:rPr>
            </w:pPr>
            <w:r w:rsidRPr="00E72972">
              <w:rPr>
                <w:rFonts w:cs="Times New Roman"/>
                <w:b/>
                <w:sz w:val="16"/>
              </w:rPr>
              <w:t>Experimental system</w:t>
            </w:r>
          </w:p>
        </w:tc>
        <w:tc>
          <w:tcPr>
            <w:tcW w:w="1881" w:type="dxa"/>
          </w:tcPr>
          <w:p w14:paraId="43CE6FB8" w14:textId="77777777" w:rsidR="00231DA3" w:rsidRPr="00E72972" w:rsidRDefault="00CD24C1" w:rsidP="0015741A">
            <w:pPr>
              <w:spacing w:line="276" w:lineRule="auto"/>
              <w:rPr>
                <w:rFonts w:cs="Times New Roman"/>
              </w:rPr>
            </w:pPr>
            <w:r w:rsidRPr="00E72972">
              <w:rPr>
                <w:rFonts w:cs="Times New Roman"/>
                <w:b/>
                <w:sz w:val="16"/>
              </w:rPr>
              <w:t>Evidence grade</w:t>
            </w:r>
          </w:p>
        </w:tc>
        <w:tc>
          <w:tcPr>
            <w:tcW w:w="1881" w:type="dxa"/>
          </w:tcPr>
          <w:p w14:paraId="61A0C3A7" w14:textId="77777777" w:rsidR="00231DA3" w:rsidRPr="00E72972" w:rsidRDefault="00CD24C1" w:rsidP="0015741A">
            <w:pPr>
              <w:spacing w:line="276" w:lineRule="auto"/>
              <w:rPr>
                <w:rFonts w:cs="Times New Roman"/>
              </w:rPr>
            </w:pPr>
            <w:r w:rsidRPr="00E72972">
              <w:rPr>
                <w:rFonts w:cs="Times New Roman"/>
                <w:b/>
                <w:sz w:val="16"/>
              </w:rPr>
              <w:t>Key references</w:t>
            </w:r>
          </w:p>
        </w:tc>
      </w:tr>
      <w:tr w:rsidR="00231DA3" w:rsidRPr="00E72972" w14:paraId="7093B3A0" w14:textId="77777777">
        <w:tc>
          <w:tcPr>
            <w:tcW w:w="1881" w:type="dxa"/>
          </w:tcPr>
          <w:p w14:paraId="6DB42C7B" w14:textId="77777777" w:rsidR="00231DA3" w:rsidRPr="00E72972" w:rsidRDefault="00CD24C1" w:rsidP="0015741A">
            <w:pPr>
              <w:spacing w:line="276" w:lineRule="auto"/>
              <w:rPr>
                <w:rFonts w:cs="Times New Roman"/>
              </w:rPr>
            </w:pPr>
            <w:r w:rsidRPr="00E72972">
              <w:rPr>
                <w:rFonts w:cs="Times New Roman"/>
                <w:sz w:val="16"/>
              </w:rPr>
              <w:t>Heat-shock response (Hsf1, Hsp90, Hsp104, trehalose)</w:t>
            </w:r>
          </w:p>
        </w:tc>
        <w:tc>
          <w:tcPr>
            <w:tcW w:w="1881" w:type="dxa"/>
          </w:tcPr>
          <w:p w14:paraId="341B4CEA" w14:textId="77777777" w:rsidR="00231DA3" w:rsidRPr="00E72972" w:rsidRDefault="00CD24C1" w:rsidP="0015741A">
            <w:pPr>
              <w:spacing w:line="276" w:lineRule="auto"/>
              <w:rPr>
                <w:rFonts w:cs="Times New Roman"/>
              </w:rPr>
            </w:pPr>
            <w:r w:rsidRPr="00E72972">
              <w:rPr>
                <w:rFonts w:cs="Times New Roman"/>
                <w:i/>
                <w:sz w:val="16"/>
              </w:rPr>
              <w:t>Candida albicans</w:t>
            </w:r>
            <w:r w:rsidRPr="00E72972">
              <w:rPr>
                <w:rFonts w:cs="Times New Roman"/>
                <w:sz w:val="16"/>
              </w:rPr>
              <w:t xml:space="preserve">, </w:t>
            </w:r>
            <w:r w:rsidRPr="00E72972">
              <w:rPr>
                <w:rFonts w:cs="Times New Roman"/>
                <w:i/>
                <w:sz w:val="16"/>
              </w:rPr>
              <w:t>Saccharomyces cerevisiae</w:t>
            </w:r>
            <w:r w:rsidRPr="00E72972">
              <w:rPr>
                <w:rFonts w:cs="Times New Roman"/>
                <w:sz w:val="16"/>
              </w:rPr>
              <w:t xml:space="preserve">, </w:t>
            </w:r>
            <w:r w:rsidRPr="00E72972">
              <w:rPr>
                <w:rFonts w:cs="Times New Roman"/>
                <w:i/>
                <w:sz w:val="16"/>
              </w:rPr>
              <w:t>C. auris</w:t>
            </w:r>
          </w:p>
        </w:tc>
        <w:tc>
          <w:tcPr>
            <w:tcW w:w="1881" w:type="dxa"/>
          </w:tcPr>
          <w:p w14:paraId="16628BF2" w14:textId="77777777" w:rsidR="00231DA3" w:rsidRPr="00E72972" w:rsidRDefault="00CD24C1" w:rsidP="0015741A">
            <w:pPr>
              <w:spacing w:line="276" w:lineRule="auto"/>
              <w:rPr>
                <w:rFonts w:cs="Times New Roman"/>
              </w:rPr>
            </w:pPr>
            <w:r w:rsidRPr="00E72972">
              <w:rPr>
                <w:rFonts w:cs="Times New Roman"/>
                <w:sz w:val="16"/>
              </w:rPr>
              <w:t>Genetics, murine virulence</w:t>
            </w:r>
          </w:p>
        </w:tc>
        <w:tc>
          <w:tcPr>
            <w:tcW w:w="1881" w:type="dxa"/>
          </w:tcPr>
          <w:p w14:paraId="5D9F7BB5" w14:textId="77777777" w:rsidR="00231DA3" w:rsidRPr="00E72972" w:rsidRDefault="00CD24C1" w:rsidP="0015741A">
            <w:pPr>
              <w:spacing w:line="276" w:lineRule="auto"/>
              <w:rPr>
                <w:rFonts w:cs="Times New Roman"/>
              </w:rPr>
            </w:pPr>
            <w:r w:rsidRPr="00E72972">
              <w:rPr>
                <w:rFonts w:cs="Times New Roman"/>
                <w:sz w:val="16"/>
              </w:rPr>
              <w:t>Established</w:t>
            </w:r>
          </w:p>
        </w:tc>
        <w:tc>
          <w:tcPr>
            <w:tcW w:w="1881" w:type="dxa"/>
          </w:tcPr>
          <w:p w14:paraId="4A59C2D1" w14:textId="77777777" w:rsidR="00231DA3" w:rsidRPr="00E72972" w:rsidRDefault="00CD24C1" w:rsidP="0015741A">
            <w:pPr>
              <w:spacing w:line="276" w:lineRule="auto"/>
              <w:rPr>
                <w:rFonts w:cs="Times New Roman"/>
                <w:lang w:val="it-IT"/>
              </w:rPr>
            </w:pPr>
            <w:r w:rsidRPr="00E72972">
              <w:rPr>
                <w:rFonts w:cs="Times New Roman"/>
                <w:sz w:val="16"/>
                <w:lang w:val="it-IT"/>
              </w:rPr>
              <w:t>Nicholls et al. 2010; Morano et al. 2011</w:t>
            </w:r>
          </w:p>
        </w:tc>
      </w:tr>
      <w:tr w:rsidR="00231DA3" w:rsidRPr="00E72972" w14:paraId="59F3E66C" w14:textId="77777777">
        <w:tc>
          <w:tcPr>
            <w:tcW w:w="1881" w:type="dxa"/>
          </w:tcPr>
          <w:p w14:paraId="6D5EE9F2" w14:textId="77777777" w:rsidR="00231DA3" w:rsidRPr="00E72972" w:rsidRDefault="00CD24C1" w:rsidP="0015741A">
            <w:pPr>
              <w:spacing w:line="276" w:lineRule="auto"/>
              <w:rPr>
                <w:rFonts w:cs="Times New Roman"/>
              </w:rPr>
            </w:pPr>
            <w:r w:rsidRPr="00E72972">
              <w:rPr>
                <w:rFonts w:cs="Times New Roman"/>
                <w:sz w:val="16"/>
              </w:rPr>
              <w:t xml:space="preserve">Hsp90 as a capacitor releasing cryptic </w:t>
            </w:r>
            <w:r w:rsidRPr="00E72972">
              <w:rPr>
                <w:rFonts w:cs="Times New Roman"/>
                <w:sz w:val="16"/>
              </w:rPr>
              <w:lastRenderedPageBreak/>
              <w:t>variation</w:t>
            </w:r>
          </w:p>
        </w:tc>
        <w:tc>
          <w:tcPr>
            <w:tcW w:w="1881" w:type="dxa"/>
          </w:tcPr>
          <w:p w14:paraId="6D41ED9C" w14:textId="77777777" w:rsidR="00231DA3" w:rsidRPr="00E72972" w:rsidRDefault="00CD24C1" w:rsidP="0015741A">
            <w:pPr>
              <w:spacing w:line="276" w:lineRule="auto"/>
              <w:rPr>
                <w:rFonts w:cs="Times New Roman"/>
              </w:rPr>
            </w:pPr>
            <w:r w:rsidRPr="00E72972">
              <w:rPr>
                <w:rFonts w:cs="Times New Roman"/>
                <w:i/>
                <w:sz w:val="16"/>
              </w:rPr>
              <w:lastRenderedPageBreak/>
              <w:t>C. albicans</w:t>
            </w:r>
            <w:r w:rsidRPr="00E72972">
              <w:rPr>
                <w:rFonts w:cs="Times New Roman"/>
                <w:sz w:val="16"/>
              </w:rPr>
              <w:t xml:space="preserve">, </w:t>
            </w:r>
            <w:r w:rsidRPr="00E72972">
              <w:rPr>
                <w:rFonts w:cs="Times New Roman"/>
                <w:i/>
                <w:sz w:val="16"/>
              </w:rPr>
              <w:t>A. fumigatus</w:t>
            </w:r>
          </w:p>
        </w:tc>
        <w:tc>
          <w:tcPr>
            <w:tcW w:w="1881" w:type="dxa"/>
          </w:tcPr>
          <w:p w14:paraId="15456DE3" w14:textId="77777777" w:rsidR="00231DA3" w:rsidRPr="00E72972" w:rsidRDefault="00CD24C1" w:rsidP="0015741A">
            <w:pPr>
              <w:spacing w:line="276" w:lineRule="auto"/>
              <w:rPr>
                <w:rFonts w:cs="Times New Roman"/>
              </w:rPr>
            </w:pPr>
            <w:r w:rsidRPr="00E72972">
              <w:rPr>
                <w:rFonts w:cs="Times New Roman"/>
                <w:sz w:val="16"/>
              </w:rPr>
              <w:t>Drug-resistance evolution in vitro</w:t>
            </w:r>
          </w:p>
        </w:tc>
        <w:tc>
          <w:tcPr>
            <w:tcW w:w="1881" w:type="dxa"/>
          </w:tcPr>
          <w:p w14:paraId="23956CD1" w14:textId="77777777" w:rsidR="00231DA3" w:rsidRPr="00E72972" w:rsidRDefault="00CD24C1" w:rsidP="0015741A">
            <w:pPr>
              <w:spacing w:line="276" w:lineRule="auto"/>
              <w:rPr>
                <w:rFonts w:cs="Times New Roman"/>
              </w:rPr>
            </w:pPr>
            <w:r w:rsidRPr="00E72972">
              <w:rPr>
                <w:rFonts w:cs="Times New Roman"/>
                <w:sz w:val="16"/>
              </w:rPr>
              <w:t xml:space="preserve">Established (mechanism); emerging (climate </w:t>
            </w:r>
            <w:r w:rsidRPr="00E72972">
              <w:rPr>
                <w:rFonts w:cs="Times New Roman"/>
                <w:sz w:val="16"/>
              </w:rPr>
              <w:lastRenderedPageBreak/>
              <w:t>relevance)</w:t>
            </w:r>
          </w:p>
        </w:tc>
        <w:tc>
          <w:tcPr>
            <w:tcW w:w="1881" w:type="dxa"/>
          </w:tcPr>
          <w:p w14:paraId="367C4F1D" w14:textId="77777777" w:rsidR="00231DA3" w:rsidRPr="00E72972" w:rsidRDefault="00CD24C1" w:rsidP="0015741A">
            <w:pPr>
              <w:spacing w:line="276" w:lineRule="auto"/>
              <w:rPr>
                <w:rFonts w:cs="Times New Roman"/>
              </w:rPr>
            </w:pPr>
            <w:r w:rsidRPr="00E72972">
              <w:rPr>
                <w:rFonts w:cs="Times New Roman"/>
                <w:sz w:val="16"/>
              </w:rPr>
              <w:lastRenderedPageBreak/>
              <w:t>Cowen and Lindquist 2005; Cowen et al. 2009</w:t>
            </w:r>
          </w:p>
        </w:tc>
      </w:tr>
      <w:tr w:rsidR="00231DA3" w:rsidRPr="00E72972" w14:paraId="085140FD" w14:textId="77777777">
        <w:tc>
          <w:tcPr>
            <w:tcW w:w="1881" w:type="dxa"/>
          </w:tcPr>
          <w:p w14:paraId="7CDBA3BC" w14:textId="77777777" w:rsidR="00231DA3" w:rsidRPr="00E72972" w:rsidRDefault="00CD24C1" w:rsidP="0015741A">
            <w:pPr>
              <w:spacing w:line="276" w:lineRule="auto"/>
              <w:rPr>
                <w:rFonts w:cs="Times New Roman"/>
              </w:rPr>
            </w:pPr>
            <w:r w:rsidRPr="00E72972">
              <w:rPr>
                <w:rFonts w:cs="Times New Roman"/>
                <w:sz w:val="16"/>
              </w:rPr>
              <w:t>Calcineurin–Crz1 signalling in thermal virulence</w:t>
            </w:r>
          </w:p>
        </w:tc>
        <w:tc>
          <w:tcPr>
            <w:tcW w:w="1881" w:type="dxa"/>
          </w:tcPr>
          <w:p w14:paraId="11254FB9" w14:textId="77777777" w:rsidR="00231DA3" w:rsidRPr="00E72972" w:rsidRDefault="00CD24C1" w:rsidP="0015741A">
            <w:pPr>
              <w:spacing w:line="276" w:lineRule="auto"/>
              <w:rPr>
                <w:rFonts w:cs="Times New Roman"/>
              </w:rPr>
            </w:pPr>
            <w:r w:rsidRPr="00E72972">
              <w:rPr>
                <w:rFonts w:cs="Times New Roman"/>
                <w:sz w:val="16"/>
              </w:rPr>
              <w:t xml:space="preserve">Mucorales, </w:t>
            </w:r>
            <w:r w:rsidRPr="00E72972">
              <w:rPr>
                <w:rFonts w:cs="Times New Roman"/>
                <w:i/>
                <w:sz w:val="16"/>
              </w:rPr>
              <w:t>Cryptococcus</w:t>
            </w:r>
            <w:r w:rsidRPr="00E72972">
              <w:rPr>
                <w:rFonts w:cs="Times New Roman"/>
                <w:sz w:val="16"/>
              </w:rPr>
              <w:t xml:space="preserve">, </w:t>
            </w:r>
            <w:r w:rsidRPr="00E72972">
              <w:rPr>
                <w:rFonts w:cs="Times New Roman"/>
                <w:i/>
                <w:sz w:val="16"/>
              </w:rPr>
              <w:t>Aspergillus</w:t>
            </w:r>
          </w:p>
        </w:tc>
        <w:tc>
          <w:tcPr>
            <w:tcW w:w="1881" w:type="dxa"/>
          </w:tcPr>
          <w:p w14:paraId="5F701963" w14:textId="77777777" w:rsidR="00231DA3" w:rsidRPr="00E72972" w:rsidRDefault="00CD24C1" w:rsidP="0015741A">
            <w:pPr>
              <w:spacing w:line="276" w:lineRule="auto"/>
              <w:rPr>
                <w:rFonts w:cs="Times New Roman"/>
              </w:rPr>
            </w:pPr>
            <w:r w:rsidRPr="00E72972">
              <w:rPr>
                <w:rFonts w:cs="Times New Roman"/>
                <w:sz w:val="16"/>
              </w:rPr>
              <w:t>Fly and murine models, inhibitor studies</w:t>
            </w:r>
          </w:p>
        </w:tc>
        <w:tc>
          <w:tcPr>
            <w:tcW w:w="1881" w:type="dxa"/>
          </w:tcPr>
          <w:p w14:paraId="6A8AD91B" w14:textId="77777777" w:rsidR="00231DA3" w:rsidRPr="00E72972" w:rsidRDefault="00CD24C1" w:rsidP="0015741A">
            <w:pPr>
              <w:spacing w:line="276" w:lineRule="auto"/>
              <w:rPr>
                <w:rFonts w:cs="Times New Roman"/>
              </w:rPr>
            </w:pPr>
            <w:r w:rsidRPr="00E72972">
              <w:rPr>
                <w:rFonts w:cs="Times New Roman"/>
                <w:sz w:val="16"/>
              </w:rPr>
              <w:t>Established (pathway); to be verified (thermal-virulence data)</w:t>
            </w:r>
          </w:p>
        </w:tc>
        <w:tc>
          <w:tcPr>
            <w:tcW w:w="1881" w:type="dxa"/>
          </w:tcPr>
          <w:p w14:paraId="6BB7E175" w14:textId="77777777" w:rsidR="00231DA3" w:rsidRPr="00E72972" w:rsidRDefault="00CD24C1" w:rsidP="0015741A">
            <w:pPr>
              <w:spacing w:line="276" w:lineRule="auto"/>
              <w:rPr>
                <w:rFonts w:cs="Times New Roman"/>
              </w:rPr>
            </w:pPr>
            <w:r w:rsidRPr="00E72972">
              <w:rPr>
                <w:rFonts w:cs="Times New Roman"/>
                <w:sz w:val="16"/>
              </w:rPr>
              <w:t>Steinbach et al. 2007; Juvvadi et al. 2016; authors' unpublished/presented data [VERIFY]</w:t>
            </w:r>
          </w:p>
        </w:tc>
      </w:tr>
      <w:tr w:rsidR="00231DA3" w:rsidRPr="00E72972" w14:paraId="2D539D31" w14:textId="77777777">
        <w:tc>
          <w:tcPr>
            <w:tcW w:w="1881" w:type="dxa"/>
          </w:tcPr>
          <w:p w14:paraId="3036EA93" w14:textId="77777777" w:rsidR="00231DA3" w:rsidRPr="00E72972" w:rsidRDefault="00CD24C1" w:rsidP="0015741A">
            <w:pPr>
              <w:spacing w:line="276" w:lineRule="auto"/>
              <w:rPr>
                <w:rFonts w:cs="Times New Roman"/>
              </w:rPr>
            </w:pPr>
            <w:r w:rsidRPr="00E72972">
              <w:rPr>
                <w:rFonts w:cs="Times New Roman"/>
                <w:sz w:val="16"/>
              </w:rPr>
              <w:t>HOG/stress-activated protein kinase module</w:t>
            </w:r>
          </w:p>
        </w:tc>
        <w:tc>
          <w:tcPr>
            <w:tcW w:w="1881" w:type="dxa"/>
          </w:tcPr>
          <w:p w14:paraId="45D1D9E0" w14:textId="77777777" w:rsidR="00231DA3" w:rsidRPr="00E72972" w:rsidRDefault="00CD24C1" w:rsidP="0015741A">
            <w:pPr>
              <w:spacing w:line="276" w:lineRule="auto"/>
              <w:rPr>
                <w:rFonts w:cs="Times New Roman"/>
              </w:rPr>
            </w:pPr>
            <w:r w:rsidRPr="00E72972">
              <w:rPr>
                <w:rFonts w:cs="Times New Roman"/>
                <w:sz w:val="16"/>
              </w:rPr>
              <w:t>Multiple human pathogens</w:t>
            </w:r>
          </w:p>
        </w:tc>
        <w:tc>
          <w:tcPr>
            <w:tcW w:w="1881" w:type="dxa"/>
          </w:tcPr>
          <w:p w14:paraId="1EA0435D" w14:textId="77777777" w:rsidR="00231DA3" w:rsidRPr="00E72972" w:rsidRDefault="00CD24C1" w:rsidP="0015741A">
            <w:pPr>
              <w:spacing w:line="276" w:lineRule="auto"/>
              <w:rPr>
                <w:rFonts w:cs="Times New Roman"/>
              </w:rPr>
            </w:pPr>
            <w:r w:rsidRPr="00E72972">
              <w:rPr>
                <w:rFonts w:cs="Times New Roman"/>
                <w:sz w:val="16"/>
              </w:rPr>
              <w:t>Genetics, stress assays</w:t>
            </w:r>
          </w:p>
        </w:tc>
        <w:tc>
          <w:tcPr>
            <w:tcW w:w="1881" w:type="dxa"/>
          </w:tcPr>
          <w:p w14:paraId="05450A39" w14:textId="77777777" w:rsidR="00231DA3" w:rsidRPr="00E72972" w:rsidRDefault="00CD24C1" w:rsidP="0015741A">
            <w:pPr>
              <w:spacing w:line="276" w:lineRule="auto"/>
              <w:rPr>
                <w:rFonts w:cs="Times New Roman"/>
              </w:rPr>
            </w:pPr>
            <w:r w:rsidRPr="00E72972">
              <w:rPr>
                <w:rFonts w:cs="Times New Roman"/>
                <w:sz w:val="16"/>
              </w:rPr>
              <w:t>Established</w:t>
            </w:r>
          </w:p>
        </w:tc>
        <w:tc>
          <w:tcPr>
            <w:tcW w:w="1881" w:type="dxa"/>
          </w:tcPr>
          <w:p w14:paraId="44A5F277" w14:textId="77777777" w:rsidR="00231DA3" w:rsidRPr="00E72972" w:rsidRDefault="00CD24C1" w:rsidP="0015741A">
            <w:pPr>
              <w:spacing w:line="276" w:lineRule="auto"/>
              <w:rPr>
                <w:rFonts w:cs="Times New Roman"/>
              </w:rPr>
            </w:pPr>
            <w:r w:rsidRPr="00E72972">
              <w:rPr>
                <w:rFonts w:cs="Times New Roman"/>
                <w:sz w:val="16"/>
              </w:rPr>
              <w:t>Day and Quinn 2019</w:t>
            </w:r>
          </w:p>
        </w:tc>
      </w:tr>
      <w:tr w:rsidR="00231DA3" w:rsidRPr="00E72972" w14:paraId="552AE37F" w14:textId="77777777">
        <w:tc>
          <w:tcPr>
            <w:tcW w:w="1881" w:type="dxa"/>
          </w:tcPr>
          <w:p w14:paraId="7BC23218" w14:textId="77777777" w:rsidR="00231DA3" w:rsidRPr="00E72972" w:rsidRDefault="00CD24C1" w:rsidP="0015741A">
            <w:pPr>
              <w:spacing w:line="276" w:lineRule="auto"/>
              <w:rPr>
                <w:rFonts w:cs="Times New Roman"/>
              </w:rPr>
            </w:pPr>
            <w:r w:rsidRPr="00E72972">
              <w:rPr>
                <w:rFonts w:cs="Times New Roman"/>
                <w:sz w:val="16"/>
              </w:rPr>
              <w:t>Oxidative-stress cross-protection after thermal priming</w:t>
            </w:r>
          </w:p>
        </w:tc>
        <w:tc>
          <w:tcPr>
            <w:tcW w:w="1881" w:type="dxa"/>
          </w:tcPr>
          <w:p w14:paraId="6408C5FE" w14:textId="77777777" w:rsidR="00231DA3" w:rsidRPr="00E72972" w:rsidRDefault="00CD24C1" w:rsidP="0015741A">
            <w:pPr>
              <w:spacing w:line="276" w:lineRule="auto"/>
              <w:rPr>
                <w:rFonts w:cs="Times New Roman"/>
              </w:rPr>
            </w:pPr>
            <w:r w:rsidRPr="00E72972">
              <w:rPr>
                <w:rFonts w:cs="Times New Roman"/>
                <w:sz w:val="16"/>
              </w:rPr>
              <w:t xml:space="preserve">Mucorales, </w:t>
            </w:r>
            <w:r w:rsidRPr="00E72972">
              <w:rPr>
                <w:rFonts w:cs="Times New Roman"/>
                <w:i/>
                <w:sz w:val="16"/>
              </w:rPr>
              <w:t>Candida</w:t>
            </w:r>
          </w:p>
        </w:tc>
        <w:tc>
          <w:tcPr>
            <w:tcW w:w="1881" w:type="dxa"/>
          </w:tcPr>
          <w:p w14:paraId="3FA0841B" w14:textId="77777777" w:rsidR="00231DA3" w:rsidRPr="00E72972" w:rsidRDefault="00CD24C1" w:rsidP="0015741A">
            <w:pPr>
              <w:spacing w:line="276" w:lineRule="auto"/>
              <w:rPr>
                <w:rFonts w:cs="Times New Roman"/>
              </w:rPr>
            </w:pPr>
            <w:r w:rsidRPr="00E72972">
              <w:rPr>
                <w:rFonts w:cs="Times New Roman"/>
                <w:sz w:val="16"/>
              </w:rPr>
              <w:t>In vitro priming, phagocyte assays</w:t>
            </w:r>
          </w:p>
        </w:tc>
        <w:tc>
          <w:tcPr>
            <w:tcW w:w="1881" w:type="dxa"/>
          </w:tcPr>
          <w:p w14:paraId="0BF8C9B1" w14:textId="77777777" w:rsidR="00231DA3" w:rsidRPr="00E72972" w:rsidRDefault="00CD24C1" w:rsidP="0015741A">
            <w:pPr>
              <w:spacing w:line="276" w:lineRule="auto"/>
              <w:rPr>
                <w:rFonts w:cs="Times New Roman"/>
              </w:rPr>
            </w:pPr>
            <w:r w:rsidRPr="00E72972">
              <w:rPr>
                <w:rFonts w:cs="Times New Roman"/>
                <w:sz w:val="16"/>
              </w:rPr>
              <w:t>Emerging</w:t>
            </w:r>
          </w:p>
        </w:tc>
        <w:tc>
          <w:tcPr>
            <w:tcW w:w="1881" w:type="dxa"/>
          </w:tcPr>
          <w:p w14:paraId="625E4285" w14:textId="77777777" w:rsidR="00231DA3" w:rsidRPr="00E72972" w:rsidRDefault="00CD24C1" w:rsidP="0015741A">
            <w:pPr>
              <w:spacing w:line="276" w:lineRule="auto"/>
              <w:rPr>
                <w:rFonts w:cs="Times New Roman"/>
              </w:rPr>
            </w:pPr>
            <w:r w:rsidRPr="00E72972">
              <w:rPr>
                <w:rFonts w:cs="Times New Roman"/>
                <w:sz w:val="16"/>
              </w:rPr>
              <w:t>Harish and Osherov 2022; authors' presented data [VERIFY]</w:t>
            </w:r>
          </w:p>
        </w:tc>
      </w:tr>
      <w:tr w:rsidR="00231DA3" w:rsidRPr="00E72972" w14:paraId="6C9A82F5" w14:textId="77777777">
        <w:tc>
          <w:tcPr>
            <w:tcW w:w="1881" w:type="dxa"/>
          </w:tcPr>
          <w:p w14:paraId="696670A7" w14:textId="77777777" w:rsidR="00231DA3" w:rsidRPr="00E72972" w:rsidRDefault="00CD24C1" w:rsidP="0015741A">
            <w:pPr>
              <w:spacing w:line="276" w:lineRule="auto"/>
              <w:rPr>
                <w:rFonts w:cs="Times New Roman"/>
              </w:rPr>
            </w:pPr>
            <w:r w:rsidRPr="00E72972">
              <w:rPr>
                <w:rFonts w:cs="Times New Roman"/>
                <w:sz w:val="16"/>
              </w:rPr>
              <w:t>Melanin-mediated thermal and radiation buffering</w:t>
            </w:r>
          </w:p>
        </w:tc>
        <w:tc>
          <w:tcPr>
            <w:tcW w:w="1881" w:type="dxa"/>
          </w:tcPr>
          <w:p w14:paraId="19FC97A1" w14:textId="77777777" w:rsidR="00231DA3" w:rsidRPr="00E72972" w:rsidRDefault="00CD24C1" w:rsidP="0015741A">
            <w:pPr>
              <w:spacing w:line="276" w:lineRule="auto"/>
              <w:rPr>
                <w:rFonts w:cs="Times New Roman"/>
              </w:rPr>
            </w:pPr>
            <w:r w:rsidRPr="00E72972">
              <w:rPr>
                <w:rFonts w:cs="Times New Roman"/>
                <w:i/>
                <w:sz w:val="16"/>
              </w:rPr>
              <w:t>Cryptococcus</w:t>
            </w:r>
            <w:r w:rsidRPr="00E72972">
              <w:rPr>
                <w:rFonts w:cs="Times New Roman"/>
                <w:sz w:val="16"/>
              </w:rPr>
              <w:t xml:space="preserve">, black yeasts, </w:t>
            </w:r>
            <w:r w:rsidRPr="00E72972">
              <w:rPr>
                <w:rFonts w:cs="Times New Roman"/>
                <w:i/>
                <w:sz w:val="16"/>
              </w:rPr>
              <w:t>Rhodotorula</w:t>
            </w:r>
          </w:p>
        </w:tc>
        <w:tc>
          <w:tcPr>
            <w:tcW w:w="1881" w:type="dxa"/>
          </w:tcPr>
          <w:p w14:paraId="0A51B09E" w14:textId="77777777" w:rsidR="00231DA3" w:rsidRPr="00E72972" w:rsidRDefault="00CD24C1" w:rsidP="0015741A">
            <w:pPr>
              <w:spacing w:line="276" w:lineRule="auto"/>
              <w:rPr>
                <w:rFonts w:cs="Times New Roman"/>
              </w:rPr>
            </w:pPr>
            <w:r w:rsidRPr="00E72972">
              <w:rPr>
                <w:rFonts w:cs="Times New Roman"/>
                <w:sz w:val="16"/>
              </w:rPr>
              <w:t>Biophysics, environmental isolates</w:t>
            </w:r>
          </w:p>
        </w:tc>
        <w:tc>
          <w:tcPr>
            <w:tcW w:w="1881" w:type="dxa"/>
          </w:tcPr>
          <w:p w14:paraId="7AF1488E" w14:textId="77777777" w:rsidR="00231DA3" w:rsidRPr="00E72972" w:rsidRDefault="00CD24C1" w:rsidP="0015741A">
            <w:pPr>
              <w:spacing w:line="276" w:lineRule="auto"/>
              <w:rPr>
                <w:rFonts w:cs="Times New Roman"/>
              </w:rPr>
            </w:pPr>
            <w:r w:rsidRPr="00E72972">
              <w:rPr>
                <w:rFonts w:cs="Times New Roman"/>
                <w:sz w:val="16"/>
              </w:rPr>
              <w:t>Established (function); emerging (climate selection)</w:t>
            </w:r>
          </w:p>
        </w:tc>
        <w:tc>
          <w:tcPr>
            <w:tcW w:w="1881" w:type="dxa"/>
          </w:tcPr>
          <w:p w14:paraId="15796168" w14:textId="77777777" w:rsidR="00231DA3" w:rsidRPr="00E72972" w:rsidRDefault="00CD24C1" w:rsidP="0015741A">
            <w:pPr>
              <w:spacing w:line="276" w:lineRule="auto"/>
              <w:rPr>
                <w:rFonts w:cs="Times New Roman"/>
              </w:rPr>
            </w:pPr>
            <w:r w:rsidRPr="00E72972">
              <w:rPr>
                <w:rFonts w:cs="Times New Roman"/>
                <w:sz w:val="16"/>
              </w:rPr>
              <w:t>Dadachova et al. 2007; Cordero and Casadevall 2017; Smith et al. 2025</w:t>
            </w:r>
          </w:p>
        </w:tc>
      </w:tr>
      <w:tr w:rsidR="00231DA3" w:rsidRPr="00E72972" w14:paraId="1546BCD7" w14:textId="77777777">
        <w:tc>
          <w:tcPr>
            <w:tcW w:w="1881" w:type="dxa"/>
          </w:tcPr>
          <w:p w14:paraId="7E9EE956" w14:textId="77777777" w:rsidR="00231DA3" w:rsidRPr="00E72972" w:rsidRDefault="00CD24C1" w:rsidP="0015741A">
            <w:pPr>
              <w:spacing w:line="276" w:lineRule="auto"/>
              <w:rPr>
                <w:rFonts w:cs="Times New Roman"/>
              </w:rPr>
            </w:pPr>
            <w:r w:rsidRPr="00E72972">
              <w:rPr>
                <w:rFonts w:cs="Times New Roman"/>
                <w:sz w:val="16"/>
              </w:rPr>
              <w:t>Mechanical/shear-stress-induced transient hypervirulence</w:t>
            </w:r>
          </w:p>
        </w:tc>
        <w:tc>
          <w:tcPr>
            <w:tcW w:w="1881" w:type="dxa"/>
          </w:tcPr>
          <w:p w14:paraId="316A7DA8" w14:textId="77777777" w:rsidR="00231DA3" w:rsidRPr="00E72972" w:rsidRDefault="00CD24C1" w:rsidP="0015741A">
            <w:pPr>
              <w:spacing w:line="276" w:lineRule="auto"/>
              <w:rPr>
                <w:rFonts w:cs="Times New Roman"/>
              </w:rPr>
            </w:pPr>
            <w:r w:rsidRPr="00E72972">
              <w:rPr>
                <w:rFonts w:cs="Times New Roman"/>
                <w:sz w:val="16"/>
              </w:rPr>
              <w:t>Mucorales</w:t>
            </w:r>
          </w:p>
        </w:tc>
        <w:tc>
          <w:tcPr>
            <w:tcW w:w="1881" w:type="dxa"/>
          </w:tcPr>
          <w:p w14:paraId="5D6361C8" w14:textId="77777777" w:rsidR="00231DA3" w:rsidRPr="00E72972" w:rsidRDefault="00CD24C1" w:rsidP="0015741A">
            <w:pPr>
              <w:spacing w:line="276" w:lineRule="auto"/>
              <w:rPr>
                <w:rFonts w:cs="Times New Roman"/>
              </w:rPr>
            </w:pPr>
            <w:r w:rsidRPr="00E72972">
              <w:rPr>
                <w:rFonts w:cs="Times New Roman"/>
                <w:sz w:val="16"/>
              </w:rPr>
              <w:t>Shear challenge + fly model</w:t>
            </w:r>
          </w:p>
        </w:tc>
        <w:tc>
          <w:tcPr>
            <w:tcW w:w="1881" w:type="dxa"/>
          </w:tcPr>
          <w:p w14:paraId="48AB27FF" w14:textId="77777777" w:rsidR="00231DA3" w:rsidRPr="00E72972" w:rsidRDefault="00CD24C1" w:rsidP="0015741A">
            <w:pPr>
              <w:spacing w:line="276" w:lineRule="auto"/>
              <w:rPr>
                <w:rFonts w:cs="Times New Roman"/>
              </w:rPr>
            </w:pPr>
            <w:r w:rsidRPr="00E72972">
              <w:rPr>
                <w:rFonts w:cs="Times New Roman"/>
                <w:sz w:val="16"/>
              </w:rPr>
              <w:t>Emerging (single laboratory)</w:t>
            </w:r>
          </w:p>
        </w:tc>
        <w:tc>
          <w:tcPr>
            <w:tcW w:w="1881" w:type="dxa"/>
          </w:tcPr>
          <w:p w14:paraId="692A4284" w14:textId="77777777" w:rsidR="00231DA3" w:rsidRPr="00E72972" w:rsidRDefault="00CD24C1" w:rsidP="0015741A">
            <w:pPr>
              <w:spacing w:line="276" w:lineRule="auto"/>
              <w:rPr>
                <w:rFonts w:cs="Times New Roman"/>
              </w:rPr>
            </w:pPr>
            <w:r w:rsidRPr="00E72972">
              <w:rPr>
                <w:rFonts w:cs="Times New Roman"/>
                <w:sz w:val="16"/>
              </w:rPr>
              <w:t>Wurster et al. 2020 [VERIFY]</w:t>
            </w:r>
          </w:p>
        </w:tc>
      </w:tr>
      <w:tr w:rsidR="00231DA3" w:rsidRPr="00E72972" w14:paraId="5983332F" w14:textId="77777777">
        <w:tc>
          <w:tcPr>
            <w:tcW w:w="1881" w:type="dxa"/>
          </w:tcPr>
          <w:p w14:paraId="55C73362" w14:textId="77777777" w:rsidR="00231DA3" w:rsidRPr="00E72972" w:rsidRDefault="00CD24C1" w:rsidP="0015741A">
            <w:pPr>
              <w:spacing w:line="276" w:lineRule="auto"/>
              <w:rPr>
                <w:rFonts w:cs="Times New Roman"/>
              </w:rPr>
            </w:pPr>
            <w:r w:rsidRPr="00E72972">
              <w:rPr>
                <w:rFonts w:cs="Times New Roman"/>
                <w:sz w:val="16"/>
              </w:rPr>
              <w:t>Temperature-stimulated transposon mobilization</w:t>
            </w:r>
          </w:p>
        </w:tc>
        <w:tc>
          <w:tcPr>
            <w:tcW w:w="1881" w:type="dxa"/>
          </w:tcPr>
          <w:p w14:paraId="560B280B" w14:textId="77777777" w:rsidR="00231DA3" w:rsidRPr="00E72972" w:rsidRDefault="00CD24C1" w:rsidP="0015741A">
            <w:pPr>
              <w:spacing w:line="276" w:lineRule="auto"/>
              <w:rPr>
                <w:rFonts w:cs="Times New Roman"/>
              </w:rPr>
            </w:pPr>
            <w:r w:rsidRPr="00E72972">
              <w:rPr>
                <w:rFonts w:cs="Times New Roman"/>
                <w:i/>
                <w:sz w:val="16"/>
              </w:rPr>
              <w:t>Cryptococcus deneoformans</w:t>
            </w:r>
          </w:p>
        </w:tc>
        <w:tc>
          <w:tcPr>
            <w:tcW w:w="1881" w:type="dxa"/>
          </w:tcPr>
          <w:p w14:paraId="050C07FD" w14:textId="77777777" w:rsidR="00231DA3" w:rsidRPr="00E72972" w:rsidRDefault="00CD24C1" w:rsidP="0015741A">
            <w:pPr>
              <w:spacing w:line="276" w:lineRule="auto"/>
              <w:rPr>
                <w:rFonts w:cs="Times New Roman"/>
              </w:rPr>
            </w:pPr>
            <w:r w:rsidRPr="00E72972">
              <w:rPr>
                <w:rFonts w:cs="Times New Roman"/>
                <w:sz w:val="16"/>
              </w:rPr>
              <w:t>Genome-wide mutation accumulation, murine infection</w:t>
            </w:r>
          </w:p>
        </w:tc>
        <w:tc>
          <w:tcPr>
            <w:tcW w:w="1881" w:type="dxa"/>
          </w:tcPr>
          <w:p w14:paraId="399B2E28" w14:textId="77777777" w:rsidR="00231DA3" w:rsidRPr="00E72972" w:rsidRDefault="00CD24C1" w:rsidP="0015741A">
            <w:pPr>
              <w:spacing w:line="276" w:lineRule="auto"/>
              <w:rPr>
                <w:rFonts w:cs="Times New Roman"/>
              </w:rPr>
            </w:pPr>
            <w:r w:rsidRPr="00E72972">
              <w:rPr>
                <w:rFonts w:cs="Times New Roman"/>
                <w:sz w:val="16"/>
              </w:rPr>
              <w:t>Established</w:t>
            </w:r>
          </w:p>
        </w:tc>
        <w:tc>
          <w:tcPr>
            <w:tcW w:w="1881" w:type="dxa"/>
          </w:tcPr>
          <w:p w14:paraId="114685AF" w14:textId="77777777" w:rsidR="00231DA3" w:rsidRPr="00E72972" w:rsidRDefault="00CD24C1" w:rsidP="0015741A">
            <w:pPr>
              <w:spacing w:line="276" w:lineRule="auto"/>
              <w:rPr>
                <w:rFonts w:cs="Times New Roman"/>
              </w:rPr>
            </w:pPr>
            <w:r w:rsidRPr="00E72972">
              <w:rPr>
                <w:rFonts w:cs="Times New Roman"/>
                <w:sz w:val="16"/>
              </w:rPr>
              <w:t>Gusa et al. 2020, 2023</w:t>
            </w:r>
          </w:p>
        </w:tc>
      </w:tr>
      <w:tr w:rsidR="00231DA3" w:rsidRPr="00E72972" w14:paraId="6E0EDC95" w14:textId="77777777">
        <w:tc>
          <w:tcPr>
            <w:tcW w:w="1881" w:type="dxa"/>
          </w:tcPr>
          <w:p w14:paraId="194F7D26" w14:textId="77777777" w:rsidR="00231DA3" w:rsidRPr="00E72972" w:rsidRDefault="00CD24C1" w:rsidP="0015741A">
            <w:pPr>
              <w:spacing w:line="276" w:lineRule="auto"/>
              <w:rPr>
                <w:rFonts w:cs="Times New Roman"/>
              </w:rPr>
            </w:pPr>
            <w:r w:rsidRPr="00E72972">
              <w:rPr>
                <w:rFonts w:cs="Times New Roman"/>
                <w:sz w:val="16"/>
              </w:rPr>
              <w:t>Host-temperature-induced point mutagenesis</w:t>
            </w:r>
          </w:p>
        </w:tc>
        <w:tc>
          <w:tcPr>
            <w:tcW w:w="1881" w:type="dxa"/>
          </w:tcPr>
          <w:p w14:paraId="1980E3F0" w14:textId="77777777" w:rsidR="00231DA3" w:rsidRPr="00E72972" w:rsidRDefault="00CD24C1" w:rsidP="0015741A">
            <w:pPr>
              <w:spacing w:line="276" w:lineRule="auto"/>
              <w:rPr>
                <w:rFonts w:cs="Times New Roman"/>
              </w:rPr>
            </w:pPr>
            <w:r w:rsidRPr="00E72972">
              <w:rPr>
                <w:rFonts w:cs="Times New Roman"/>
                <w:i/>
                <w:sz w:val="16"/>
              </w:rPr>
              <w:t>Rhodosporidiobolus fluvialis</w:t>
            </w:r>
          </w:p>
        </w:tc>
        <w:tc>
          <w:tcPr>
            <w:tcW w:w="1881" w:type="dxa"/>
          </w:tcPr>
          <w:p w14:paraId="00B52C75" w14:textId="77777777" w:rsidR="00231DA3" w:rsidRPr="00E72972" w:rsidRDefault="00CD24C1" w:rsidP="0015741A">
            <w:pPr>
              <w:spacing w:line="276" w:lineRule="auto"/>
              <w:rPr>
                <w:rFonts w:cs="Times New Roman"/>
              </w:rPr>
            </w:pPr>
            <w:r w:rsidRPr="00E72972">
              <w:rPr>
                <w:rFonts w:cs="Times New Roman"/>
                <w:sz w:val="16"/>
              </w:rPr>
              <w:t>Murine passage, in vitro evolution</w:t>
            </w:r>
          </w:p>
        </w:tc>
        <w:tc>
          <w:tcPr>
            <w:tcW w:w="1881" w:type="dxa"/>
          </w:tcPr>
          <w:p w14:paraId="417735CF" w14:textId="77777777" w:rsidR="00231DA3" w:rsidRPr="00E72972" w:rsidRDefault="00CD24C1" w:rsidP="0015741A">
            <w:pPr>
              <w:spacing w:line="276" w:lineRule="auto"/>
              <w:rPr>
                <w:rFonts w:cs="Times New Roman"/>
              </w:rPr>
            </w:pPr>
            <w:r w:rsidRPr="00E72972">
              <w:rPr>
                <w:rFonts w:cs="Times New Roman"/>
                <w:sz w:val="16"/>
              </w:rPr>
              <w:t>Established mechanism; narrow taxonomic basis</w:t>
            </w:r>
          </w:p>
        </w:tc>
        <w:tc>
          <w:tcPr>
            <w:tcW w:w="1881" w:type="dxa"/>
          </w:tcPr>
          <w:p w14:paraId="15580D9C" w14:textId="77777777" w:rsidR="00231DA3" w:rsidRPr="00E72972" w:rsidRDefault="00CD24C1" w:rsidP="0015741A">
            <w:pPr>
              <w:spacing w:line="276" w:lineRule="auto"/>
              <w:rPr>
                <w:rFonts w:cs="Times New Roman"/>
              </w:rPr>
            </w:pPr>
            <w:r w:rsidRPr="00E72972">
              <w:rPr>
                <w:rFonts w:cs="Times New Roman"/>
                <w:sz w:val="16"/>
              </w:rPr>
              <w:t>Huang et al. 2024</w:t>
            </w:r>
          </w:p>
        </w:tc>
      </w:tr>
      <w:tr w:rsidR="00231DA3" w:rsidRPr="00E72972" w14:paraId="596490C6" w14:textId="77777777">
        <w:tc>
          <w:tcPr>
            <w:tcW w:w="1881" w:type="dxa"/>
          </w:tcPr>
          <w:p w14:paraId="4B3121D6" w14:textId="77777777" w:rsidR="00231DA3" w:rsidRPr="00E72972" w:rsidRDefault="00CD24C1" w:rsidP="0015741A">
            <w:pPr>
              <w:spacing w:line="276" w:lineRule="auto"/>
              <w:rPr>
                <w:rFonts w:cs="Times New Roman"/>
              </w:rPr>
            </w:pPr>
            <w:r w:rsidRPr="00E72972">
              <w:rPr>
                <w:rFonts w:cs="Times New Roman"/>
                <w:sz w:val="16"/>
              </w:rPr>
              <w:t>Aneuploidy and copy-number variation under stress</w:t>
            </w:r>
          </w:p>
        </w:tc>
        <w:tc>
          <w:tcPr>
            <w:tcW w:w="1881" w:type="dxa"/>
          </w:tcPr>
          <w:p w14:paraId="36EBE330" w14:textId="77777777" w:rsidR="00231DA3" w:rsidRPr="00E72972" w:rsidRDefault="00CD24C1" w:rsidP="0015741A">
            <w:pPr>
              <w:spacing w:line="276" w:lineRule="auto"/>
              <w:rPr>
                <w:rFonts w:cs="Times New Roman"/>
              </w:rPr>
            </w:pPr>
            <w:r w:rsidRPr="00E72972">
              <w:rPr>
                <w:rFonts w:cs="Times New Roman"/>
                <w:i/>
                <w:sz w:val="16"/>
              </w:rPr>
              <w:t>C. albicans</w:t>
            </w:r>
            <w:r w:rsidRPr="00E72972">
              <w:rPr>
                <w:rFonts w:cs="Times New Roman"/>
                <w:sz w:val="16"/>
              </w:rPr>
              <w:t xml:space="preserve">, </w:t>
            </w:r>
            <w:r w:rsidRPr="00E72972">
              <w:rPr>
                <w:rFonts w:cs="Times New Roman"/>
                <w:i/>
                <w:sz w:val="16"/>
              </w:rPr>
              <w:t>C. auris</w:t>
            </w:r>
            <w:r w:rsidRPr="00E72972">
              <w:rPr>
                <w:rFonts w:cs="Times New Roman"/>
                <w:sz w:val="16"/>
              </w:rPr>
              <w:t xml:space="preserve">, </w:t>
            </w:r>
            <w:r w:rsidRPr="00E72972">
              <w:rPr>
                <w:rFonts w:cs="Times New Roman"/>
                <w:i/>
                <w:sz w:val="16"/>
              </w:rPr>
              <w:t>Cryptococcus</w:t>
            </w:r>
          </w:p>
        </w:tc>
        <w:tc>
          <w:tcPr>
            <w:tcW w:w="1881" w:type="dxa"/>
          </w:tcPr>
          <w:p w14:paraId="1277771E" w14:textId="77777777" w:rsidR="00231DA3" w:rsidRPr="00E72972" w:rsidRDefault="00CD24C1" w:rsidP="0015741A">
            <w:pPr>
              <w:spacing w:line="276" w:lineRule="auto"/>
              <w:rPr>
                <w:rFonts w:cs="Times New Roman"/>
              </w:rPr>
            </w:pPr>
            <w:r w:rsidRPr="00E72972">
              <w:rPr>
                <w:rFonts w:cs="Times New Roman"/>
                <w:sz w:val="16"/>
              </w:rPr>
              <w:t>Comparative genomics, in vitro selection</w:t>
            </w:r>
          </w:p>
        </w:tc>
        <w:tc>
          <w:tcPr>
            <w:tcW w:w="1881" w:type="dxa"/>
          </w:tcPr>
          <w:p w14:paraId="0C2162BD" w14:textId="77777777" w:rsidR="00231DA3" w:rsidRPr="00E72972" w:rsidRDefault="00CD24C1" w:rsidP="0015741A">
            <w:pPr>
              <w:spacing w:line="276" w:lineRule="auto"/>
              <w:rPr>
                <w:rFonts w:cs="Times New Roman"/>
              </w:rPr>
            </w:pPr>
            <w:r w:rsidRPr="00E72972">
              <w:rPr>
                <w:rFonts w:cs="Times New Roman"/>
                <w:sz w:val="16"/>
              </w:rPr>
              <w:t>Established</w:t>
            </w:r>
          </w:p>
        </w:tc>
        <w:tc>
          <w:tcPr>
            <w:tcW w:w="1881" w:type="dxa"/>
          </w:tcPr>
          <w:p w14:paraId="77D59FE8" w14:textId="77777777" w:rsidR="00231DA3" w:rsidRPr="00E72972" w:rsidRDefault="00CD24C1" w:rsidP="0015741A">
            <w:pPr>
              <w:spacing w:line="276" w:lineRule="auto"/>
              <w:rPr>
                <w:rFonts w:cs="Times New Roman"/>
              </w:rPr>
            </w:pPr>
            <w:r w:rsidRPr="00E72972">
              <w:rPr>
                <w:rFonts w:cs="Times New Roman"/>
                <w:sz w:val="16"/>
              </w:rPr>
              <w:t>Selmecki et al. 2006; Bennett et al. 2014; Steenwyk et al. 2016</w:t>
            </w:r>
          </w:p>
        </w:tc>
      </w:tr>
      <w:tr w:rsidR="00231DA3" w:rsidRPr="00E72972" w14:paraId="6D0955D8" w14:textId="77777777">
        <w:tc>
          <w:tcPr>
            <w:tcW w:w="1881" w:type="dxa"/>
          </w:tcPr>
          <w:p w14:paraId="0212E1C3" w14:textId="77777777" w:rsidR="00231DA3" w:rsidRPr="00E72972" w:rsidRDefault="00CD24C1" w:rsidP="0015741A">
            <w:pPr>
              <w:spacing w:line="276" w:lineRule="auto"/>
              <w:rPr>
                <w:rFonts w:cs="Times New Roman"/>
              </w:rPr>
            </w:pPr>
            <w:r w:rsidRPr="00E72972">
              <w:rPr>
                <w:rFonts w:cs="Times New Roman"/>
                <w:sz w:val="16"/>
              </w:rPr>
              <w:t>RNAi-dependent epimutation</w:t>
            </w:r>
          </w:p>
        </w:tc>
        <w:tc>
          <w:tcPr>
            <w:tcW w:w="1881" w:type="dxa"/>
          </w:tcPr>
          <w:p w14:paraId="296BA38C" w14:textId="77777777" w:rsidR="00231DA3" w:rsidRPr="00E72972" w:rsidRDefault="00CD24C1" w:rsidP="0015741A">
            <w:pPr>
              <w:spacing w:line="276" w:lineRule="auto"/>
              <w:rPr>
                <w:rFonts w:cs="Times New Roman"/>
              </w:rPr>
            </w:pPr>
            <w:r w:rsidRPr="00E72972">
              <w:rPr>
                <w:rFonts w:cs="Times New Roman"/>
                <w:i/>
                <w:sz w:val="16"/>
              </w:rPr>
              <w:t>Mucor</w:t>
            </w:r>
            <w:r w:rsidRPr="00E72972">
              <w:rPr>
                <w:rFonts w:cs="Times New Roman"/>
                <w:sz w:val="16"/>
              </w:rPr>
              <w:t xml:space="preserve"> spp.</w:t>
            </w:r>
          </w:p>
        </w:tc>
        <w:tc>
          <w:tcPr>
            <w:tcW w:w="1881" w:type="dxa"/>
          </w:tcPr>
          <w:p w14:paraId="216E040F" w14:textId="77777777" w:rsidR="00231DA3" w:rsidRPr="00E72972" w:rsidRDefault="00CD24C1" w:rsidP="0015741A">
            <w:pPr>
              <w:spacing w:line="276" w:lineRule="auto"/>
              <w:rPr>
                <w:rFonts w:cs="Times New Roman"/>
              </w:rPr>
            </w:pPr>
            <w:r w:rsidRPr="00E72972">
              <w:rPr>
                <w:rFonts w:cs="Times New Roman"/>
                <w:sz w:val="16"/>
              </w:rPr>
              <w:t>Drug-selection assays</w:t>
            </w:r>
          </w:p>
        </w:tc>
        <w:tc>
          <w:tcPr>
            <w:tcW w:w="1881" w:type="dxa"/>
          </w:tcPr>
          <w:p w14:paraId="149E87E5" w14:textId="77777777" w:rsidR="00231DA3" w:rsidRPr="00E72972" w:rsidRDefault="00CD24C1" w:rsidP="0015741A">
            <w:pPr>
              <w:spacing w:line="276" w:lineRule="auto"/>
              <w:rPr>
                <w:rFonts w:cs="Times New Roman"/>
              </w:rPr>
            </w:pPr>
            <w:r w:rsidRPr="00E72972">
              <w:rPr>
                <w:rFonts w:cs="Times New Roman"/>
                <w:sz w:val="16"/>
              </w:rPr>
              <w:t>Established (mechanism)</w:t>
            </w:r>
          </w:p>
        </w:tc>
        <w:tc>
          <w:tcPr>
            <w:tcW w:w="1881" w:type="dxa"/>
          </w:tcPr>
          <w:p w14:paraId="20D02ADE" w14:textId="77777777" w:rsidR="00231DA3" w:rsidRPr="00E72972" w:rsidRDefault="00CD24C1" w:rsidP="0015741A">
            <w:pPr>
              <w:spacing w:line="276" w:lineRule="auto"/>
              <w:rPr>
                <w:rFonts w:cs="Times New Roman"/>
              </w:rPr>
            </w:pPr>
            <w:r w:rsidRPr="00E72972">
              <w:rPr>
                <w:rFonts w:cs="Times New Roman"/>
                <w:sz w:val="16"/>
              </w:rPr>
              <w:t>Calo et al. 2014</w:t>
            </w:r>
          </w:p>
        </w:tc>
      </w:tr>
      <w:tr w:rsidR="00231DA3" w:rsidRPr="00E72972" w14:paraId="67916E85" w14:textId="77777777">
        <w:tc>
          <w:tcPr>
            <w:tcW w:w="1881" w:type="dxa"/>
          </w:tcPr>
          <w:p w14:paraId="1A2F3F73" w14:textId="77777777" w:rsidR="00231DA3" w:rsidRPr="00E72972" w:rsidRDefault="00CD24C1" w:rsidP="0015741A">
            <w:pPr>
              <w:spacing w:line="276" w:lineRule="auto"/>
              <w:rPr>
                <w:rFonts w:cs="Times New Roman"/>
              </w:rPr>
            </w:pPr>
            <w:r w:rsidRPr="00E72972">
              <w:rPr>
                <w:rFonts w:cs="Times New Roman"/>
                <w:sz w:val="16"/>
              </w:rPr>
              <w:t>Directed/experimental evolution of thermotolerance</w:t>
            </w:r>
          </w:p>
        </w:tc>
        <w:tc>
          <w:tcPr>
            <w:tcW w:w="1881" w:type="dxa"/>
          </w:tcPr>
          <w:p w14:paraId="21A1DB8C" w14:textId="77777777" w:rsidR="00231DA3" w:rsidRPr="00E72972" w:rsidRDefault="00CD24C1" w:rsidP="0015741A">
            <w:pPr>
              <w:spacing w:line="276" w:lineRule="auto"/>
              <w:rPr>
                <w:rFonts w:cs="Times New Roman"/>
              </w:rPr>
            </w:pPr>
            <w:r w:rsidRPr="00E72972">
              <w:rPr>
                <w:rFonts w:cs="Times New Roman"/>
                <w:sz w:val="16"/>
              </w:rPr>
              <w:t>Filamentous fungi</w:t>
            </w:r>
          </w:p>
        </w:tc>
        <w:tc>
          <w:tcPr>
            <w:tcW w:w="1881" w:type="dxa"/>
          </w:tcPr>
          <w:p w14:paraId="5970493F" w14:textId="77777777" w:rsidR="00231DA3" w:rsidRPr="00E72972" w:rsidRDefault="00CD24C1" w:rsidP="0015741A">
            <w:pPr>
              <w:spacing w:line="276" w:lineRule="auto"/>
              <w:rPr>
                <w:rFonts w:cs="Times New Roman"/>
              </w:rPr>
            </w:pPr>
            <w:r w:rsidRPr="00E72972">
              <w:rPr>
                <w:rFonts w:cs="Times New Roman"/>
                <w:sz w:val="16"/>
              </w:rPr>
              <w:t>Continuous culture</w:t>
            </w:r>
          </w:p>
        </w:tc>
        <w:tc>
          <w:tcPr>
            <w:tcW w:w="1881" w:type="dxa"/>
          </w:tcPr>
          <w:p w14:paraId="43B6E95A" w14:textId="77777777" w:rsidR="00231DA3" w:rsidRPr="00E72972" w:rsidRDefault="00CD24C1" w:rsidP="0015741A">
            <w:pPr>
              <w:spacing w:line="276" w:lineRule="auto"/>
              <w:rPr>
                <w:rFonts w:cs="Times New Roman"/>
              </w:rPr>
            </w:pPr>
            <w:r w:rsidRPr="00E72972">
              <w:rPr>
                <w:rFonts w:cs="Times New Roman"/>
                <w:sz w:val="16"/>
              </w:rPr>
              <w:t>Established (proof of principle)</w:t>
            </w:r>
          </w:p>
        </w:tc>
        <w:tc>
          <w:tcPr>
            <w:tcW w:w="1881" w:type="dxa"/>
          </w:tcPr>
          <w:p w14:paraId="5B22F803" w14:textId="77777777" w:rsidR="00231DA3" w:rsidRPr="00E72972" w:rsidRDefault="00CD24C1" w:rsidP="0015741A">
            <w:pPr>
              <w:spacing w:line="276" w:lineRule="auto"/>
              <w:rPr>
                <w:rFonts w:cs="Times New Roman"/>
              </w:rPr>
            </w:pPr>
            <w:r w:rsidRPr="00E72972">
              <w:rPr>
                <w:rFonts w:cs="Times New Roman"/>
                <w:sz w:val="16"/>
              </w:rPr>
              <w:t>de Crécy et al. 2009</w:t>
            </w:r>
          </w:p>
        </w:tc>
      </w:tr>
      <w:tr w:rsidR="00231DA3" w:rsidRPr="00E72972" w14:paraId="0D103722" w14:textId="77777777">
        <w:tc>
          <w:tcPr>
            <w:tcW w:w="1881" w:type="dxa"/>
          </w:tcPr>
          <w:p w14:paraId="5149BF94" w14:textId="77777777" w:rsidR="00231DA3" w:rsidRPr="00E72972" w:rsidRDefault="00CD24C1" w:rsidP="0015741A">
            <w:pPr>
              <w:spacing w:line="276" w:lineRule="auto"/>
              <w:rPr>
                <w:rFonts w:cs="Times New Roman"/>
              </w:rPr>
            </w:pPr>
            <w:r w:rsidRPr="00E72972">
              <w:rPr>
                <w:rFonts w:cs="Times New Roman"/>
                <w:sz w:val="16"/>
              </w:rPr>
              <w:t>Environmental thermal selection generating new human pathogens</w:t>
            </w:r>
          </w:p>
        </w:tc>
        <w:tc>
          <w:tcPr>
            <w:tcW w:w="1881" w:type="dxa"/>
          </w:tcPr>
          <w:p w14:paraId="154773C0" w14:textId="77777777" w:rsidR="00231DA3" w:rsidRPr="00E72972" w:rsidRDefault="00CD24C1" w:rsidP="0015741A">
            <w:pPr>
              <w:spacing w:line="276" w:lineRule="auto"/>
              <w:rPr>
                <w:rFonts w:cs="Times New Roman"/>
              </w:rPr>
            </w:pPr>
            <w:r w:rsidRPr="00E72972">
              <w:rPr>
                <w:rFonts w:cs="Times New Roman"/>
                <w:sz w:val="16"/>
              </w:rPr>
              <w:t>—</w:t>
            </w:r>
          </w:p>
        </w:tc>
        <w:tc>
          <w:tcPr>
            <w:tcW w:w="1881" w:type="dxa"/>
          </w:tcPr>
          <w:p w14:paraId="71303E33" w14:textId="77777777" w:rsidR="00231DA3" w:rsidRPr="00E72972" w:rsidRDefault="00CD24C1" w:rsidP="0015741A">
            <w:pPr>
              <w:spacing w:line="276" w:lineRule="auto"/>
              <w:rPr>
                <w:rFonts w:cs="Times New Roman"/>
              </w:rPr>
            </w:pPr>
            <w:r w:rsidRPr="00E72972">
              <w:rPr>
                <w:rFonts w:cs="Times New Roman"/>
                <w:sz w:val="16"/>
              </w:rPr>
              <w:t>—</w:t>
            </w:r>
          </w:p>
        </w:tc>
        <w:tc>
          <w:tcPr>
            <w:tcW w:w="1881" w:type="dxa"/>
          </w:tcPr>
          <w:p w14:paraId="62CF263B" w14:textId="77777777" w:rsidR="00231DA3" w:rsidRPr="00E72972" w:rsidRDefault="00CD24C1" w:rsidP="0015741A">
            <w:pPr>
              <w:spacing w:line="276" w:lineRule="auto"/>
              <w:rPr>
                <w:rFonts w:cs="Times New Roman"/>
              </w:rPr>
            </w:pPr>
            <w:r w:rsidRPr="00E72972">
              <w:rPr>
                <w:rFonts w:cs="Times New Roman"/>
                <w:sz w:val="16"/>
              </w:rPr>
              <w:t>Hypothesis</w:t>
            </w:r>
          </w:p>
        </w:tc>
        <w:tc>
          <w:tcPr>
            <w:tcW w:w="1881" w:type="dxa"/>
          </w:tcPr>
          <w:p w14:paraId="3FFAA171" w14:textId="77777777" w:rsidR="00231DA3" w:rsidRPr="00E72972" w:rsidRDefault="00CD24C1" w:rsidP="0015741A">
            <w:pPr>
              <w:spacing w:line="276" w:lineRule="auto"/>
              <w:rPr>
                <w:rFonts w:cs="Times New Roman"/>
                <w:lang w:val="it-IT"/>
              </w:rPr>
            </w:pPr>
            <w:r w:rsidRPr="00E72972">
              <w:rPr>
                <w:rFonts w:cs="Times New Roman"/>
                <w:sz w:val="16"/>
                <w:lang w:val="it-IT"/>
              </w:rPr>
              <w:t>Casadevall et al. 2019; Seidel et al. 2024</w:t>
            </w:r>
          </w:p>
        </w:tc>
      </w:tr>
    </w:tbl>
    <w:p w14:paraId="421FC6FA" w14:textId="77777777" w:rsidR="00231DA3" w:rsidRPr="00E72972" w:rsidRDefault="00231DA3" w:rsidP="0015741A">
      <w:pPr>
        <w:rPr>
          <w:rFonts w:cs="Times New Roman"/>
          <w:lang w:val="it-IT"/>
        </w:rPr>
      </w:pPr>
    </w:p>
    <w:p w14:paraId="5821446D" w14:textId="77777777" w:rsidR="00231DA3" w:rsidRPr="00E72972" w:rsidRDefault="00CD24C1" w:rsidP="0015741A">
      <w:pPr>
        <w:pStyle w:val="Heading1"/>
        <w:rPr>
          <w:rFonts w:ascii="Times New Roman" w:hAnsi="Times New Roman" w:cs="Times New Roman"/>
        </w:rPr>
      </w:pPr>
      <w:r w:rsidRPr="00E72972">
        <w:rPr>
          <w:rFonts w:ascii="Times New Roman" w:hAnsi="Times New Roman" w:cs="Times New Roman"/>
        </w:rPr>
        <w:t>3 Phenotypic Adaptation: Plasticity Under Thermal and Physical Stress</w:t>
      </w:r>
    </w:p>
    <w:p w14:paraId="0F4B011D" w14:textId="77777777" w:rsidR="00231DA3" w:rsidRPr="00E72972" w:rsidRDefault="00CD24C1" w:rsidP="0015741A">
      <w:pPr>
        <w:rPr>
          <w:rFonts w:cs="Times New Roman"/>
        </w:rPr>
      </w:pPr>
      <w:r w:rsidRPr="00E72972">
        <w:rPr>
          <w:rFonts w:cs="Times New Roman"/>
        </w:rPr>
        <w:t>Phenotypic adaptation, in the sense used here, means a change in the properties of a fungal cell or population that occurs without any change in DNA sequence and that reverses when the inducing stimulus is withdrawn. It is fast, it is reversible, and it is the first thing a fungus does when the environment changes. Because it can produce large changes in virulence within hours, it is also frequently mistaken for evolution.</w:t>
      </w:r>
    </w:p>
    <w:p w14:paraId="4B765E25" w14:textId="77777777" w:rsidR="00231DA3" w:rsidRPr="00E72972" w:rsidRDefault="00CD24C1" w:rsidP="0015741A">
      <w:pPr>
        <w:pStyle w:val="Heading2"/>
        <w:rPr>
          <w:rFonts w:cs="Times New Roman"/>
        </w:rPr>
      </w:pPr>
      <w:r w:rsidRPr="00E72972">
        <w:rPr>
          <w:rFonts w:cs="Times New Roman"/>
        </w:rPr>
        <w:t>3.1 Thermotolerance as a Plastic and Heritable Trait</w:t>
      </w:r>
    </w:p>
    <w:p w14:paraId="17069C84" w14:textId="77777777" w:rsidR="00231DA3" w:rsidRPr="004C1225" w:rsidRDefault="00CD24C1" w:rsidP="004C1225">
      <w:pPr>
        <w:pStyle w:val="Heading3"/>
      </w:pPr>
      <w:r w:rsidRPr="004C1225">
        <w:t>3.1.1 The Heat-Shock Machinery</w:t>
      </w:r>
    </w:p>
    <w:p w14:paraId="73AF3D15" w14:textId="77777777" w:rsidR="00231DA3" w:rsidRPr="00E72972" w:rsidRDefault="00CD24C1" w:rsidP="0015741A">
      <w:pPr>
        <w:rPr>
          <w:rFonts w:cs="Times New Roman"/>
        </w:rPr>
      </w:pPr>
      <w:r w:rsidRPr="00E72972">
        <w:rPr>
          <w:rFonts w:cs="Times New Roman"/>
        </w:rPr>
        <w:t xml:space="preserve">The canonical response to a temperature upshift is transcriptional reprogramming through heat-shock transcription factors, most prominently Hsf1, with downstream induction of chaperones and accumulation </w:t>
      </w:r>
      <w:r w:rsidRPr="00E72972">
        <w:rPr>
          <w:rFonts w:cs="Times New Roman"/>
        </w:rPr>
        <w:lastRenderedPageBreak/>
        <w:t xml:space="preserve">of the compatible solute trehalose (Morano et al. 2011). In </w:t>
      </w:r>
      <w:r w:rsidRPr="00E72972">
        <w:rPr>
          <w:rFonts w:cs="Times New Roman"/>
          <w:i/>
        </w:rPr>
        <w:t>C. albicans</w:t>
      </w:r>
      <w:r w:rsidRPr="00E72972">
        <w:rPr>
          <w:rFonts w:cs="Times New Roman"/>
        </w:rPr>
        <w:t>, Hsf1 activation is required not merely for thermal survival but for full virulence, establishing that thermal-stress machinery and pathogenicity are mechanistically coupled rather than merely correlated (Nicholls et al. 2010). The Hsp90 chaperone occupies a central node: it stabilizes the client proteins on which both stress signalling and drug-target function depend, and its pharmacological or genetic compromise sensitizes fungi to both heat and antifungals (Cowen et al. 2009). Hsp90 also constitutes the</w:t>
      </w:r>
      <w:r w:rsidRPr="00E72972">
        <w:rPr>
          <w:rFonts w:cs="Times New Roman"/>
        </w:rPr>
        <w:t xml:space="preserve"> mechanistic bridge to Section 4, for reasons discussed in 4.5.</w:t>
      </w:r>
    </w:p>
    <w:p w14:paraId="24C73342" w14:textId="77777777" w:rsidR="00231DA3" w:rsidRPr="00E72972" w:rsidRDefault="00CD24C1" w:rsidP="0015741A">
      <w:pPr>
        <w:rPr>
          <w:rFonts w:cs="Times New Roman"/>
        </w:rPr>
      </w:pPr>
      <w:r w:rsidRPr="00E72972">
        <w:rPr>
          <w:rFonts w:cs="Times New Roman"/>
        </w:rPr>
        <w:t>A related concept with direct climate relevance is priming. Sublethal stress exposure can leave a cell better able to survive a subsequent, more severe challenge — sometimes of a different kind — and in fungi this phenomenon has been documented across thermal, oxidative and cell-wall stresses (Harish and Osherov 2022). Because climate-associated stresses are rarely delivered singly, priming is likely to be the rule rather than the exception in natural settings, and it complicates any inference from single-s</w:t>
      </w:r>
      <w:r w:rsidRPr="00E72972">
        <w:rPr>
          <w:rFonts w:cs="Times New Roman"/>
        </w:rPr>
        <w:t>tress laboratory experiments to field behaviour. Fungal pathogens can additionally retain a form of adaptive memory of prior host-associated stress that alters subsequent immune recognition (Brown et al. 2018).</w:t>
      </w:r>
    </w:p>
    <w:p w14:paraId="090642B9" w14:textId="77777777" w:rsidR="00231DA3" w:rsidRPr="00E72972" w:rsidRDefault="00CD24C1" w:rsidP="0015741A">
      <w:pPr>
        <w:pStyle w:val="Heading3"/>
        <w:rPr>
          <w:rFonts w:cs="Times New Roman"/>
        </w:rPr>
      </w:pPr>
      <w:r w:rsidRPr="00E72972">
        <w:rPr>
          <w:rFonts w:cs="Times New Roman"/>
        </w:rPr>
        <w:t>3.1.2 Calcineurin Signalling and Morphogenesis at Elevated Temperature</w:t>
      </w:r>
    </w:p>
    <w:p w14:paraId="503A5B38" w14:textId="77777777" w:rsidR="00231DA3" w:rsidRPr="00E72972" w:rsidRDefault="00CD24C1" w:rsidP="0015741A">
      <w:pPr>
        <w:rPr>
          <w:rFonts w:cs="Times New Roman"/>
        </w:rPr>
      </w:pPr>
      <w:r w:rsidRPr="00E72972">
        <w:rPr>
          <w:rFonts w:cs="Times New Roman"/>
        </w:rPr>
        <w:t xml:space="preserve">The calcium–calmodulin-dependent protein phosphatase calcineurin is the best-characterized node linking thermal stress to fungal virulence. It is required for growth at host temperature, for morphogenesis and for cell-wall integrity across </w:t>
      </w:r>
      <w:r w:rsidRPr="00E72972">
        <w:rPr>
          <w:rFonts w:cs="Times New Roman"/>
          <w:i/>
        </w:rPr>
        <w:t>Cryptococcus</w:t>
      </w:r>
      <w:r w:rsidRPr="00E72972">
        <w:rPr>
          <w:rFonts w:cs="Times New Roman"/>
        </w:rPr>
        <w:t xml:space="preserve">, </w:t>
      </w:r>
      <w:r w:rsidRPr="00E72972">
        <w:rPr>
          <w:rFonts w:cs="Times New Roman"/>
          <w:i/>
        </w:rPr>
        <w:t>Aspergillus</w:t>
      </w:r>
      <w:r w:rsidRPr="00E72972">
        <w:rPr>
          <w:rFonts w:cs="Times New Roman"/>
        </w:rPr>
        <w:t xml:space="preserve">, </w:t>
      </w:r>
      <w:r w:rsidRPr="00E72972">
        <w:rPr>
          <w:rFonts w:cs="Times New Roman"/>
          <w:i/>
        </w:rPr>
        <w:t>Candida</w:t>
      </w:r>
      <w:r w:rsidRPr="00E72972">
        <w:rPr>
          <w:rFonts w:cs="Times New Roman"/>
        </w:rPr>
        <w:t xml:space="preserve"> and the Mucorales, and its inhibition by cyclosporine A or tacrolimus attenuates virulence in animal models (Steinbach et al. 2007; Juvvadi et al. 2016).</w:t>
      </w:r>
    </w:p>
    <w:p w14:paraId="69CA4D08" w14:textId="77777777" w:rsidR="00231DA3" w:rsidRPr="00E72972" w:rsidRDefault="00CD24C1" w:rsidP="0015741A">
      <w:pPr>
        <w:rPr>
          <w:rFonts w:cs="Times New Roman"/>
        </w:rPr>
      </w:pPr>
      <w:r w:rsidRPr="00E72972">
        <w:rPr>
          <w:rFonts w:cs="Times New Roman"/>
        </w:rPr>
        <w:t xml:space="preserve">This pathway carries the most direct experimental evidence that warming can increase virulence rather than merely permit growth. Culturing </w:t>
      </w:r>
      <w:r w:rsidRPr="00E72972">
        <w:rPr>
          <w:rFonts w:cs="Times New Roman"/>
          <w:i/>
        </w:rPr>
        <w:t>Rhizopus arrhizus</w:t>
      </w:r>
      <w:r w:rsidRPr="00E72972">
        <w:rPr>
          <w:rFonts w:cs="Times New Roman"/>
        </w:rPr>
        <w:t xml:space="preserve"> and </w:t>
      </w:r>
      <w:r w:rsidRPr="00E72972">
        <w:rPr>
          <w:rFonts w:cs="Times New Roman"/>
          <w:i/>
        </w:rPr>
        <w:t>Mucor circinelloides</w:t>
      </w:r>
      <w:r w:rsidRPr="00E72972">
        <w:rPr>
          <w:rFonts w:cs="Times New Roman"/>
        </w:rPr>
        <w:t xml:space="preserve"> at 37 °C and 42 °C rather than 30 °C produced isolates with greater virulence in an invertebrate infection model and greater tolerance of oxidative stress, and the high-temperature virulence enhancement was abolished by calcineurin inhibition [VERIFY: data shown in the authors' presentation; source publication to be supplied — see co_editing_notes.md]. The phenotype is therefore not a non-specific consequence of faster growth: it is an actively signalled state. Two features matter for the chapter's argumen</w:t>
      </w:r>
      <w:r w:rsidRPr="00E72972">
        <w:rPr>
          <w:rFonts w:cs="Times New Roman"/>
        </w:rPr>
        <w:t xml:space="preserve">t. First, the effect is achieved by </w:t>
      </w:r>
      <w:r w:rsidRPr="00E72972">
        <w:rPr>
          <w:rFonts w:cs="Times New Roman"/>
          <w:i/>
        </w:rPr>
        <w:t>pre-exposure</w:t>
      </w:r>
      <w:r w:rsidRPr="00E72972">
        <w:rPr>
          <w:rFonts w:cs="Times New Roman"/>
        </w:rPr>
        <w:t>, not by selection — the organisms were not evolved. Second, it is reversible, which places it firmly in the phenotypic category despite its magnitude. Recent commentary has framed the convergence of thermotolerant fungi and altered host immunity as an emerging concern deserving systematic study (Lamoth and Kontoyiannis 2026), and has extended the argument to invertebrate-associated cutaneous invasive fungal infection under warming (Kontoyiannis and Casadevall 2025).</w:t>
      </w:r>
    </w:p>
    <w:p w14:paraId="10FA1602" w14:textId="77777777" w:rsidR="00231DA3" w:rsidRPr="00E72972" w:rsidRDefault="00CD24C1" w:rsidP="0015741A">
      <w:pPr>
        <w:pStyle w:val="Heading3"/>
        <w:rPr>
          <w:rFonts w:cs="Times New Roman"/>
        </w:rPr>
      </w:pPr>
      <w:r w:rsidRPr="00E72972">
        <w:rPr>
          <w:rFonts w:cs="Times New Roman"/>
        </w:rPr>
        <w:t>3.1.3 Oxidative-Stress Cross-Protection and Immune Evasion</w:t>
      </w:r>
    </w:p>
    <w:p w14:paraId="652B05FE" w14:textId="77777777" w:rsidR="00231DA3" w:rsidRPr="00E72972" w:rsidRDefault="00CD24C1" w:rsidP="0015741A">
      <w:pPr>
        <w:rPr>
          <w:rFonts w:cs="Times New Roman"/>
        </w:rPr>
      </w:pPr>
      <w:r w:rsidRPr="00E72972">
        <w:rPr>
          <w:rFonts w:cs="Times New Roman"/>
        </w:rPr>
        <w:t xml:space="preserve">The coupling between thermal pre-exposure and oxidative-stress tolerance is mechanistically important because the phagocyte oxidative burst is a principal effector against germinating spores. Thermally primed cells that better withstand superoxide and hydrogen peroxide challenge are, in effect, pre-adapted to innate immune attack without ever having encountered a host [VERIFY: data shown in the authors' presentation; source publication to be supplied — see co_editing_notes.md]. The stress-activated protein </w:t>
      </w:r>
      <w:r w:rsidRPr="00E72972">
        <w:rPr>
          <w:rFonts w:cs="Times New Roman"/>
        </w:rPr>
        <w:t xml:space="preserve">kinase and HOG modules that mediate osmotic and oxidative responses are shared across human-pathogenic fungi and are required for survival within phagocytes (Day and Quinn 2019). This convergence — environmental stress machinery doubling as immune-evasion machinery — is, in our view, the single </w:t>
      </w:r>
      <w:r w:rsidRPr="00E72972">
        <w:rPr>
          <w:rFonts w:cs="Times New Roman"/>
        </w:rPr>
        <w:lastRenderedPageBreak/>
        <w:t>most plausible route by which an environmental change could translate into altered clinical behaviour, and it should be the focus of mechanistic work.</w:t>
      </w:r>
    </w:p>
    <w:p w14:paraId="3E91D51D" w14:textId="77777777" w:rsidR="00231DA3" w:rsidRPr="00E72972" w:rsidRDefault="00CD24C1" w:rsidP="0015741A">
      <w:pPr>
        <w:pStyle w:val="Heading2"/>
        <w:rPr>
          <w:rFonts w:cs="Times New Roman"/>
        </w:rPr>
      </w:pPr>
      <w:r w:rsidRPr="00E72972">
        <w:rPr>
          <w:rFonts w:cs="Times New Roman"/>
        </w:rPr>
        <w:t>3.2 Pigmentation, Melanin and Thermal Buffering</w:t>
      </w:r>
    </w:p>
    <w:p w14:paraId="7BA98C54" w14:textId="77777777" w:rsidR="00231DA3" w:rsidRPr="00E72972" w:rsidRDefault="00CD24C1" w:rsidP="0015741A">
      <w:pPr>
        <w:rPr>
          <w:rFonts w:cs="Times New Roman"/>
        </w:rPr>
      </w:pPr>
      <w:r w:rsidRPr="00E72972">
        <w:rPr>
          <w:rFonts w:cs="Times New Roman"/>
        </w:rPr>
        <w:t xml:space="preserve">Melanins are multifunctional fungal pigments that absorb radiation, quench free radicals, sequester metals and contribute to cell-wall rigidity; their roles extend well beyond the virulence functions for which they are best known in </w:t>
      </w:r>
      <w:r w:rsidRPr="00E72972">
        <w:rPr>
          <w:rFonts w:cs="Times New Roman"/>
          <w:i/>
        </w:rPr>
        <w:t>Cryptococcus</w:t>
      </w:r>
      <w:r w:rsidRPr="00E72972">
        <w:rPr>
          <w:rFonts w:cs="Times New Roman"/>
        </w:rPr>
        <w:t xml:space="preserve"> (Cordero and Casadevall 2017). Melanized fungi can even derive metabolic benefit from ionizing radiation, a finding that expanded the conception of what fungal pigments do (Dadachova et al. 2007). Because pigmentation modulates absorbed radiant energy, it also modulates cell temperature, which makes it a plausible target of selection under warming.</w:t>
      </w:r>
    </w:p>
    <w:p w14:paraId="327967B4" w14:textId="77777777" w:rsidR="00231DA3" w:rsidRPr="00E72972" w:rsidRDefault="00CD24C1" w:rsidP="0015741A">
      <w:pPr>
        <w:rPr>
          <w:rFonts w:cs="Times New Roman"/>
        </w:rPr>
      </w:pPr>
      <w:r w:rsidRPr="00E72972">
        <w:rPr>
          <w:rFonts w:cs="Times New Roman"/>
        </w:rPr>
        <w:t xml:space="preserve">The most direct field evidence comes from a paired sampling design in an urban heat island. Fungi isolated from warmer Baltimore neighbourhoods showed greater thermotolerance and lighter pigmentation than those from cooler neighbourhoods, and the opportunistic pathogen </w:t>
      </w:r>
      <w:r w:rsidRPr="00E72972">
        <w:rPr>
          <w:rFonts w:cs="Times New Roman"/>
          <w:i/>
        </w:rPr>
        <w:t>Rhodotorula mucilaginosa</w:t>
      </w:r>
      <w:r w:rsidRPr="00E72972">
        <w:rPr>
          <w:rFonts w:cs="Times New Roman"/>
        </w:rPr>
        <w:t xml:space="preserve"> from warmer areas resisted gradual heat challenge better (Smith et al. 2025). The lighter pigmentation is consistent with reduced radiant heat absorption being advantageous in a hotter microenvironment. The authors are appropriately cautious: cool and warm neighbourhoods in a city differ in tree canopy, sun exposure, pedestrian and animal traffic, impervious surface and socioeconomic history, any of which could drive the observed differences. Treated as a natural experiment with acknowledged confounding, h</w:t>
      </w:r>
      <w:r w:rsidRPr="00E72972">
        <w:rPr>
          <w:rFonts w:cs="Times New Roman"/>
        </w:rPr>
        <w:t>owever, this is among the most useful datasets available, and the design deserves replication in other cities and climates.</w:t>
      </w:r>
    </w:p>
    <w:p w14:paraId="768C4186" w14:textId="77777777" w:rsidR="00231DA3" w:rsidRPr="00E72972" w:rsidRDefault="00CD24C1" w:rsidP="0015741A">
      <w:pPr>
        <w:pStyle w:val="Heading2"/>
        <w:rPr>
          <w:rFonts w:cs="Times New Roman"/>
        </w:rPr>
      </w:pPr>
      <w:r w:rsidRPr="00E72972">
        <w:rPr>
          <w:rFonts w:cs="Times New Roman"/>
        </w:rPr>
        <w:t>3.3 Mechanical and Hydrodynamic Stress: The Tornadic Shear Paradigm</w:t>
      </w:r>
    </w:p>
    <w:p w14:paraId="7DBAA969" w14:textId="77777777" w:rsidR="00231DA3" w:rsidRPr="00E72972" w:rsidRDefault="00CD24C1" w:rsidP="0015741A">
      <w:pPr>
        <w:rPr>
          <w:rFonts w:cs="Times New Roman"/>
        </w:rPr>
      </w:pPr>
      <w:r w:rsidRPr="00E72972">
        <w:rPr>
          <w:rFonts w:cs="Times New Roman"/>
        </w:rPr>
        <w:t>Disaster conditions deliver physical stresses that are absent from conventional laboratory culture. Subjecting Mucorales to a tornadic shear challenge that recapitulates the hydrodynamic forces of a tornado has been reported to induce a hypervirulent phenotype in a fruit-fly infection model, an effect dependent on calcineurin and Hsp90 signalling and abolished by cyclosporine A or an Hsp90 inhibitor (Wurster et al. 2020 [VERIFY: citation not resolvable in bibliographic databases during drafting — authors to</w:t>
      </w:r>
      <w:r w:rsidRPr="00E72972">
        <w:rPr>
          <w:rFonts w:cs="Times New Roman"/>
        </w:rPr>
        <w:t xml:space="preserve"> supply; see co_editing_notes.md]). Three points deserve emphasis. The phenotype is </w:t>
      </w:r>
      <w:r w:rsidRPr="00E72972">
        <w:rPr>
          <w:rFonts w:cs="Times New Roman"/>
          <w:i/>
        </w:rPr>
        <w:t>transient</w:t>
      </w:r>
      <w:r w:rsidRPr="00E72972">
        <w:rPr>
          <w:rFonts w:cs="Times New Roman"/>
        </w:rPr>
        <w:t xml:space="preserve">, reverting when the stress is removed, and is therefore plasticity rather than adaptation in the evolutionary sense. It is mediated by the </w:t>
      </w:r>
      <w:r w:rsidRPr="00E72972">
        <w:rPr>
          <w:rFonts w:cs="Times New Roman"/>
          <w:i/>
        </w:rPr>
        <w:t>same</w:t>
      </w:r>
      <w:r w:rsidRPr="00E72972">
        <w:rPr>
          <w:rFonts w:cs="Times New Roman"/>
        </w:rPr>
        <w:t xml:space="preserve"> signalling nodes as thermal adaptation, which suggests a shared stress-integration architecture rather than stress-specific programmes. And it provides a mechanistic hypothesis for an otherwise puzzling clinical observation: the clusters of aggressive, necrotizing cutaneous mucormycosis that follow tornadoes (Section 7.2).</w:t>
      </w:r>
    </w:p>
    <w:p w14:paraId="7D022B89" w14:textId="77777777" w:rsidR="00231DA3" w:rsidRPr="00E72972" w:rsidRDefault="00CD24C1" w:rsidP="0015741A">
      <w:pPr>
        <w:pStyle w:val="Heading2"/>
        <w:rPr>
          <w:rFonts w:cs="Times New Roman"/>
        </w:rPr>
      </w:pPr>
      <w:r w:rsidRPr="00E72972">
        <w:rPr>
          <w:rFonts w:cs="Times New Roman"/>
        </w:rPr>
        <w:t>3.4 Stress Cross-Talk and Why It Matters in the Field</w:t>
      </w:r>
    </w:p>
    <w:p w14:paraId="574D137D" w14:textId="77777777" w:rsidR="00231DA3" w:rsidRPr="00E72972" w:rsidRDefault="00CD24C1" w:rsidP="0015741A">
      <w:pPr>
        <w:rPr>
          <w:rFonts w:cs="Times New Roman"/>
        </w:rPr>
      </w:pPr>
      <w:r w:rsidRPr="00E72972">
        <w:rPr>
          <w:rFonts w:cs="Times New Roman"/>
        </w:rPr>
        <w:t xml:space="preserve">Taken together, Sections 3.1–3.3 describe a system in which thermal, oxidative, osmotic and mechanical stresses feed into a small number of shared signalling nodes — Hsf1/Hsp90, calcineurin, the HOG/SAPK module — whose outputs include morphogenesis, cell-wall remodelling, antifungal tolerance and virulence. A practical consequence follows. In a warming, destabilized environment, fungi will rarely experience one stress at a time; they will experience heat during drought, shear and desiccation during storms, </w:t>
      </w:r>
      <w:r w:rsidRPr="00E72972">
        <w:rPr>
          <w:rFonts w:cs="Times New Roman"/>
        </w:rPr>
        <w:t xml:space="preserve">oxidative and thermal stress during fire. If cross-protection is the norm, single-stress dose–response experiments will systematically </w:t>
      </w:r>
      <w:r w:rsidRPr="00E72972">
        <w:rPr>
          <w:rFonts w:cs="Times New Roman"/>
          <w:i/>
        </w:rPr>
        <w:t>underestimate</w:t>
      </w:r>
      <w:r w:rsidRPr="00E72972">
        <w:rPr>
          <w:rFonts w:cs="Times New Roman"/>
        </w:rPr>
        <w:t xml:space="preserve"> the phenotypic change that field organisms undergo. Multi-stress experimental designs are therefore not a refinement but a requirement, and we return to this in Section 10.1.</w:t>
      </w:r>
    </w:p>
    <w:p w14:paraId="42F191D4" w14:textId="77777777" w:rsidR="00231DA3" w:rsidRPr="00E72972" w:rsidRDefault="00CD24C1" w:rsidP="0015741A">
      <w:pPr>
        <w:pStyle w:val="Heading1"/>
        <w:rPr>
          <w:rFonts w:ascii="Times New Roman" w:hAnsi="Times New Roman" w:cs="Times New Roman"/>
        </w:rPr>
      </w:pPr>
      <w:r w:rsidRPr="00E72972">
        <w:rPr>
          <w:rFonts w:ascii="Times New Roman" w:hAnsi="Times New Roman" w:cs="Times New Roman"/>
        </w:rPr>
        <w:lastRenderedPageBreak/>
        <w:t>4 Genotypic Adaptation: Mutagenesis, Genome Plasticity and Epigenetic Priming</w:t>
      </w:r>
    </w:p>
    <w:p w14:paraId="48744FAD" w14:textId="77777777" w:rsidR="00231DA3" w:rsidRPr="00E72972" w:rsidRDefault="00CD24C1" w:rsidP="0015741A">
      <w:pPr>
        <w:rPr>
          <w:rFonts w:cs="Times New Roman"/>
        </w:rPr>
      </w:pPr>
      <w:r w:rsidRPr="00E72972">
        <w:rPr>
          <w:rFonts w:cs="Times New Roman"/>
        </w:rPr>
        <w:t>If Section 3 concerned what a fungus does when it is warmed, this section concerns what warming does to its genome. The distinction is not academic: only heritable change can accumulate across generations, respond to selection, and produce lineages that remain altered after conditions normalize.</w:t>
      </w:r>
    </w:p>
    <w:p w14:paraId="31217BA3" w14:textId="77777777" w:rsidR="00231DA3" w:rsidRPr="00E72972" w:rsidRDefault="00CD24C1" w:rsidP="0015741A">
      <w:pPr>
        <w:pStyle w:val="Heading2"/>
        <w:rPr>
          <w:rFonts w:cs="Times New Roman"/>
        </w:rPr>
      </w:pPr>
      <w:r w:rsidRPr="00E72972">
        <w:rPr>
          <w:rFonts w:cs="Times New Roman"/>
        </w:rPr>
        <w:t>4.1 Temperature-Stimulated Transposon Mobilization</w:t>
      </w:r>
    </w:p>
    <w:p w14:paraId="6C90E33F" w14:textId="77777777" w:rsidR="00231DA3" w:rsidRPr="00E72972" w:rsidRDefault="00CD24C1" w:rsidP="0015741A">
      <w:pPr>
        <w:rPr>
          <w:rFonts w:cs="Times New Roman"/>
        </w:rPr>
      </w:pPr>
      <w:r w:rsidRPr="00E72972">
        <w:rPr>
          <w:rFonts w:cs="Times New Roman"/>
        </w:rPr>
        <w:t xml:space="preserve">The most compelling evidence that host temperature is itself mutagenic comes from </w:t>
      </w:r>
      <w:r w:rsidRPr="00E72972">
        <w:rPr>
          <w:rFonts w:cs="Times New Roman"/>
          <w:i/>
        </w:rPr>
        <w:t>Cryptococcus deneoformans</w:t>
      </w:r>
      <w:r w:rsidRPr="00E72972">
        <w:rPr>
          <w:rFonts w:cs="Times New Roman"/>
        </w:rPr>
        <w:t>. Mutation-accumulation experiments showed that transposable-element insertion is markedly elevated during growth at 37 °C relative to 30 °C, that mobilization of three element families (Cnl1, T1 and Tcn12) generates insertions across the genome, and that these insertions produce antifungal-resistant mutants in vitro (Gusa et al. 2020). Genome-wide analysis extended the finding in two important ways: heat stress increased mobility across the genome rather than at a few hotspots, and insertions accumulated d</w:t>
      </w:r>
      <w:r w:rsidRPr="00E72972">
        <w:rPr>
          <w:rFonts w:cs="Times New Roman"/>
        </w:rPr>
        <w:t>uring murine infection, demonstrating that the process operates in a host rather than only in an incubator (Gusa et al. 2023).</w:t>
      </w:r>
    </w:p>
    <w:p w14:paraId="0D6AC939" w14:textId="77777777" w:rsidR="00231DA3" w:rsidRPr="00E72972" w:rsidRDefault="00CD24C1" w:rsidP="0015741A">
      <w:pPr>
        <w:rPr>
          <w:rFonts w:cs="Times New Roman"/>
        </w:rPr>
      </w:pPr>
      <w:r w:rsidRPr="00E72972">
        <w:rPr>
          <w:rFonts w:cs="Times New Roman"/>
        </w:rPr>
        <w:t>This is a mechanistically complete account of a climate-relevant mutagenic process. Elevated temperature — whether environmental or host-derived — increases the rate at which a fungal population generates heritable variants, including drug-resistant ones. It requires no assumptions about ecological correlation.</w:t>
      </w:r>
    </w:p>
    <w:p w14:paraId="54B64162" w14:textId="77777777" w:rsidR="00231DA3" w:rsidRPr="00E72972" w:rsidRDefault="00CD24C1" w:rsidP="0015741A">
      <w:pPr>
        <w:pStyle w:val="Heading2"/>
        <w:rPr>
          <w:rFonts w:cs="Times New Roman"/>
        </w:rPr>
      </w:pPr>
      <w:r w:rsidRPr="00E72972">
        <w:rPr>
          <w:rFonts w:cs="Times New Roman"/>
        </w:rPr>
        <w:t>4.2 Host-Temperature-Induced Mutagenesis and Pan-Resistance</w:t>
      </w:r>
    </w:p>
    <w:p w14:paraId="6EF736D9" w14:textId="77777777" w:rsidR="00231DA3" w:rsidRPr="00E72972" w:rsidRDefault="00CD24C1" w:rsidP="0015741A">
      <w:pPr>
        <w:rPr>
          <w:rFonts w:cs="Times New Roman"/>
        </w:rPr>
      </w:pPr>
      <w:r w:rsidRPr="00E72972">
        <w:rPr>
          <w:rFonts w:cs="Times New Roman"/>
        </w:rPr>
        <w:t xml:space="preserve">An independent line of evidence comes from </w:t>
      </w:r>
      <w:r w:rsidRPr="00E72972">
        <w:rPr>
          <w:rFonts w:cs="Times New Roman"/>
          <w:i/>
        </w:rPr>
        <w:t>Rhodosporidiobolus fluvialis</w:t>
      </w:r>
      <w:r w:rsidRPr="00E72972">
        <w:rPr>
          <w:rFonts w:cs="Times New Roman"/>
        </w:rPr>
        <w:t>, a yeast from a genus containing species intrinsically resistant to azoles and echinocandins, which was recovered from two human infections. Exposure to mammalian body temperature induced mutagenesis and yielded mutants with markedly enhanced hyphal growth and hypervirulence in mice, and temperature-driven mutagenesis also generated pan-resistant derivatives in related species (Huang et al. 2024).</w:t>
      </w:r>
    </w:p>
    <w:p w14:paraId="1D001267" w14:textId="77777777" w:rsidR="00231DA3" w:rsidRPr="00E72972" w:rsidRDefault="00CD24C1" w:rsidP="0015741A">
      <w:pPr>
        <w:rPr>
          <w:rFonts w:cs="Times New Roman"/>
        </w:rPr>
      </w:pPr>
      <w:r w:rsidRPr="00E72972">
        <w:rPr>
          <w:rFonts w:cs="Times New Roman"/>
        </w:rPr>
        <w:t>The result is striking and deserves the prominence it has received, but its limits should be stated in the same breath: two human cases, one genus, and mutational mechanisms that are not yet fully resolved. Whether this represents a general property of thermally stressed basidiomycetous yeasts or a peculiarity of this lineage is precisely the kind of question the field needs to answer next, and it is answerable with existing methods.</w:t>
      </w:r>
    </w:p>
    <w:p w14:paraId="26CEBEBA" w14:textId="77777777" w:rsidR="00231DA3" w:rsidRPr="00E72972" w:rsidRDefault="00CD24C1" w:rsidP="0015741A">
      <w:pPr>
        <w:pStyle w:val="Heading2"/>
        <w:rPr>
          <w:rFonts w:cs="Times New Roman"/>
        </w:rPr>
      </w:pPr>
      <w:r w:rsidRPr="00E72972">
        <w:rPr>
          <w:rFonts w:cs="Times New Roman"/>
        </w:rPr>
        <w:t>4.3 Aneuploidy, Copy-Number Variation and Loss of Heterozygosity</w:t>
      </w:r>
    </w:p>
    <w:p w14:paraId="6477C015" w14:textId="77777777" w:rsidR="00231DA3" w:rsidRPr="00E72972" w:rsidRDefault="00CD24C1" w:rsidP="0015741A">
      <w:pPr>
        <w:rPr>
          <w:rFonts w:cs="Times New Roman"/>
        </w:rPr>
      </w:pPr>
      <w:r w:rsidRPr="00E72972">
        <w:rPr>
          <w:rFonts w:cs="Times New Roman"/>
        </w:rPr>
        <w:t xml:space="preserve">Large-scale genome rearrangement is the classical fungal route to rapid stress adaptation. Fluconazole resistance in </w:t>
      </w:r>
      <w:r w:rsidRPr="00E72972">
        <w:rPr>
          <w:rFonts w:cs="Times New Roman"/>
          <w:i/>
        </w:rPr>
        <w:t>C. albicans</w:t>
      </w:r>
      <w:r w:rsidRPr="00E72972">
        <w:rPr>
          <w:rFonts w:cs="Times New Roman"/>
        </w:rPr>
        <w:t xml:space="preserve"> arises repeatedly through formation of a specific isochromosome carrying resistance-associated genes (Selmecki et al. 2006), and whole-ploidy shifts, aneuploidy and loss of heterozygosity constitute a general toolkit for generating phenotypic diversity quickly and, when conditions change, discarding it again (Bennett et al. 2014). In the Pacific Northwest </w:t>
      </w:r>
      <w:r w:rsidRPr="00E72972">
        <w:rPr>
          <w:rFonts w:cs="Times New Roman"/>
          <w:i/>
        </w:rPr>
        <w:t>Cryptococcus gattii</w:t>
      </w:r>
      <w:r w:rsidRPr="00E72972">
        <w:rPr>
          <w:rFonts w:cs="Times New Roman"/>
        </w:rPr>
        <w:t xml:space="preserve"> outbreak lineage, copy-number variation contributes cryptic genetic variation among otherwise near-clonal isolates (Steenwyk et al. 2016).</w:t>
      </w:r>
    </w:p>
    <w:p w14:paraId="6110CFA7" w14:textId="77777777" w:rsidR="00231DA3" w:rsidRPr="00E72972" w:rsidRDefault="00CD24C1" w:rsidP="0015741A">
      <w:pPr>
        <w:rPr>
          <w:rFonts w:cs="Times New Roman"/>
        </w:rPr>
      </w:pPr>
      <w:r w:rsidRPr="00E72972">
        <w:rPr>
          <w:rFonts w:cs="Times New Roman"/>
        </w:rPr>
        <w:t>These mechanisms are temperature-relevant in two ways. Chromosome missegregation is itself stress-sensitive, and the aneuploid states that stress generates are frequently cross-protective, conferring tolerance to challenges the population has not yet encountered. Aneuploidy thus sits at the boundary between the plastic and the heritable: it is inherited, but it is unstable.</w:t>
      </w:r>
    </w:p>
    <w:p w14:paraId="5CFB1454" w14:textId="77777777" w:rsidR="00231DA3" w:rsidRPr="00E72972" w:rsidRDefault="00CD24C1" w:rsidP="0015741A">
      <w:pPr>
        <w:pStyle w:val="Heading2"/>
        <w:rPr>
          <w:rFonts w:cs="Times New Roman"/>
        </w:rPr>
      </w:pPr>
      <w:r w:rsidRPr="00E72972">
        <w:rPr>
          <w:rFonts w:cs="Times New Roman"/>
        </w:rPr>
        <w:lastRenderedPageBreak/>
        <w:t>4.4 Epimutation: Heritable Without Sequence Change</w:t>
      </w:r>
    </w:p>
    <w:p w14:paraId="2747D27A" w14:textId="77777777" w:rsidR="00231DA3" w:rsidRPr="00E72972" w:rsidRDefault="00CD24C1" w:rsidP="0015741A">
      <w:pPr>
        <w:rPr>
          <w:rFonts w:cs="Times New Roman"/>
        </w:rPr>
      </w:pPr>
      <w:r w:rsidRPr="00E72972">
        <w:rPr>
          <w:rFonts w:cs="Times New Roman"/>
          <w:i/>
        </w:rPr>
        <w:t>Mucor circinelloides</w:t>
      </w:r>
      <w:r w:rsidRPr="00E72972">
        <w:rPr>
          <w:rFonts w:cs="Times New Roman"/>
        </w:rPr>
        <w:t xml:space="preserve"> can acquire resistance to the antifungal FK506 through an RNAi-dependent epimutation that silences the drug-target gene without altering its sequence, is transmitted through mitotic divisions, and reverts on removal of drug pressure (Calo et al. 2014). This is the concrete realization of what the source presentation referred to as epigenetic "priming": a route to heritable phenotypic change that is invisible to sequence-based surveillance and reversible on a timescale between plasticity and mutation. Wheth</w:t>
      </w:r>
      <w:r w:rsidRPr="00E72972">
        <w:rPr>
          <w:rFonts w:cs="Times New Roman"/>
        </w:rPr>
        <w:t>er thermal stress — as opposed to drug exposure — can trigger epimutation is, to our knowledge, untested, and we flag it as a priority experiment (Section 10.4).</w:t>
      </w:r>
    </w:p>
    <w:p w14:paraId="096264BF" w14:textId="77777777" w:rsidR="00231DA3" w:rsidRPr="00E72972" w:rsidRDefault="00CD24C1" w:rsidP="0015741A">
      <w:pPr>
        <w:pStyle w:val="Heading2"/>
        <w:rPr>
          <w:rFonts w:cs="Times New Roman"/>
        </w:rPr>
      </w:pPr>
      <w:r w:rsidRPr="00E72972">
        <w:rPr>
          <w:rFonts w:cs="Times New Roman"/>
        </w:rPr>
        <w:t>4.5 Hsp90 as an Evolutionary Capacitor</w:t>
      </w:r>
    </w:p>
    <w:p w14:paraId="1EBF9F5F" w14:textId="77777777" w:rsidR="00231DA3" w:rsidRPr="00E72972" w:rsidRDefault="00CD24C1" w:rsidP="0015741A">
      <w:pPr>
        <w:rPr>
          <w:rFonts w:cs="Times New Roman"/>
        </w:rPr>
      </w:pPr>
      <w:r w:rsidRPr="00E72972">
        <w:rPr>
          <w:rFonts w:cs="Times New Roman"/>
        </w:rPr>
        <w:t xml:space="preserve">The mechanistic bridge between Sections 3 and 4 is chaperone buffering. Hsp90 stabilizes mutant proteins that would otherwise misfold, allowing standing genetic variation to accumulate in a phenotypically cryptic state; when Hsp90 capacity is exceeded — as it is under thermal stress — that variation is released and becomes visible to selection. In fungi this was shown directly for drug resistance: Hsp90 potentiates the emergence of resistance phenotypes from pre-existing variation in </w:t>
      </w:r>
      <w:r w:rsidRPr="00E72972">
        <w:rPr>
          <w:rFonts w:cs="Times New Roman"/>
          <w:i/>
        </w:rPr>
        <w:t>C. albicans</w:t>
      </w:r>
      <w:r w:rsidRPr="00E72972">
        <w:rPr>
          <w:rFonts w:cs="Times New Roman"/>
        </w:rPr>
        <w:t xml:space="preserve"> and </w:t>
      </w:r>
      <w:r w:rsidRPr="00E72972">
        <w:rPr>
          <w:rFonts w:cs="Times New Roman"/>
          <w:i/>
        </w:rPr>
        <w:t>S. cerevisiae</w:t>
      </w:r>
      <w:r w:rsidRPr="00E72972">
        <w:rPr>
          <w:rFonts w:cs="Times New Roman"/>
        </w:rPr>
        <w:t xml:space="preserve"> (Cowen and Lindquist 2005). The climate implication is elegant and, importantly, testable: a warming environment does not only generate new mutations, it also </w:t>
      </w:r>
      <w:r w:rsidRPr="00E72972">
        <w:rPr>
          <w:rFonts w:cs="Times New Roman"/>
          <w:i/>
        </w:rPr>
        <w:t>unmasks</w:t>
      </w:r>
      <w:r w:rsidRPr="00E72972">
        <w:rPr>
          <w:rFonts w:cs="Times New Roman"/>
        </w:rPr>
        <w:t xml:space="preserve"> variation that populations already carry. We grade the mechanism as established and its climate relevance as emerging, because the unmasking argument has not yet been demonstrated in environmental fungal populations under field-realistic thermal regimes.</w:t>
      </w:r>
    </w:p>
    <w:p w14:paraId="3851CAE4" w14:textId="77777777" w:rsidR="00231DA3" w:rsidRPr="00E72972" w:rsidRDefault="00CD24C1" w:rsidP="0015741A">
      <w:pPr>
        <w:pStyle w:val="Heading2"/>
        <w:rPr>
          <w:rFonts w:cs="Times New Roman"/>
        </w:rPr>
      </w:pPr>
      <w:r w:rsidRPr="00E72972">
        <w:rPr>
          <w:rFonts w:cs="Times New Roman"/>
        </w:rPr>
        <w:t>4.6 Distinguishing Selection from Plasticity: What Each Claim Requires</w:t>
      </w:r>
    </w:p>
    <w:p w14:paraId="34E15C54" w14:textId="77777777" w:rsidR="00231DA3" w:rsidRPr="00E72972" w:rsidRDefault="00CD24C1" w:rsidP="0015741A">
      <w:pPr>
        <w:rPr>
          <w:rFonts w:cs="Times New Roman"/>
        </w:rPr>
      </w:pPr>
      <w:r w:rsidRPr="00E72972">
        <w:rPr>
          <w:rFonts w:cs="Times New Roman"/>
        </w:rPr>
        <w:t>The literature reviewed above supports a strong statement — thermal stress increases the generation of heritable variation in several fungal genera — and does not yet support the statement most often attributed to it, that climate warming has produced specific human pathogens by selection. The distinction rests on study design, and we set out explicitly what each claim requires (Table 2).</w:t>
      </w:r>
    </w:p>
    <w:p w14:paraId="449FD1A4" w14:textId="77777777" w:rsidR="00231DA3" w:rsidRPr="00E72972" w:rsidRDefault="00CD24C1" w:rsidP="0015741A">
      <w:pPr>
        <w:rPr>
          <w:rFonts w:cs="Times New Roman"/>
        </w:rPr>
      </w:pPr>
      <w:r w:rsidRPr="00E72972">
        <w:rPr>
          <w:rFonts w:cs="Times New Roman"/>
        </w:rPr>
        <w:t xml:space="preserve">Applied to the best-known climate association in medical mycology, this framework is clarifying. Analysis of 801 clinical </w:t>
      </w:r>
      <w:r w:rsidRPr="00E72972">
        <w:rPr>
          <w:rFonts w:cs="Times New Roman"/>
          <w:i/>
        </w:rPr>
        <w:t>C. auris</w:t>
      </w:r>
      <w:r w:rsidRPr="00E72972">
        <w:rPr>
          <w:rFonts w:cs="Times New Roman"/>
        </w:rPr>
        <w:t xml:space="preserve"> genomes from the New York–New Jersey region, using Bayesian hierarchical models to relate resistance determinants and heat-tolerance genes to climatic variables, found </w:t>
      </w:r>
      <w:r w:rsidRPr="00E72972">
        <w:rPr>
          <w:rFonts w:cs="Times New Roman"/>
          <w:i/>
        </w:rPr>
        <w:t>HSP90</w:t>
      </w:r>
      <w:r w:rsidRPr="00E72972">
        <w:rPr>
          <w:rFonts w:cs="Times New Roman"/>
        </w:rPr>
        <w:t xml:space="preserve"> and </w:t>
      </w:r>
      <w:r w:rsidRPr="00E72972">
        <w:rPr>
          <w:rFonts w:cs="Times New Roman"/>
          <w:i/>
        </w:rPr>
        <w:t>HSP104</w:t>
      </w:r>
      <w:r w:rsidRPr="00E72972">
        <w:rPr>
          <w:rFonts w:cs="Times New Roman"/>
        </w:rPr>
        <w:t xml:space="preserve"> in more than 98% of isolates and reported associations between precipitation and temperature variables and the prevalence of several resistance-associated genes and point mutations (Jara et al. 2025). The finding is interesting and hypothesis-generating. It is also an ecological correlation across clinical isolates whose sampling was determined by healthcare utilization, in a region with intense antifungal exposure, over a period of expanding surveillance: the design cannot separate climatic selection from</w:t>
      </w:r>
      <w:r w:rsidRPr="00E72972">
        <w:rPr>
          <w:rFonts w:cs="Times New Roman"/>
        </w:rPr>
        <w:t xml:space="preserve"> the many covariates of place and time. Stating this plainly strengthens rather than weakens the chapter's case, because it identifies what the decisive study would look like — environmental rather than clinical sampling, along a climatic gradient, with common-garden phenotyping of the isolates recovered.</w:t>
      </w:r>
    </w:p>
    <w:p w14:paraId="4244F4B8" w14:textId="77777777" w:rsidR="000D3E92" w:rsidRDefault="000D3E92" w:rsidP="0015741A">
      <w:pPr>
        <w:rPr>
          <w:rFonts w:cs="Times New Roman"/>
          <w:b/>
        </w:rPr>
      </w:pPr>
    </w:p>
    <w:p w14:paraId="76762C1D" w14:textId="77777777" w:rsidR="000D3E92" w:rsidRDefault="000D3E92" w:rsidP="0015741A">
      <w:pPr>
        <w:rPr>
          <w:rFonts w:cs="Times New Roman"/>
          <w:b/>
        </w:rPr>
      </w:pPr>
    </w:p>
    <w:p w14:paraId="1574EEE5" w14:textId="77777777" w:rsidR="000D3E92" w:rsidRDefault="000D3E92" w:rsidP="0015741A">
      <w:pPr>
        <w:rPr>
          <w:rFonts w:cs="Times New Roman"/>
          <w:b/>
        </w:rPr>
      </w:pPr>
    </w:p>
    <w:p w14:paraId="35D052DA" w14:textId="77777777" w:rsidR="000D3E92" w:rsidRDefault="000D3E92" w:rsidP="0015741A">
      <w:pPr>
        <w:rPr>
          <w:rFonts w:cs="Times New Roman"/>
          <w:b/>
        </w:rPr>
      </w:pPr>
    </w:p>
    <w:p w14:paraId="76F44380" w14:textId="77777777" w:rsidR="000D3E92" w:rsidRDefault="000D3E92" w:rsidP="0015741A">
      <w:pPr>
        <w:rPr>
          <w:rFonts w:cs="Times New Roman"/>
          <w:b/>
        </w:rPr>
      </w:pPr>
    </w:p>
    <w:p w14:paraId="423A5339" w14:textId="14074BD1" w:rsidR="00231DA3" w:rsidRPr="00E72972" w:rsidRDefault="00CD24C1" w:rsidP="0015741A">
      <w:pPr>
        <w:rPr>
          <w:rFonts w:cs="Times New Roman"/>
        </w:rPr>
      </w:pPr>
      <w:r w:rsidRPr="00E72972">
        <w:rPr>
          <w:rFonts w:cs="Times New Roman"/>
          <w:b/>
        </w:rPr>
        <w:lastRenderedPageBreak/>
        <w:t>Table 2</w:t>
      </w:r>
      <w:r w:rsidRPr="00E72972">
        <w:rPr>
          <w:rFonts w:cs="Times New Roman"/>
        </w:rPr>
        <w:t xml:space="preserve"> What different adaptation claims require evidentially</w:t>
      </w:r>
    </w:p>
    <w:tbl>
      <w:tblPr>
        <w:tblStyle w:val="TableGrid"/>
        <w:tblW w:w="0" w:type="auto"/>
        <w:tblLook w:val="04A0" w:firstRow="1" w:lastRow="0" w:firstColumn="1" w:lastColumn="0" w:noHBand="0" w:noVBand="1"/>
      </w:tblPr>
      <w:tblGrid>
        <w:gridCol w:w="2349"/>
        <w:gridCol w:w="2349"/>
        <w:gridCol w:w="2349"/>
        <w:gridCol w:w="2349"/>
      </w:tblGrid>
      <w:tr w:rsidR="00231DA3" w:rsidRPr="00E72972" w14:paraId="0129270D" w14:textId="77777777">
        <w:tc>
          <w:tcPr>
            <w:tcW w:w="2351" w:type="dxa"/>
          </w:tcPr>
          <w:p w14:paraId="529798F5" w14:textId="77777777" w:rsidR="00231DA3" w:rsidRPr="00E72972" w:rsidRDefault="00CD24C1" w:rsidP="0015741A">
            <w:pPr>
              <w:spacing w:line="276" w:lineRule="auto"/>
              <w:rPr>
                <w:rFonts w:cs="Times New Roman"/>
              </w:rPr>
            </w:pPr>
            <w:r w:rsidRPr="00E72972">
              <w:rPr>
                <w:rFonts w:cs="Times New Roman"/>
                <w:b/>
                <w:sz w:val="16"/>
              </w:rPr>
              <w:t>Claim</w:t>
            </w:r>
          </w:p>
        </w:tc>
        <w:tc>
          <w:tcPr>
            <w:tcW w:w="2351" w:type="dxa"/>
          </w:tcPr>
          <w:p w14:paraId="1CD3D462" w14:textId="77777777" w:rsidR="00231DA3" w:rsidRPr="00E72972" w:rsidRDefault="00CD24C1" w:rsidP="0015741A">
            <w:pPr>
              <w:spacing w:line="276" w:lineRule="auto"/>
              <w:rPr>
                <w:rFonts w:cs="Times New Roman"/>
              </w:rPr>
            </w:pPr>
            <w:r w:rsidRPr="00E72972">
              <w:rPr>
                <w:rFonts w:cs="Times New Roman"/>
                <w:b/>
                <w:sz w:val="16"/>
              </w:rPr>
              <w:t>Minimum evidence required</w:t>
            </w:r>
          </w:p>
        </w:tc>
        <w:tc>
          <w:tcPr>
            <w:tcW w:w="2351" w:type="dxa"/>
          </w:tcPr>
          <w:p w14:paraId="0587843A" w14:textId="77777777" w:rsidR="00231DA3" w:rsidRPr="00E72972" w:rsidRDefault="00CD24C1" w:rsidP="0015741A">
            <w:pPr>
              <w:spacing w:line="276" w:lineRule="auto"/>
              <w:rPr>
                <w:rFonts w:cs="Times New Roman"/>
              </w:rPr>
            </w:pPr>
            <w:r w:rsidRPr="00E72972">
              <w:rPr>
                <w:rFonts w:cs="Times New Roman"/>
                <w:b/>
                <w:sz w:val="16"/>
              </w:rPr>
              <w:t>Common substitute in the literature</w:t>
            </w:r>
          </w:p>
        </w:tc>
        <w:tc>
          <w:tcPr>
            <w:tcW w:w="2351" w:type="dxa"/>
          </w:tcPr>
          <w:p w14:paraId="3AE869A1" w14:textId="77777777" w:rsidR="00231DA3" w:rsidRPr="00E72972" w:rsidRDefault="00CD24C1" w:rsidP="0015741A">
            <w:pPr>
              <w:spacing w:line="276" w:lineRule="auto"/>
              <w:rPr>
                <w:rFonts w:cs="Times New Roman"/>
              </w:rPr>
            </w:pPr>
            <w:r w:rsidRPr="00E72972">
              <w:rPr>
                <w:rFonts w:cs="Times New Roman"/>
                <w:b/>
                <w:sz w:val="16"/>
              </w:rPr>
              <w:t>Status in fungi</w:t>
            </w:r>
          </w:p>
        </w:tc>
      </w:tr>
      <w:tr w:rsidR="00231DA3" w:rsidRPr="00E72972" w14:paraId="02E95F29" w14:textId="77777777">
        <w:tc>
          <w:tcPr>
            <w:tcW w:w="2351" w:type="dxa"/>
          </w:tcPr>
          <w:p w14:paraId="22CBBDDE" w14:textId="77777777" w:rsidR="00231DA3" w:rsidRPr="00E72972" w:rsidRDefault="00CD24C1" w:rsidP="0015741A">
            <w:pPr>
              <w:spacing w:line="276" w:lineRule="auto"/>
              <w:rPr>
                <w:rFonts w:cs="Times New Roman"/>
              </w:rPr>
            </w:pPr>
            <w:r w:rsidRPr="00E72972">
              <w:rPr>
                <w:rFonts w:cs="Times New Roman"/>
                <w:sz w:val="16"/>
              </w:rPr>
              <w:t>Stress induces a phenotype</w:t>
            </w:r>
          </w:p>
        </w:tc>
        <w:tc>
          <w:tcPr>
            <w:tcW w:w="2351" w:type="dxa"/>
          </w:tcPr>
          <w:p w14:paraId="7D3FC490" w14:textId="77777777" w:rsidR="00231DA3" w:rsidRPr="00E72972" w:rsidRDefault="00CD24C1" w:rsidP="0015741A">
            <w:pPr>
              <w:spacing w:line="276" w:lineRule="auto"/>
              <w:rPr>
                <w:rFonts w:cs="Times New Roman"/>
              </w:rPr>
            </w:pPr>
            <w:r w:rsidRPr="00E72972">
              <w:rPr>
                <w:rFonts w:cs="Times New Roman"/>
                <w:sz w:val="16"/>
              </w:rPr>
              <w:t>Controlled exposure, reversibility test</w:t>
            </w:r>
          </w:p>
        </w:tc>
        <w:tc>
          <w:tcPr>
            <w:tcW w:w="2351" w:type="dxa"/>
          </w:tcPr>
          <w:p w14:paraId="1264C8A1" w14:textId="77777777" w:rsidR="00231DA3" w:rsidRPr="00E72972" w:rsidRDefault="00CD24C1" w:rsidP="0015741A">
            <w:pPr>
              <w:spacing w:line="276" w:lineRule="auto"/>
              <w:rPr>
                <w:rFonts w:cs="Times New Roman"/>
              </w:rPr>
            </w:pPr>
            <w:r w:rsidRPr="00E72972">
              <w:rPr>
                <w:rFonts w:cs="Times New Roman"/>
                <w:sz w:val="16"/>
              </w:rPr>
              <w:t>—</w:t>
            </w:r>
          </w:p>
        </w:tc>
        <w:tc>
          <w:tcPr>
            <w:tcW w:w="2351" w:type="dxa"/>
          </w:tcPr>
          <w:p w14:paraId="3F71918B" w14:textId="77777777" w:rsidR="00231DA3" w:rsidRPr="00E72972" w:rsidRDefault="00CD24C1" w:rsidP="0015741A">
            <w:pPr>
              <w:spacing w:line="276" w:lineRule="auto"/>
              <w:rPr>
                <w:rFonts w:cs="Times New Roman"/>
              </w:rPr>
            </w:pPr>
            <w:r w:rsidRPr="00E72972">
              <w:rPr>
                <w:rFonts w:cs="Times New Roman"/>
                <w:sz w:val="16"/>
              </w:rPr>
              <w:t>Established (Sect. 3)</w:t>
            </w:r>
          </w:p>
        </w:tc>
      </w:tr>
      <w:tr w:rsidR="00231DA3" w:rsidRPr="00E72972" w14:paraId="03BCFC4A" w14:textId="77777777">
        <w:tc>
          <w:tcPr>
            <w:tcW w:w="2351" w:type="dxa"/>
          </w:tcPr>
          <w:p w14:paraId="4DF45D51" w14:textId="77777777" w:rsidR="00231DA3" w:rsidRPr="00E72972" w:rsidRDefault="00CD24C1" w:rsidP="0015741A">
            <w:pPr>
              <w:spacing w:line="276" w:lineRule="auto"/>
              <w:rPr>
                <w:rFonts w:cs="Times New Roman"/>
              </w:rPr>
            </w:pPr>
            <w:r w:rsidRPr="00E72972">
              <w:rPr>
                <w:rFonts w:cs="Times New Roman"/>
                <w:sz w:val="16"/>
              </w:rPr>
              <w:t>Stress is mutagenic</w:t>
            </w:r>
          </w:p>
        </w:tc>
        <w:tc>
          <w:tcPr>
            <w:tcW w:w="2351" w:type="dxa"/>
          </w:tcPr>
          <w:p w14:paraId="32ACD9D3" w14:textId="77777777" w:rsidR="00231DA3" w:rsidRPr="00E72972" w:rsidRDefault="00CD24C1" w:rsidP="0015741A">
            <w:pPr>
              <w:spacing w:line="276" w:lineRule="auto"/>
              <w:rPr>
                <w:rFonts w:cs="Times New Roman"/>
              </w:rPr>
            </w:pPr>
            <w:r w:rsidRPr="00E72972">
              <w:rPr>
                <w:rFonts w:cs="Times New Roman"/>
                <w:sz w:val="16"/>
              </w:rPr>
              <w:t>Mutation-accumulation lines, sequencing of founders and derivatives</w:t>
            </w:r>
          </w:p>
        </w:tc>
        <w:tc>
          <w:tcPr>
            <w:tcW w:w="2351" w:type="dxa"/>
          </w:tcPr>
          <w:p w14:paraId="2C2D45A0" w14:textId="77777777" w:rsidR="00231DA3" w:rsidRPr="00E72972" w:rsidRDefault="00CD24C1" w:rsidP="0015741A">
            <w:pPr>
              <w:spacing w:line="276" w:lineRule="auto"/>
              <w:rPr>
                <w:rFonts w:cs="Times New Roman"/>
              </w:rPr>
            </w:pPr>
            <w:r w:rsidRPr="00E72972">
              <w:rPr>
                <w:rFonts w:cs="Times New Roman"/>
                <w:sz w:val="16"/>
              </w:rPr>
              <w:t>Resistant isolates recovered after stress</w:t>
            </w:r>
          </w:p>
        </w:tc>
        <w:tc>
          <w:tcPr>
            <w:tcW w:w="2351" w:type="dxa"/>
          </w:tcPr>
          <w:p w14:paraId="5FD4DA06" w14:textId="77777777" w:rsidR="00231DA3" w:rsidRPr="00E72972" w:rsidRDefault="00CD24C1" w:rsidP="0015741A">
            <w:pPr>
              <w:spacing w:line="276" w:lineRule="auto"/>
              <w:rPr>
                <w:rFonts w:cs="Times New Roman"/>
              </w:rPr>
            </w:pPr>
            <w:r w:rsidRPr="00E72972">
              <w:rPr>
                <w:rFonts w:cs="Times New Roman"/>
                <w:sz w:val="16"/>
              </w:rPr>
              <w:t>Established for temperature (Gusa et al. 2023; Huang et al. 2024)</w:t>
            </w:r>
          </w:p>
        </w:tc>
      </w:tr>
      <w:tr w:rsidR="00231DA3" w:rsidRPr="00E72972" w14:paraId="18265DC4" w14:textId="77777777">
        <w:tc>
          <w:tcPr>
            <w:tcW w:w="2351" w:type="dxa"/>
          </w:tcPr>
          <w:p w14:paraId="042749C6" w14:textId="77777777" w:rsidR="00231DA3" w:rsidRPr="00E72972" w:rsidRDefault="00CD24C1" w:rsidP="0015741A">
            <w:pPr>
              <w:spacing w:line="276" w:lineRule="auto"/>
              <w:rPr>
                <w:rFonts w:cs="Times New Roman"/>
              </w:rPr>
            </w:pPr>
            <w:r w:rsidRPr="00E72972">
              <w:rPr>
                <w:rFonts w:cs="Times New Roman"/>
                <w:sz w:val="16"/>
              </w:rPr>
              <w:t>A population has adapted genetically</w:t>
            </w:r>
          </w:p>
        </w:tc>
        <w:tc>
          <w:tcPr>
            <w:tcW w:w="2351" w:type="dxa"/>
          </w:tcPr>
          <w:p w14:paraId="7245EED1" w14:textId="77777777" w:rsidR="00231DA3" w:rsidRPr="00E72972" w:rsidRDefault="00CD24C1" w:rsidP="0015741A">
            <w:pPr>
              <w:spacing w:line="276" w:lineRule="auto"/>
              <w:rPr>
                <w:rFonts w:cs="Times New Roman"/>
              </w:rPr>
            </w:pPr>
            <w:r w:rsidRPr="00E72972">
              <w:rPr>
                <w:rFonts w:cs="Times New Roman"/>
                <w:sz w:val="16"/>
              </w:rPr>
              <w:t>Common-garden assay of ancestral vs. derived isolates; heritability demonstrated</w:t>
            </w:r>
          </w:p>
        </w:tc>
        <w:tc>
          <w:tcPr>
            <w:tcW w:w="2351" w:type="dxa"/>
          </w:tcPr>
          <w:p w14:paraId="7FE7C979" w14:textId="77777777" w:rsidR="00231DA3" w:rsidRPr="00E72972" w:rsidRDefault="00CD24C1" w:rsidP="0015741A">
            <w:pPr>
              <w:spacing w:line="276" w:lineRule="auto"/>
              <w:rPr>
                <w:rFonts w:cs="Times New Roman"/>
              </w:rPr>
            </w:pPr>
            <w:r w:rsidRPr="00E72972">
              <w:rPr>
                <w:rFonts w:cs="Times New Roman"/>
                <w:sz w:val="16"/>
              </w:rPr>
              <w:t>Phenotype differences between field sites</w:t>
            </w:r>
          </w:p>
        </w:tc>
        <w:tc>
          <w:tcPr>
            <w:tcW w:w="2351" w:type="dxa"/>
          </w:tcPr>
          <w:p w14:paraId="7A292967" w14:textId="77777777" w:rsidR="00231DA3" w:rsidRPr="00E72972" w:rsidRDefault="00CD24C1" w:rsidP="0015741A">
            <w:pPr>
              <w:spacing w:line="276" w:lineRule="auto"/>
              <w:rPr>
                <w:rFonts w:cs="Times New Roman"/>
              </w:rPr>
            </w:pPr>
            <w:r w:rsidRPr="00E72972">
              <w:rPr>
                <w:rFonts w:cs="Times New Roman"/>
                <w:sz w:val="16"/>
              </w:rPr>
              <w:t>Emerging (Smith et al. 2025)</w:t>
            </w:r>
          </w:p>
        </w:tc>
      </w:tr>
      <w:tr w:rsidR="00231DA3" w:rsidRPr="00E72972" w14:paraId="496BCA4F" w14:textId="77777777">
        <w:tc>
          <w:tcPr>
            <w:tcW w:w="2351" w:type="dxa"/>
          </w:tcPr>
          <w:p w14:paraId="12E7D9BC" w14:textId="77777777" w:rsidR="00231DA3" w:rsidRPr="00E72972" w:rsidRDefault="00CD24C1" w:rsidP="0015741A">
            <w:pPr>
              <w:spacing w:line="276" w:lineRule="auto"/>
              <w:rPr>
                <w:rFonts w:cs="Times New Roman"/>
              </w:rPr>
            </w:pPr>
            <w:r w:rsidRPr="00E72972">
              <w:rPr>
                <w:rFonts w:cs="Times New Roman"/>
                <w:sz w:val="16"/>
              </w:rPr>
              <w:t>Climate caused an emergence</w:t>
            </w:r>
          </w:p>
        </w:tc>
        <w:tc>
          <w:tcPr>
            <w:tcW w:w="2351" w:type="dxa"/>
          </w:tcPr>
          <w:p w14:paraId="6398B73E" w14:textId="77777777" w:rsidR="00231DA3" w:rsidRPr="00E72972" w:rsidRDefault="00CD24C1" w:rsidP="0015741A">
            <w:pPr>
              <w:spacing w:line="276" w:lineRule="auto"/>
              <w:rPr>
                <w:rFonts w:cs="Times New Roman"/>
              </w:rPr>
            </w:pPr>
            <w:r w:rsidRPr="00E72972">
              <w:rPr>
                <w:rFonts w:cs="Times New Roman"/>
                <w:sz w:val="16"/>
              </w:rPr>
              <w:t>Environmental sampling along a climatic gradient, time-structured genomes, competing drivers modelled</w:t>
            </w:r>
          </w:p>
        </w:tc>
        <w:tc>
          <w:tcPr>
            <w:tcW w:w="2351" w:type="dxa"/>
          </w:tcPr>
          <w:p w14:paraId="74BABD55" w14:textId="77777777" w:rsidR="00231DA3" w:rsidRPr="00E72972" w:rsidRDefault="00CD24C1" w:rsidP="0015741A">
            <w:pPr>
              <w:spacing w:line="276" w:lineRule="auto"/>
              <w:rPr>
                <w:rFonts w:cs="Times New Roman"/>
              </w:rPr>
            </w:pPr>
            <w:r w:rsidRPr="00E72972">
              <w:rPr>
                <w:rFonts w:cs="Times New Roman"/>
                <w:sz w:val="16"/>
              </w:rPr>
              <w:t>Correlation of clinical incidence with weather</w:t>
            </w:r>
          </w:p>
        </w:tc>
        <w:tc>
          <w:tcPr>
            <w:tcW w:w="2351" w:type="dxa"/>
          </w:tcPr>
          <w:p w14:paraId="3AFE50BA" w14:textId="77777777" w:rsidR="00231DA3" w:rsidRPr="00E72972" w:rsidRDefault="00CD24C1" w:rsidP="0015741A">
            <w:pPr>
              <w:spacing w:line="276" w:lineRule="auto"/>
              <w:rPr>
                <w:rFonts w:cs="Times New Roman"/>
              </w:rPr>
            </w:pPr>
            <w:r w:rsidRPr="00E72972">
              <w:rPr>
                <w:rFonts w:cs="Times New Roman"/>
                <w:sz w:val="16"/>
              </w:rPr>
              <w:t>Not yet achieved for any human fungal pathogen</w:t>
            </w:r>
          </w:p>
        </w:tc>
      </w:tr>
      <w:tr w:rsidR="00231DA3" w:rsidRPr="00E72972" w14:paraId="7137AA16" w14:textId="77777777">
        <w:tc>
          <w:tcPr>
            <w:tcW w:w="2351" w:type="dxa"/>
          </w:tcPr>
          <w:p w14:paraId="473D1144" w14:textId="77777777" w:rsidR="00231DA3" w:rsidRPr="00E72972" w:rsidRDefault="00CD24C1" w:rsidP="0015741A">
            <w:pPr>
              <w:spacing w:line="276" w:lineRule="auto"/>
              <w:rPr>
                <w:rFonts w:cs="Times New Roman"/>
              </w:rPr>
            </w:pPr>
            <w:r w:rsidRPr="00E72972">
              <w:rPr>
                <w:rFonts w:cs="Times New Roman"/>
                <w:sz w:val="16"/>
              </w:rPr>
              <w:t>Warming will produce new pathogens</w:t>
            </w:r>
          </w:p>
        </w:tc>
        <w:tc>
          <w:tcPr>
            <w:tcW w:w="2351" w:type="dxa"/>
          </w:tcPr>
          <w:p w14:paraId="0CCC2C02" w14:textId="77777777" w:rsidR="00231DA3" w:rsidRPr="00E72972" w:rsidRDefault="00CD24C1" w:rsidP="0015741A">
            <w:pPr>
              <w:spacing w:line="276" w:lineRule="auto"/>
              <w:rPr>
                <w:rFonts w:cs="Times New Roman"/>
              </w:rPr>
            </w:pPr>
            <w:r w:rsidRPr="00E72972">
              <w:rPr>
                <w:rFonts w:cs="Times New Roman"/>
                <w:sz w:val="16"/>
              </w:rPr>
              <w:t>Prospective environmental surveillance with phenotyping</w:t>
            </w:r>
          </w:p>
        </w:tc>
        <w:tc>
          <w:tcPr>
            <w:tcW w:w="2351" w:type="dxa"/>
          </w:tcPr>
          <w:p w14:paraId="0FC0F516" w14:textId="77777777" w:rsidR="00231DA3" w:rsidRPr="00E72972" w:rsidRDefault="00CD24C1" w:rsidP="0015741A">
            <w:pPr>
              <w:spacing w:line="276" w:lineRule="auto"/>
              <w:rPr>
                <w:rFonts w:cs="Times New Roman"/>
              </w:rPr>
            </w:pPr>
            <w:r w:rsidRPr="00E72972">
              <w:rPr>
                <w:rFonts w:cs="Times New Roman"/>
                <w:sz w:val="16"/>
              </w:rPr>
              <w:t>Extrapolation from thermal-tolerance distributions</w:t>
            </w:r>
          </w:p>
        </w:tc>
        <w:tc>
          <w:tcPr>
            <w:tcW w:w="2351" w:type="dxa"/>
          </w:tcPr>
          <w:p w14:paraId="788714D8" w14:textId="77777777" w:rsidR="00231DA3" w:rsidRPr="00E72972" w:rsidRDefault="00CD24C1" w:rsidP="0015741A">
            <w:pPr>
              <w:spacing w:line="276" w:lineRule="auto"/>
              <w:rPr>
                <w:rFonts w:cs="Times New Roman"/>
              </w:rPr>
            </w:pPr>
            <w:r w:rsidRPr="00E72972">
              <w:rPr>
                <w:rFonts w:cs="Times New Roman"/>
                <w:sz w:val="16"/>
              </w:rPr>
              <w:t>Hypothesis (Sect. 2.4)</w:t>
            </w:r>
          </w:p>
        </w:tc>
      </w:tr>
    </w:tbl>
    <w:p w14:paraId="7F850580" w14:textId="77777777" w:rsidR="00231DA3" w:rsidRPr="00E72972" w:rsidRDefault="00231DA3" w:rsidP="0015741A">
      <w:pPr>
        <w:rPr>
          <w:rFonts w:cs="Times New Roman"/>
        </w:rPr>
      </w:pPr>
    </w:p>
    <w:p w14:paraId="2D30F4EA" w14:textId="77777777" w:rsidR="00231DA3" w:rsidRPr="00E72972" w:rsidRDefault="00CD24C1" w:rsidP="0015741A">
      <w:pPr>
        <w:pStyle w:val="Heading1"/>
        <w:rPr>
          <w:rFonts w:ascii="Times New Roman" w:hAnsi="Times New Roman" w:cs="Times New Roman"/>
        </w:rPr>
      </w:pPr>
      <w:r w:rsidRPr="00E72972">
        <w:rPr>
          <w:rFonts w:ascii="Times New Roman" w:hAnsi="Times New Roman" w:cs="Times New Roman"/>
        </w:rPr>
        <w:t>5 Case Studies in Climate-Associated Emergence</w:t>
      </w:r>
    </w:p>
    <w:p w14:paraId="4A3080C3" w14:textId="77777777" w:rsidR="00231DA3" w:rsidRPr="00E72972" w:rsidRDefault="00CD24C1" w:rsidP="0015741A">
      <w:pPr>
        <w:rPr>
          <w:rFonts w:cs="Times New Roman"/>
        </w:rPr>
      </w:pPr>
      <w:r w:rsidRPr="00E72972">
        <w:rPr>
          <w:rFonts w:cs="Times New Roman"/>
        </w:rPr>
        <w:t>Six emergences are examined below (Fig. 4). Each subsection closes with an explicit verdict on the strength of climate attribution, using the grading of Table 2.</w:t>
      </w:r>
    </w:p>
    <w:p w14:paraId="41C884D1" w14:textId="77777777" w:rsidR="00231DA3" w:rsidRPr="00E72972" w:rsidRDefault="00CD24C1" w:rsidP="0015741A">
      <w:pPr>
        <w:pStyle w:val="Heading2"/>
        <w:rPr>
          <w:rFonts w:cs="Times New Roman"/>
        </w:rPr>
      </w:pPr>
      <w:r w:rsidRPr="00E72972">
        <w:rPr>
          <w:rFonts w:cs="Times New Roman"/>
        </w:rPr>
        <w:t xml:space="preserve">5.1 </w:t>
      </w:r>
      <w:r w:rsidRPr="00E72972">
        <w:rPr>
          <w:rFonts w:cs="Times New Roman"/>
          <w:i/>
        </w:rPr>
        <w:t>Candida auris</w:t>
      </w:r>
    </w:p>
    <w:p w14:paraId="449C26CF" w14:textId="77777777" w:rsidR="00231DA3" w:rsidRPr="00E72972" w:rsidRDefault="00CD24C1" w:rsidP="0015741A">
      <w:pPr>
        <w:pStyle w:val="Heading3"/>
        <w:rPr>
          <w:rFonts w:cs="Times New Roman"/>
        </w:rPr>
      </w:pPr>
      <w:r w:rsidRPr="00E72972">
        <w:rPr>
          <w:rFonts w:cs="Times New Roman"/>
        </w:rPr>
        <w:t>5.1.1 A Thermotolerant, Halotolerant Yeast Without an Obvious Reservoir</w:t>
      </w:r>
    </w:p>
    <w:p w14:paraId="3589A7B8" w14:textId="77777777" w:rsidR="00231DA3" w:rsidRPr="00E72972" w:rsidRDefault="00CD24C1" w:rsidP="0015741A">
      <w:pPr>
        <w:rPr>
          <w:rFonts w:cs="Times New Roman"/>
        </w:rPr>
      </w:pPr>
      <w:r w:rsidRPr="00E72972">
        <w:rPr>
          <w:rFonts w:cs="Times New Roman"/>
          <w:i/>
        </w:rPr>
        <w:t>C. auris</w:t>
      </w:r>
      <w:r w:rsidRPr="00E72972">
        <w:rPr>
          <w:rFonts w:cs="Times New Roman"/>
        </w:rPr>
        <w:t xml:space="preserve"> was first described in 2009 and within a decade had been reported from every inhabited continent as a multidrug-resistant, nosocomially transmitted pathogen with a marked capacity to persist on skin and surfaces (Chowdhary et al. 2017; Forsberg et al. 2018). Its early epidemiology was genuinely anomalous: four (later five) geographically distinct clades emerged near-simultaneously on three continents, with high intra-clade and low inter-clade genetic similarity — a pattern inconsistent with a single point </w:t>
      </w:r>
      <w:r w:rsidRPr="00E72972">
        <w:rPr>
          <w:rFonts w:cs="Times New Roman"/>
        </w:rPr>
        <w:t>source spread by travel (Lockhart et al. 2017; Chow et al. 2020). European hospital outbreaks followed quickly (Schelenz et al. 2016).</w:t>
      </w:r>
    </w:p>
    <w:p w14:paraId="7CF4137C" w14:textId="77777777" w:rsidR="00231DA3" w:rsidRPr="00E72972" w:rsidRDefault="00CD24C1" w:rsidP="0015741A">
      <w:pPr>
        <w:rPr>
          <w:rFonts w:cs="Times New Roman"/>
        </w:rPr>
      </w:pPr>
      <w:r w:rsidRPr="00E72972">
        <w:rPr>
          <w:rFonts w:cs="Times New Roman"/>
        </w:rPr>
        <w:t xml:space="preserve">The climate hypothesis proposed that </w:t>
      </w:r>
      <w:r w:rsidRPr="00E72972">
        <w:rPr>
          <w:rFonts w:cs="Times New Roman"/>
          <w:i/>
        </w:rPr>
        <w:t>C. auris</w:t>
      </w:r>
      <w:r w:rsidRPr="00E72972">
        <w:rPr>
          <w:rFonts w:cs="Times New Roman"/>
        </w:rPr>
        <w:t xml:space="preserve"> was an environmental yeast of wetland or coastal habitats whose thermotolerance and halotolerance were pre-existing adaptations, and that warming allowed it to cross the thermal barrier into birds and then humans, with avian and possibly chelonian carriage explaining the intercontinental distribution (Casadevall et al. 2019). The hypothesis was notable for stating a falsifiable necessary condition: the organism should exist in the environment independent of human activity.</w:t>
      </w:r>
    </w:p>
    <w:p w14:paraId="3A9C6D7D" w14:textId="77777777" w:rsidR="00231DA3" w:rsidRPr="00E72972" w:rsidRDefault="00CD24C1" w:rsidP="0015741A">
      <w:pPr>
        <w:pStyle w:val="Heading3"/>
        <w:rPr>
          <w:rFonts w:cs="Times New Roman"/>
        </w:rPr>
      </w:pPr>
      <w:r w:rsidRPr="00E72972">
        <w:rPr>
          <w:rFonts w:cs="Times New Roman"/>
        </w:rPr>
        <w:t>5.1.2 The Necessary Condition Met, the Sufficient Condition Not</w:t>
      </w:r>
    </w:p>
    <w:p w14:paraId="1E212E8D" w14:textId="77777777" w:rsidR="00231DA3" w:rsidRPr="00E72972" w:rsidRDefault="00CD24C1" w:rsidP="0015741A">
      <w:pPr>
        <w:rPr>
          <w:rFonts w:cs="Times New Roman"/>
        </w:rPr>
      </w:pPr>
      <w:r w:rsidRPr="00E72972">
        <w:rPr>
          <w:rFonts w:cs="Times New Roman"/>
        </w:rPr>
        <w:t xml:space="preserve">That condition has been met. </w:t>
      </w:r>
      <w:r w:rsidRPr="00E72972">
        <w:rPr>
          <w:rFonts w:cs="Times New Roman"/>
          <w:i/>
        </w:rPr>
        <w:t>C. auris</w:t>
      </w:r>
      <w:r w:rsidRPr="00E72972">
        <w:rPr>
          <w:rFonts w:cs="Times New Roman"/>
        </w:rPr>
        <w:t xml:space="preserve"> was isolated from salt marsh wetland and sandy beach habitats of the Andaman Islands, including a site with no recorded human activity, and the isolates included both multidrug-susceptible and multidrug-resistant strains clustering with clade I (Arora et al. 2021). The </w:t>
      </w:r>
      <w:r w:rsidRPr="00E72972">
        <w:rPr>
          <w:rFonts w:cs="Times New Roman"/>
        </w:rPr>
        <w:lastRenderedPageBreak/>
        <w:t>environmental reservoir is therefore real, and the isolate from the pristine site is difficult to explain by anthropogenic contamination.</w:t>
      </w:r>
    </w:p>
    <w:p w14:paraId="7A039E67" w14:textId="77777777" w:rsidR="00231DA3" w:rsidRPr="00E72972" w:rsidRDefault="00CD24C1" w:rsidP="0015741A">
      <w:pPr>
        <w:rPr>
          <w:rFonts w:cs="Times New Roman"/>
        </w:rPr>
      </w:pPr>
      <w:r w:rsidRPr="00E72972">
        <w:rPr>
          <w:rFonts w:cs="Times New Roman"/>
        </w:rPr>
        <w:t xml:space="preserve">What has not been shown is that warming </w:t>
      </w:r>
      <w:r w:rsidRPr="00E72972">
        <w:rPr>
          <w:rFonts w:cs="Times New Roman"/>
          <w:i/>
        </w:rPr>
        <w:t>caused</w:t>
      </w:r>
      <w:r w:rsidRPr="00E72972">
        <w:rPr>
          <w:rFonts w:cs="Times New Roman"/>
        </w:rPr>
        <w:t xml:space="preserve"> the transition. The alternative and non-mutually-exclusive account — that </w:t>
      </w:r>
      <w:r w:rsidRPr="00E72972">
        <w:rPr>
          <w:rFonts w:cs="Times New Roman"/>
          <w:i/>
        </w:rPr>
        <w:t>C. auris</w:t>
      </w:r>
      <w:r w:rsidRPr="00E72972">
        <w:rPr>
          <w:rFonts w:cs="Times New Roman"/>
        </w:rPr>
        <w:t xml:space="preserve"> was an uncommon environmental yeast that entered an unprecedented global ecological niche, the modern intensive care unit, with its dense population of immunocompromised patients, indwelling devices, azole and echinocandin exposure, and skin-to-skin and surface-mediated transmission — accounts for the epidemiology without invoking climate. The near-simultaneity of clade emergence is equally consistent with simultaneous global expansion of the </w:t>
      </w:r>
      <w:r w:rsidRPr="00E72972">
        <w:rPr>
          <w:rFonts w:cs="Times New Roman"/>
          <w:i/>
        </w:rPr>
        <w:t>niche</w:t>
      </w:r>
      <w:r w:rsidRPr="00E72972">
        <w:rPr>
          <w:rFonts w:cs="Times New Roman"/>
        </w:rPr>
        <w:t xml:space="preserve"> as with simultaneous crossing of a </w:t>
      </w:r>
      <w:r w:rsidRPr="00E72972">
        <w:rPr>
          <w:rFonts w:cs="Times New Roman"/>
          <w:i/>
        </w:rPr>
        <w:t>thermal barrier</w:t>
      </w:r>
      <w:r w:rsidRPr="00E72972">
        <w:rPr>
          <w:rFonts w:cs="Times New Roman"/>
        </w:rPr>
        <w:t>. Climate-resistome correlations in clinical isolates do not resolve the question for the reasons set out in Section 4.6 (Jara et al. 2025).</w:t>
      </w:r>
    </w:p>
    <w:p w14:paraId="77E0C4AF" w14:textId="77777777" w:rsidR="00231DA3" w:rsidRPr="00E72972" w:rsidRDefault="00CD24C1" w:rsidP="0015741A">
      <w:pPr>
        <w:rPr>
          <w:rFonts w:cs="Times New Roman"/>
        </w:rPr>
      </w:pPr>
      <w:r w:rsidRPr="00E72972">
        <w:rPr>
          <w:rFonts w:cs="Times New Roman"/>
          <w:b/>
        </w:rPr>
        <w:t>Verdict</w:t>
      </w:r>
      <w:r w:rsidRPr="00E72972">
        <w:rPr>
          <w:rFonts w:cs="Times New Roman"/>
        </w:rPr>
        <w:t>: environmental reservoir established; thermotolerance established; climate causation remains a hypothesis with one necessary condition satisfied. The decisive experiment — systematic environmental sampling of coastal wetlands along a latitudinal thermal gradient, with common-garden thermotolerance phenotyping — has not been done and is feasible.</w:t>
      </w:r>
    </w:p>
    <w:p w14:paraId="04E663BD" w14:textId="77777777" w:rsidR="00231DA3" w:rsidRPr="00E72972" w:rsidRDefault="00CD24C1" w:rsidP="0015741A">
      <w:pPr>
        <w:pStyle w:val="Heading2"/>
        <w:rPr>
          <w:rFonts w:cs="Times New Roman"/>
        </w:rPr>
      </w:pPr>
      <w:r w:rsidRPr="00E72972">
        <w:rPr>
          <w:rFonts w:cs="Times New Roman"/>
        </w:rPr>
        <w:t xml:space="preserve">5.2 </w:t>
      </w:r>
      <w:r w:rsidRPr="00E72972">
        <w:rPr>
          <w:rFonts w:cs="Times New Roman"/>
          <w:i/>
        </w:rPr>
        <w:t>Cryptococcus gattii</w:t>
      </w:r>
      <w:r w:rsidRPr="00E72972">
        <w:rPr>
          <w:rFonts w:cs="Times New Roman"/>
        </w:rPr>
        <w:t xml:space="preserve"> in the Pacific Northwest</w:t>
      </w:r>
    </w:p>
    <w:p w14:paraId="158D0E5F" w14:textId="77777777" w:rsidR="00231DA3" w:rsidRPr="00E72972" w:rsidRDefault="00CD24C1" w:rsidP="0015741A">
      <w:pPr>
        <w:rPr>
          <w:rFonts w:cs="Times New Roman"/>
        </w:rPr>
      </w:pPr>
      <w:r w:rsidRPr="00E72972">
        <w:rPr>
          <w:rFonts w:cs="Times New Roman"/>
        </w:rPr>
        <w:t xml:space="preserve">Beginning in 1999, </w:t>
      </w:r>
      <w:r w:rsidRPr="00E72972">
        <w:rPr>
          <w:rFonts w:cs="Times New Roman"/>
          <w:i/>
        </w:rPr>
        <w:t>C. gattii</w:t>
      </w:r>
      <w:r w:rsidRPr="00E72972">
        <w:rPr>
          <w:rFonts w:cs="Times New Roman"/>
        </w:rPr>
        <w:t xml:space="preserve"> caused an unprecedented outbreak on Vancouver Island, eventually involving several hundred human and animal cases, with pneumonia and meningitis occurring in apparently immunocompetent hosts and the organism recoverable from native trees, soil, air and water (Kidd et al. 2004; Galanis et al. 2010). Molecular epidemiology identified a rare genotype (VGIIa) and subsequent population genomics showed that the outbreak lineages arose from a highly recombinant ancestral population, with clonal expansion followin</w:t>
      </w:r>
      <w:r w:rsidRPr="00E72972">
        <w:rPr>
          <w:rFonts w:cs="Times New Roman"/>
        </w:rPr>
        <w:t xml:space="preserve">g (Billmyre et al. 2014). Copy-number variation contributes additional cryptic variation within these near-clonal lineages (Steenwyk et al. 2016). The broader biogeography of the </w:t>
      </w:r>
      <w:r w:rsidRPr="00E72972">
        <w:rPr>
          <w:rFonts w:cs="Times New Roman"/>
          <w:i/>
        </w:rPr>
        <w:t>C. neoformans</w:t>
      </w:r>
      <w:r w:rsidRPr="00E72972">
        <w:rPr>
          <w:rFonts w:cs="Times New Roman"/>
        </w:rPr>
        <w:t>/</w:t>
      </w:r>
      <w:r w:rsidRPr="00E72972">
        <w:rPr>
          <w:rFonts w:cs="Times New Roman"/>
          <w:i/>
        </w:rPr>
        <w:t>C. gattii</w:t>
      </w:r>
      <w:r w:rsidRPr="00E72972">
        <w:rPr>
          <w:rFonts w:cs="Times New Roman"/>
        </w:rPr>
        <w:t xml:space="preserve"> species complex has been interpreted in terms of continental drift and long-distance dispersal, on timescales far longer than anthropogenic warming (Casadevall et al. 2017; Kwon-Chung et al. 2014).</w:t>
      </w:r>
    </w:p>
    <w:p w14:paraId="5F6D1BA4" w14:textId="77777777" w:rsidR="00231DA3" w:rsidRPr="00E72972" w:rsidRDefault="00CD24C1" w:rsidP="0015741A">
      <w:pPr>
        <w:rPr>
          <w:rFonts w:cs="Times New Roman"/>
        </w:rPr>
      </w:pPr>
      <w:r w:rsidRPr="00E72972">
        <w:rPr>
          <w:rFonts w:cs="Times New Roman"/>
        </w:rPr>
        <w:t>The hypothesis that the 1964 Great Alaska earthquake and tsunami dispersed the organism into the Pacific Northwest is attractive because it links an acute disturbance to a delayed emergence — the disaster axis operating with a multi-decade lag. It should be presented as a hypothesis. The genomic dating and recombination structure constrain but do not establish it, and competing explanations (importation with timber or ornamental plants, unrecognized prior endemicity, climatic suitability shifts) have not be</w:t>
      </w:r>
      <w:r w:rsidRPr="00E72972">
        <w:rPr>
          <w:rFonts w:cs="Times New Roman"/>
        </w:rPr>
        <w:t>en excluded.</w:t>
      </w:r>
    </w:p>
    <w:p w14:paraId="77CA4734" w14:textId="77777777" w:rsidR="00231DA3" w:rsidRPr="00E72972" w:rsidRDefault="00CD24C1" w:rsidP="0015741A">
      <w:pPr>
        <w:rPr>
          <w:rFonts w:cs="Times New Roman"/>
        </w:rPr>
      </w:pPr>
      <w:r w:rsidRPr="00E72972">
        <w:rPr>
          <w:rFonts w:cs="Times New Roman"/>
          <w:b/>
        </w:rPr>
        <w:t>Verdict</w:t>
      </w:r>
      <w:r w:rsidRPr="00E72972">
        <w:rPr>
          <w:rFonts w:cs="Times New Roman"/>
        </w:rPr>
        <w:t>: outbreak and environmental establishment are established facts; climatic or disaster-mediated causation is a hypothesis. This case is best used in teaching to illustrate how a disturbance-dispersal hypothesis should be framed and tested.</w:t>
      </w:r>
    </w:p>
    <w:p w14:paraId="261A93EC" w14:textId="77777777" w:rsidR="00231DA3" w:rsidRPr="00E72972" w:rsidRDefault="00CD24C1" w:rsidP="0015741A">
      <w:pPr>
        <w:pStyle w:val="Heading2"/>
        <w:rPr>
          <w:rFonts w:cs="Times New Roman"/>
        </w:rPr>
      </w:pPr>
      <w:r w:rsidRPr="00E72972">
        <w:rPr>
          <w:rFonts w:cs="Times New Roman"/>
        </w:rPr>
        <w:t xml:space="preserve">5.3 </w:t>
      </w:r>
      <w:r w:rsidRPr="00E72972">
        <w:rPr>
          <w:rFonts w:cs="Times New Roman"/>
          <w:i/>
        </w:rPr>
        <w:t>Trichophyton indotineae</w:t>
      </w:r>
    </w:p>
    <w:p w14:paraId="64A98C4A" w14:textId="77777777" w:rsidR="00231DA3" w:rsidRPr="00E72972" w:rsidRDefault="00CD24C1" w:rsidP="0015741A">
      <w:pPr>
        <w:rPr>
          <w:rFonts w:cs="Times New Roman"/>
        </w:rPr>
      </w:pPr>
      <w:r w:rsidRPr="00E72972">
        <w:rPr>
          <w:rFonts w:cs="Times New Roman"/>
        </w:rPr>
        <w:t xml:space="preserve">Formerly reported as </w:t>
      </w:r>
      <w:r w:rsidRPr="00E72972">
        <w:rPr>
          <w:rFonts w:cs="Times New Roman"/>
          <w:i/>
        </w:rPr>
        <w:t>T. mentagrophytes</w:t>
      </w:r>
      <w:r w:rsidRPr="00E72972">
        <w:rPr>
          <w:rFonts w:cs="Times New Roman"/>
        </w:rPr>
        <w:t xml:space="preserve"> ITS genotype VIII and requiring sequence-based identification, </w:t>
      </w:r>
      <w:r w:rsidRPr="00E72972">
        <w:rPr>
          <w:rFonts w:cs="Times New Roman"/>
          <w:i/>
        </w:rPr>
        <w:t>T. indotineae</w:t>
      </w:r>
      <w:r w:rsidRPr="00E72972">
        <w:rPr>
          <w:rFonts w:cs="Times New Roman"/>
        </w:rPr>
        <w:t xml:space="preserve"> causes extensive, inflammatory, recalcitrant dermatophytosis, is frequently terbinafine-resistant through squalene epoxidase mutations, spreads person-to-person, and has disseminated from South Asia worldwide (Uhrlaß et al. 2022). Rising terbinafine resistance has been documented in dermatophyte isolates in Denmark and France, confirming that resistance is not confined to the region of origin (Astvad et al. 2022; Moreno-Sabater et al. 2022).</w:t>
      </w:r>
    </w:p>
    <w:p w14:paraId="5777DEA1" w14:textId="77777777" w:rsidR="00231DA3" w:rsidRPr="00E72972" w:rsidRDefault="00CD24C1" w:rsidP="0015741A">
      <w:pPr>
        <w:rPr>
          <w:rFonts w:cs="Times New Roman"/>
        </w:rPr>
      </w:pPr>
      <w:r w:rsidRPr="00E72972">
        <w:rPr>
          <w:rFonts w:cs="Times New Roman"/>
        </w:rPr>
        <w:lastRenderedPageBreak/>
        <w:t xml:space="preserve">The drivers here are well characterized and largely </w:t>
      </w:r>
      <w:r w:rsidRPr="00E72972">
        <w:rPr>
          <w:rFonts w:cs="Times New Roman"/>
          <w:i/>
        </w:rPr>
        <w:t>not</w:t>
      </w:r>
      <w:r w:rsidRPr="00E72972">
        <w:rPr>
          <w:rFonts w:cs="Times New Roman"/>
        </w:rPr>
        <w:t xml:space="preserve"> climatic: unregulated over-the-counter combination creams containing potent topical corticosteroids, incomplete treatment courses, and crowded living conditions. Heat and humidity are established risk factors for dermatophytosis in general, and disaster settings combine skin trauma, congregate living, psychological stress and high temperature and humidity in ways that plausibly increase cutaneous fungal infection (Gupta et al. 2025). Poverty remains the dominant determinant of the global burden of superfic</w:t>
      </w:r>
      <w:r w:rsidRPr="00E72972">
        <w:rPr>
          <w:rFonts w:cs="Times New Roman"/>
        </w:rPr>
        <w:t>ial mycoses.</w:t>
      </w:r>
    </w:p>
    <w:p w14:paraId="2CA4A7F9" w14:textId="77777777" w:rsidR="00231DA3" w:rsidRPr="00E72972" w:rsidRDefault="00CD24C1" w:rsidP="0015741A">
      <w:pPr>
        <w:rPr>
          <w:rFonts w:cs="Times New Roman"/>
        </w:rPr>
      </w:pPr>
      <w:r w:rsidRPr="00E72972">
        <w:rPr>
          <w:rFonts w:cs="Times New Roman"/>
          <w:b/>
        </w:rPr>
        <w:t>Verdict</w:t>
      </w:r>
      <w:r w:rsidRPr="00E72972">
        <w:rPr>
          <w:rFonts w:cs="Times New Roman"/>
        </w:rPr>
        <w:t>: emergence established; principal driver is antifungal selection pressure and healthcare practice; climate contribution plausible but unquantified. We recommend the chapter say so directly, because overstating the climate link here is the criticism this literature most often attracts.</w:t>
      </w:r>
    </w:p>
    <w:p w14:paraId="43CCBAFF" w14:textId="77777777" w:rsidR="00231DA3" w:rsidRPr="00E72972" w:rsidRDefault="00CD24C1" w:rsidP="0015741A">
      <w:pPr>
        <w:pStyle w:val="Heading2"/>
        <w:rPr>
          <w:rFonts w:cs="Times New Roman"/>
        </w:rPr>
      </w:pPr>
      <w:r w:rsidRPr="00E72972">
        <w:rPr>
          <w:rFonts w:cs="Times New Roman"/>
        </w:rPr>
        <w:t xml:space="preserve">5.4 </w:t>
      </w:r>
      <w:r w:rsidRPr="00E72972">
        <w:rPr>
          <w:rFonts w:cs="Times New Roman"/>
          <w:i/>
        </w:rPr>
        <w:t>Coccidioides</w:t>
      </w:r>
      <w:r w:rsidRPr="00E72972">
        <w:rPr>
          <w:rFonts w:cs="Times New Roman"/>
        </w:rPr>
        <w:t xml:space="preserve"> spp.</w:t>
      </w:r>
    </w:p>
    <w:p w14:paraId="202EA3AD" w14:textId="77777777" w:rsidR="00231DA3" w:rsidRPr="00E72972" w:rsidRDefault="00CD24C1" w:rsidP="0015741A">
      <w:pPr>
        <w:rPr>
          <w:rFonts w:cs="Times New Roman"/>
        </w:rPr>
      </w:pPr>
      <w:r w:rsidRPr="00E72972">
        <w:rPr>
          <w:rFonts w:cs="Times New Roman"/>
        </w:rPr>
        <w:t>Coccidioidomycosis provides the strongest epidemiological climate signal of any human mycosis. Incidence tracks precipitation and temperature cycling, with the characteristic pattern of wet winters followed by hot dry summers favouring soil arthroconidium production and aerosolization (Head et al. 2022). Dust-storm frequency in the southwestern United States has increased and correlates with Valley fever incidence (Tong et al. 2017). Climate-envelope modelling projects substantial northward expansion of the</w:t>
      </w:r>
      <w:r w:rsidRPr="00E72972">
        <w:rPr>
          <w:rFonts w:cs="Times New Roman"/>
        </w:rPr>
        <w:t xml:space="preserve"> endemic area under warming scenarios (Gorris et al. 2019), and surveillance data document rising incidence and recognition of cases outside classical endemic areas (Smith et al. 2022; Mazi et al. 2022). Occupational exposure during soil disturbance is well established: outbreaks among solar-power-farm construction workers demonstrated both the risk and the effectiveness of dust-control measures (Wilken et al. 2015; Cooksey et al. 2017). The related dimorphic mycoses show comparable geographic reappraisal (</w:t>
      </w:r>
      <w:r w:rsidRPr="00E72972">
        <w:rPr>
          <w:rFonts w:cs="Times New Roman"/>
        </w:rPr>
        <w:t>Maiga et al. 2018; Baddley 2011).</w:t>
      </w:r>
    </w:p>
    <w:p w14:paraId="3849F1EC" w14:textId="77777777" w:rsidR="00231DA3" w:rsidRPr="00E72972" w:rsidRDefault="00CD24C1" w:rsidP="0015741A">
      <w:pPr>
        <w:rPr>
          <w:rFonts w:cs="Times New Roman"/>
        </w:rPr>
      </w:pPr>
      <w:r w:rsidRPr="00E72972">
        <w:rPr>
          <w:rFonts w:cs="Times New Roman"/>
        </w:rPr>
        <w:t xml:space="preserve">Notably, this is an exposure-and-range story rather than an adaptation story: there is no evidence that </w:t>
      </w:r>
      <w:r w:rsidRPr="00E72972">
        <w:rPr>
          <w:rFonts w:cs="Times New Roman"/>
          <w:i/>
        </w:rPr>
        <w:t>Coccidioides</w:t>
      </w:r>
      <w:r w:rsidRPr="00E72972">
        <w:rPr>
          <w:rFonts w:cs="Times New Roman"/>
        </w:rPr>
        <w:t xml:space="preserve"> has become more virulent or thermotolerant. Climate acts on the </w:t>
      </w:r>
      <w:r w:rsidRPr="00E72972">
        <w:rPr>
          <w:rFonts w:cs="Times New Roman"/>
          <w:i/>
        </w:rPr>
        <w:t>soil</w:t>
      </w:r>
      <w:r w:rsidRPr="00E72972">
        <w:rPr>
          <w:rFonts w:cs="Times New Roman"/>
        </w:rPr>
        <w:t xml:space="preserve"> and on </w:t>
      </w:r>
      <w:r w:rsidRPr="00E72972">
        <w:rPr>
          <w:rFonts w:cs="Times New Roman"/>
          <w:i/>
        </w:rPr>
        <w:t>aerosolization</w:t>
      </w:r>
      <w:r w:rsidRPr="00E72972">
        <w:rPr>
          <w:rFonts w:cs="Times New Roman"/>
        </w:rPr>
        <w:t>, not on the pathogen's phenotype.</w:t>
      </w:r>
    </w:p>
    <w:p w14:paraId="07D2CEEB" w14:textId="77777777" w:rsidR="00231DA3" w:rsidRPr="00E72972" w:rsidRDefault="00CD24C1" w:rsidP="0015741A">
      <w:pPr>
        <w:rPr>
          <w:rFonts w:cs="Times New Roman"/>
        </w:rPr>
      </w:pPr>
      <w:r w:rsidRPr="00E72972">
        <w:rPr>
          <w:rFonts w:cs="Times New Roman"/>
          <w:b/>
        </w:rPr>
        <w:t>Verdict</w:t>
      </w:r>
      <w:r w:rsidRPr="00E72972">
        <w:rPr>
          <w:rFonts w:cs="Times New Roman"/>
        </w:rPr>
        <w:t>: climate association established at the level of exposure and geographic range; adaptation not implicated. This is the cleanest example of a climate-driven mycosis and should anchor the chapter's credibility.</w:t>
      </w:r>
    </w:p>
    <w:p w14:paraId="3D58BB3A" w14:textId="77777777" w:rsidR="00231DA3" w:rsidRPr="00E72972" w:rsidRDefault="00CD24C1" w:rsidP="0015741A">
      <w:pPr>
        <w:pStyle w:val="Heading2"/>
        <w:rPr>
          <w:rFonts w:cs="Times New Roman"/>
        </w:rPr>
      </w:pPr>
      <w:r w:rsidRPr="00E72972">
        <w:rPr>
          <w:rFonts w:cs="Times New Roman"/>
        </w:rPr>
        <w:t xml:space="preserve">5.5 </w:t>
      </w:r>
      <w:r w:rsidRPr="00E72972">
        <w:rPr>
          <w:rFonts w:cs="Times New Roman"/>
          <w:i/>
        </w:rPr>
        <w:t>Sporothrix brasiliensis</w:t>
      </w:r>
    </w:p>
    <w:p w14:paraId="10138035" w14:textId="77777777" w:rsidR="00231DA3" w:rsidRPr="00E72972" w:rsidRDefault="00CD24C1" w:rsidP="0015741A">
      <w:pPr>
        <w:rPr>
          <w:rFonts w:cs="Times New Roman"/>
        </w:rPr>
      </w:pPr>
      <w:r w:rsidRPr="00E72972">
        <w:rPr>
          <w:rFonts w:cs="Times New Roman"/>
        </w:rPr>
        <w:t xml:space="preserve">The expanding zoonotic epidemic of sporotrichosis in Brazil and neighbouring countries is driven by cat-to-human transmission of </w:t>
      </w:r>
      <w:r w:rsidRPr="00E72972">
        <w:rPr>
          <w:rFonts w:cs="Times New Roman"/>
          <w:i/>
        </w:rPr>
        <w:t>S. brasiliensis</w:t>
      </w:r>
      <w:r w:rsidRPr="00E72972">
        <w:rPr>
          <w:rFonts w:cs="Times New Roman"/>
        </w:rPr>
        <w:t xml:space="preserve">, a species more virulent than </w:t>
      </w:r>
      <w:r w:rsidRPr="00E72972">
        <w:rPr>
          <w:rFonts w:cs="Times New Roman"/>
          <w:i/>
        </w:rPr>
        <w:t>S. schenckii</w:t>
      </w:r>
      <w:r w:rsidRPr="00E72972">
        <w:rPr>
          <w:rFonts w:cs="Times New Roman"/>
        </w:rPr>
        <w:t>, amplified by dense free-roaming feline populations and limited veterinary access (Rodrigues et al. 2013; Gremião et al. 2017; Rossow et al. 2020). Urbanization, poverty and animal-population dynamics dominate; temperature and humidity plausibly modulate environmental persistence but have not been shown to drive expansion.</w:t>
      </w:r>
    </w:p>
    <w:p w14:paraId="572A2674" w14:textId="77777777" w:rsidR="00231DA3" w:rsidRPr="00E72972" w:rsidRDefault="00CD24C1" w:rsidP="0015741A">
      <w:pPr>
        <w:rPr>
          <w:rFonts w:cs="Times New Roman"/>
        </w:rPr>
      </w:pPr>
      <w:r w:rsidRPr="00E72972">
        <w:rPr>
          <w:rFonts w:cs="Times New Roman"/>
          <w:b/>
        </w:rPr>
        <w:t>Verdict</w:t>
      </w:r>
      <w:r w:rsidRPr="00E72972">
        <w:rPr>
          <w:rFonts w:cs="Times New Roman"/>
        </w:rPr>
        <w:t>: emergence established; drivers primarily socio-ecological. Useful in the chapter as a contrast case demonstrating that not every fungal emergence needs a climate explanation.</w:t>
      </w:r>
    </w:p>
    <w:p w14:paraId="071208A2" w14:textId="77777777" w:rsidR="00231DA3" w:rsidRPr="00E72972" w:rsidRDefault="00CD24C1" w:rsidP="0015741A">
      <w:pPr>
        <w:pStyle w:val="Heading2"/>
        <w:rPr>
          <w:rFonts w:cs="Times New Roman"/>
        </w:rPr>
      </w:pPr>
      <w:r w:rsidRPr="00E72972">
        <w:rPr>
          <w:rFonts w:cs="Times New Roman"/>
        </w:rPr>
        <w:t xml:space="preserve">5.6 </w:t>
      </w:r>
      <w:r w:rsidRPr="00E72972">
        <w:rPr>
          <w:rFonts w:cs="Times New Roman"/>
          <w:i/>
        </w:rPr>
        <w:t>Aspergillus fumigatus</w:t>
      </w:r>
      <w:r w:rsidRPr="00E72972">
        <w:rPr>
          <w:rFonts w:cs="Times New Roman"/>
        </w:rPr>
        <w:t>: The Comparator Case</w:t>
      </w:r>
    </w:p>
    <w:p w14:paraId="59E1F62F" w14:textId="77777777" w:rsidR="00231DA3" w:rsidRPr="00E72972" w:rsidRDefault="00CD24C1" w:rsidP="0015741A">
      <w:pPr>
        <w:rPr>
          <w:rFonts w:cs="Times New Roman"/>
        </w:rPr>
      </w:pPr>
      <w:r w:rsidRPr="00E72972">
        <w:rPr>
          <w:rFonts w:cs="Times New Roman"/>
        </w:rPr>
        <w:t xml:space="preserve">The clearest example of human-driven adaptive evolution in a fungal pathogen involves no climate component at all. Environmental use of demethylase-inhibitor fungicides that share a target with medical triazoles selects azole-resistant </w:t>
      </w:r>
      <w:r w:rsidRPr="00E72972">
        <w:rPr>
          <w:rFonts w:cs="Times New Roman"/>
          <w:i/>
        </w:rPr>
        <w:t>A. fumigatus</w:t>
      </w:r>
      <w:r w:rsidRPr="00E72972">
        <w:rPr>
          <w:rFonts w:cs="Times New Roman"/>
        </w:rPr>
        <w:t xml:space="preserve"> in agricultural and waste-composting substrates; the resistance mechanisms include specific </w:t>
      </w:r>
      <w:r w:rsidRPr="00E72972">
        <w:rPr>
          <w:rFonts w:cs="Times New Roman"/>
          <w:i/>
        </w:rPr>
        <w:t>cyp51A</w:t>
      </w:r>
      <w:r w:rsidRPr="00E72972">
        <w:rPr>
          <w:rFonts w:cs="Times New Roman"/>
        </w:rPr>
        <w:t xml:space="preserve"> alterations with characteristic tandem-repeat promoter </w:t>
      </w:r>
      <w:r w:rsidRPr="00E72972">
        <w:rPr>
          <w:rFonts w:cs="Times New Roman"/>
        </w:rPr>
        <w:lastRenderedPageBreak/>
        <w:t>insertions (Verweij et al. 2009; Snelders et al. 2012; Berger et al. 2017), a development that raised the question of whether mould-active azoles can be retained for clinical use at all (Verweij et al. 2015). Population genomics has since confirmed that patients acquire resistant genotypes from the environment rather than generating them during therapy (Rhodes et al. 2022), and the wider threat of antifungal resistance to human health is now recognized as a policy problem (Fisher et al. 2018, 2022). The evo</w:t>
      </w:r>
      <w:r w:rsidRPr="00E72972">
        <w:rPr>
          <w:rFonts w:cs="Times New Roman"/>
        </w:rPr>
        <w:t>lution of resistance in environmental compartments has become a field in its own right (van Rhijn and Rhodes 2025), supported by curated resistance-mutation resources (Bédard et al. 2025).</w:t>
      </w:r>
    </w:p>
    <w:p w14:paraId="4CAE3FEA" w14:textId="77777777" w:rsidR="00231DA3" w:rsidRPr="00E72972" w:rsidRDefault="00CD24C1" w:rsidP="0015741A">
      <w:pPr>
        <w:rPr>
          <w:rFonts w:cs="Times New Roman"/>
        </w:rPr>
      </w:pPr>
      <w:r w:rsidRPr="00E72972">
        <w:rPr>
          <w:rFonts w:cs="Times New Roman"/>
        </w:rPr>
        <w:t>This case is the right comparator for weighing climate claims for three reasons. The exposure is quantifiable, the selective agent is identified, and the causal chain from environmental compartment to patient has been closed with genomic evidence. No climate–fungus association currently meets that standard. It also illustrates that anthropogenic chemical pressure, unlike temperature, acts on a specific molecular target, which is why its evolutionary signature was detectable.</w:t>
      </w:r>
    </w:p>
    <w:p w14:paraId="53D6E1DA" w14:textId="77777777" w:rsidR="00231DA3" w:rsidRPr="00E72972" w:rsidRDefault="00CD24C1" w:rsidP="0015741A">
      <w:pPr>
        <w:rPr>
          <w:rFonts w:cs="Times New Roman"/>
        </w:rPr>
      </w:pPr>
      <w:r w:rsidRPr="00E72972">
        <w:rPr>
          <w:rFonts w:cs="Times New Roman"/>
          <w:b/>
        </w:rPr>
        <w:t>Verdict</w:t>
      </w:r>
      <w:r w:rsidRPr="00E72972">
        <w:rPr>
          <w:rFonts w:cs="Times New Roman"/>
        </w:rPr>
        <w:t>: established, with a closed causal chain. Climate may interact with this system — through fungicide persistence, crop pathogen pressure and compost temperature — but the demonstrated driver is chemical, not thermal.</w:t>
      </w:r>
    </w:p>
    <w:p w14:paraId="75A34CF9" w14:textId="77777777" w:rsidR="00231DA3" w:rsidRPr="00E72972" w:rsidRDefault="00CD24C1" w:rsidP="0015741A">
      <w:pPr>
        <w:pStyle w:val="Heading1"/>
        <w:rPr>
          <w:rFonts w:ascii="Times New Roman" w:hAnsi="Times New Roman" w:cs="Times New Roman"/>
        </w:rPr>
      </w:pPr>
      <w:r w:rsidRPr="00E72972">
        <w:rPr>
          <w:rFonts w:ascii="Times New Roman" w:hAnsi="Times New Roman" w:cs="Times New Roman"/>
        </w:rPr>
        <w:t>6 Anthropogenic Co-drivers Beyond Temperature</w:t>
      </w:r>
    </w:p>
    <w:p w14:paraId="14CCD210" w14:textId="77777777" w:rsidR="00231DA3" w:rsidRPr="00E72972" w:rsidRDefault="00CD24C1" w:rsidP="0015741A">
      <w:pPr>
        <w:rPr>
          <w:rFonts w:cs="Times New Roman"/>
        </w:rPr>
      </w:pPr>
      <w:r w:rsidRPr="00E72972">
        <w:rPr>
          <w:rFonts w:cs="Times New Roman"/>
        </w:rPr>
        <w:t>A recurring analytical error in this field is to attribute to "climate change" effects that are produced by other components of global environmental change. We treat the principal co-drivers separately.</w:t>
      </w:r>
    </w:p>
    <w:p w14:paraId="10A36EFB" w14:textId="77777777" w:rsidR="00231DA3" w:rsidRPr="00E72972" w:rsidRDefault="00CD24C1" w:rsidP="0015741A">
      <w:pPr>
        <w:pStyle w:val="Heading2"/>
        <w:rPr>
          <w:rFonts w:cs="Times New Roman"/>
        </w:rPr>
      </w:pPr>
      <w:r w:rsidRPr="00E72972">
        <w:rPr>
          <w:rFonts w:cs="Times New Roman"/>
        </w:rPr>
        <w:t>6.1 Agricultural and Industrial Antifungal Inputs</w:t>
      </w:r>
    </w:p>
    <w:p w14:paraId="68E54B61" w14:textId="77777777" w:rsidR="00231DA3" w:rsidRPr="00E72972" w:rsidRDefault="00CD24C1" w:rsidP="0015741A">
      <w:pPr>
        <w:rPr>
          <w:rFonts w:cs="Times New Roman"/>
        </w:rPr>
      </w:pPr>
      <w:r w:rsidRPr="00E72972">
        <w:rPr>
          <w:rFonts w:cs="Times New Roman"/>
        </w:rPr>
        <w:t xml:space="preserve">Fungicide application is the largest deliberate chemical selection pressure humans impose on fungi. Crop pests and pathogens have been shown to shift poleward at measurable rates as temperature isotherms move (Bebber et al. 2013), which means fungicide use and warming are </w:t>
      </w:r>
      <w:r w:rsidRPr="00E72972">
        <w:rPr>
          <w:rFonts w:cs="Times New Roman"/>
          <w:i/>
        </w:rPr>
        <w:t>coupled</w:t>
      </w:r>
      <w:r w:rsidRPr="00E72972">
        <w:rPr>
          <w:rFonts w:cs="Times New Roman"/>
        </w:rPr>
        <w:t>: warming changes where fungicides are applied, and fungicide application changes the resistance landscape the environmental mycobiota experiences. Disentangling the two requires explicit modelling of both (van Rhijn and Rhodes 2025). An analogous coupling has been demonstrated for bacterial antimicrobial resistance, where local temperature is associated with higher resistance prevalence independent of prescribing (MacFadden et al. 2018), and climate–resistance interactions are now being treated as a distin</w:t>
      </w:r>
      <w:r w:rsidRPr="00E72972">
        <w:rPr>
          <w:rFonts w:cs="Times New Roman"/>
        </w:rPr>
        <w:t>ct research agenda (Kalanxhi and Laxminarayan 2026).</w:t>
      </w:r>
    </w:p>
    <w:p w14:paraId="3F89AAEB" w14:textId="77777777" w:rsidR="00231DA3" w:rsidRPr="00E72972" w:rsidRDefault="00CD24C1" w:rsidP="0015741A">
      <w:pPr>
        <w:pStyle w:val="Heading2"/>
        <w:rPr>
          <w:rFonts w:cs="Times New Roman"/>
        </w:rPr>
      </w:pPr>
      <w:r w:rsidRPr="00E72972">
        <w:rPr>
          <w:rFonts w:cs="Times New Roman"/>
        </w:rPr>
        <w:t>6.2 Plastic Pollution and Plastiphily</w:t>
      </w:r>
    </w:p>
    <w:p w14:paraId="1F6EDBAE" w14:textId="77777777" w:rsidR="00231DA3" w:rsidRPr="00E72972" w:rsidRDefault="00CD24C1" w:rsidP="0015741A">
      <w:pPr>
        <w:rPr>
          <w:rFonts w:cs="Times New Roman"/>
        </w:rPr>
      </w:pPr>
      <w:r w:rsidRPr="00E72972">
        <w:rPr>
          <w:rFonts w:cs="Times New Roman"/>
        </w:rPr>
        <w:t xml:space="preserve">Plastic waste creates a novel, globally distributed terrestrial substrate. Microplastics in soil accumulate a distinct mycobiota enriched in human-pathogenic genera, indicating that the plastisphere functions as a selective niche rather than an inert surface (Gkoutselis et al. 2021). Subsequent work linked plastiphily — the capacity to colonize and metabolize plastic — to generic virulence-associated traits in important human pathogenic fungi (Gkoutselis et al. 2024). The mechanistic question raised by the </w:t>
      </w:r>
      <w:r w:rsidRPr="00E72972">
        <w:rPr>
          <w:rFonts w:cs="Times New Roman"/>
        </w:rPr>
        <w:t>source presentation is well posed and, to our knowledge, unanswered: does growth on microplastic substrates alter growth rate, morphogenesis, oxidative-stress tolerance, antifungal susceptibility, interaction with phagocytes, or virulence in infection models? A factorial design comparing standard agar with agar supplemented with defined microplastic particles, read out across those six phenotypes, would answer it directly (Section 10.1).</w:t>
      </w:r>
    </w:p>
    <w:p w14:paraId="7AEE61AC" w14:textId="77777777" w:rsidR="00231DA3" w:rsidRPr="00E72972" w:rsidRDefault="00CD24C1" w:rsidP="0015741A">
      <w:pPr>
        <w:pStyle w:val="Heading2"/>
        <w:rPr>
          <w:rFonts w:cs="Times New Roman"/>
        </w:rPr>
      </w:pPr>
      <w:r w:rsidRPr="00E72972">
        <w:rPr>
          <w:rFonts w:cs="Times New Roman"/>
        </w:rPr>
        <w:lastRenderedPageBreak/>
        <w:t>6.3 Urbanization and Urban Heat Islands</w:t>
      </w:r>
    </w:p>
    <w:p w14:paraId="2625FDEB" w14:textId="77777777" w:rsidR="00231DA3" w:rsidRPr="00E72972" w:rsidRDefault="00CD24C1" w:rsidP="0015741A">
      <w:pPr>
        <w:rPr>
          <w:rFonts w:cs="Times New Roman"/>
        </w:rPr>
      </w:pPr>
      <w:r w:rsidRPr="00E72972">
        <w:rPr>
          <w:rFonts w:cs="Times New Roman"/>
        </w:rPr>
        <w:t>Cities warm faster than their surroundings and therefore constitute accessible natural experiments in thermal selection, with the paired-neighbourhood design of Smith et al. (2025) as the model (Section 3.2). Urbanization simultaneously changes host density, healthcare access, animal reservoirs and travel connectivity, all of which shape infectious disease independently of temperature (Baker et al. 2022). The urban heat island is thus both the best available field laboratory for thermal adaptation and one o</w:t>
      </w:r>
      <w:r w:rsidRPr="00E72972">
        <w:rPr>
          <w:rFonts w:cs="Times New Roman"/>
        </w:rPr>
        <w:t>f the most confounded.</w:t>
      </w:r>
    </w:p>
    <w:p w14:paraId="1A8AF2B8" w14:textId="77777777" w:rsidR="00231DA3" w:rsidRPr="00E72972" w:rsidRDefault="00CD24C1" w:rsidP="0015741A">
      <w:pPr>
        <w:pStyle w:val="Heading2"/>
        <w:rPr>
          <w:rFonts w:cs="Times New Roman"/>
        </w:rPr>
      </w:pPr>
      <w:r w:rsidRPr="00E72972">
        <w:rPr>
          <w:rFonts w:cs="Times New Roman"/>
        </w:rPr>
        <w:t>6.4 Ultraviolet Radiation, Carbon Dioxide, Aridity and Pollutants</w:t>
      </w:r>
    </w:p>
    <w:p w14:paraId="5F8E4838" w14:textId="77777777" w:rsidR="00231DA3" w:rsidRPr="00E72972" w:rsidRDefault="00CD24C1" w:rsidP="0015741A">
      <w:pPr>
        <w:rPr>
          <w:rFonts w:cs="Times New Roman"/>
        </w:rPr>
      </w:pPr>
      <w:r w:rsidRPr="00E72972">
        <w:rPr>
          <w:rFonts w:cs="Times New Roman"/>
        </w:rPr>
        <w:t>Temperature is one of dozens of environmental variables changing simultaneously; the essential climate variable frameworks used in Earth observation enumerate atmospheric, oceanic and terrestrial quantities in the dozens, many of them relevant to fungal ecology — soil moisture, land surface temperature, fire, permafrost, land cover, above-ground biomass. Analyses that regress fungal outcomes on one or two variables while omitting the rest risk assigning to temperature effects that belong to aridity, radiati</w:t>
      </w:r>
      <w:r w:rsidRPr="00E72972">
        <w:rPr>
          <w:rFonts w:cs="Times New Roman"/>
        </w:rPr>
        <w:t>on or land use. Where pigment and radiation biology are concerned there is a plausible mechanistic pathway for ultraviolet selection specifically (Dadachova et al. 2007; Cordero and Casadevall 2017), but it has not been tested in a climate framing.</w:t>
      </w:r>
    </w:p>
    <w:p w14:paraId="70758234" w14:textId="77777777" w:rsidR="00231DA3" w:rsidRPr="00E72972" w:rsidRDefault="00CD24C1" w:rsidP="0015741A">
      <w:pPr>
        <w:pStyle w:val="Heading2"/>
        <w:rPr>
          <w:rFonts w:cs="Times New Roman"/>
        </w:rPr>
      </w:pPr>
      <w:r w:rsidRPr="00E72972">
        <w:rPr>
          <w:rFonts w:cs="Times New Roman"/>
        </w:rPr>
        <w:t>6.5 Travel, Trade and Migration</w:t>
      </w:r>
    </w:p>
    <w:p w14:paraId="6710FA60" w14:textId="77777777" w:rsidR="00231DA3" w:rsidRPr="00E72972" w:rsidRDefault="00CD24C1" w:rsidP="0015741A">
      <w:pPr>
        <w:rPr>
          <w:rFonts w:cs="Times New Roman"/>
        </w:rPr>
      </w:pPr>
      <w:r w:rsidRPr="00E72972">
        <w:rPr>
          <w:rFonts w:cs="Times New Roman"/>
        </w:rPr>
        <w:t>Global connectivity determines how quickly a locally adapted genotype becomes a global problem. The interaction of travel density, urbanization and climate has been analysed for infectious disease generally (Baker et al. 2022), and climate change is expected to increase cross-species transmission opportunities through shifts in host ranges (Carlson et al. 2022), with pathogens and planetary change now framed as a single research domain (Carlson et al. 2025). A synthesis of the empirical literature concluded</w:t>
      </w:r>
      <w:r w:rsidRPr="00E72972">
        <w:rPr>
          <w:rFonts w:cs="Times New Roman"/>
        </w:rPr>
        <w:t xml:space="preserve"> that the majority of known human pathogenic diseases can be aggravated by climatic hazards through multiple pathways (Mora et al. 2022). For fungi specifically, the dispersal argument is strongest for antifungal-resistant genotypes and for nosocomially transmitted organisms, where the relevant vector is patient and healthcare-worker movement rather than atmospheric transport.</w:t>
      </w:r>
    </w:p>
    <w:p w14:paraId="11622DE3" w14:textId="77777777" w:rsidR="00231DA3" w:rsidRPr="00E72972" w:rsidRDefault="00CD24C1" w:rsidP="0015741A">
      <w:pPr>
        <w:pStyle w:val="Heading1"/>
        <w:rPr>
          <w:rFonts w:ascii="Times New Roman" w:hAnsi="Times New Roman" w:cs="Times New Roman"/>
        </w:rPr>
      </w:pPr>
      <w:r w:rsidRPr="00E72972">
        <w:rPr>
          <w:rFonts w:ascii="Times New Roman" w:hAnsi="Times New Roman" w:cs="Times New Roman"/>
        </w:rPr>
        <w:t>7 Disaster Microbiology: Acute Perturbations</w:t>
      </w:r>
    </w:p>
    <w:p w14:paraId="7E871E59" w14:textId="77777777" w:rsidR="00231DA3" w:rsidRPr="00E72972" w:rsidRDefault="00CD24C1" w:rsidP="0015741A">
      <w:pPr>
        <w:pStyle w:val="Heading2"/>
        <w:rPr>
          <w:rFonts w:cs="Times New Roman"/>
        </w:rPr>
      </w:pPr>
      <w:r w:rsidRPr="00E72972">
        <w:rPr>
          <w:rFonts w:cs="Times New Roman"/>
        </w:rPr>
        <w:t>7.1 Defining the Field</w:t>
      </w:r>
    </w:p>
    <w:p w14:paraId="20A44813" w14:textId="77777777" w:rsidR="00231DA3" w:rsidRPr="00E72972" w:rsidRDefault="00CD24C1" w:rsidP="0015741A">
      <w:pPr>
        <w:rPr>
          <w:rFonts w:cs="Times New Roman"/>
        </w:rPr>
      </w:pPr>
      <w:r w:rsidRPr="00E72972">
        <w:rPr>
          <w:rFonts w:cs="Times New Roman"/>
        </w:rPr>
        <w:t>Disaster microbiology has been proposed as a distinct field concerned with how catastrophic events — meteorological, geological and anthropogenic — alter microbial ecology, dispersal and disease (Smith and Casadevall 2022), with a mycological subdiscipline following from it (Smith and Casadevall 2023). Its defining feature is timescale. Where chronic warming operates through selection across many generations, a disaster restructures exposure within hours: it aerosolizes soil, breaches host barriers, concent</w:t>
      </w:r>
      <w:r w:rsidRPr="00E72972">
        <w:rPr>
          <w:rFonts w:cs="Times New Roman"/>
        </w:rPr>
        <w:t>rates susceptible people in shared shelter, interrupts diagnosis and treatment, and subjects fungal cells to combinatorial physical stress. Table 3 and Fig. 5 summarize the event classes, their dominant physical mechanisms and the fungal consequences documented for each.</w:t>
      </w:r>
    </w:p>
    <w:p w14:paraId="48C09AE4" w14:textId="77777777" w:rsidR="00F41D3A" w:rsidRDefault="00F41D3A" w:rsidP="0015741A">
      <w:pPr>
        <w:rPr>
          <w:rFonts w:cs="Times New Roman"/>
          <w:b/>
        </w:rPr>
      </w:pPr>
    </w:p>
    <w:p w14:paraId="2D814700" w14:textId="77777777" w:rsidR="00F41D3A" w:rsidRDefault="00F41D3A" w:rsidP="0015741A">
      <w:pPr>
        <w:rPr>
          <w:rFonts w:cs="Times New Roman"/>
          <w:b/>
        </w:rPr>
      </w:pPr>
    </w:p>
    <w:p w14:paraId="596DD199" w14:textId="2002FBC4" w:rsidR="00231DA3" w:rsidRPr="00E72972" w:rsidRDefault="00CD24C1" w:rsidP="0015741A">
      <w:pPr>
        <w:rPr>
          <w:rFonts w:cs="Times New Roman"/>
        </w:rPr>
      </w:pPr>
      <w:r w:rsidRPr="00E72972">
        <w:rPr>
          <w:rFonts w:cs="Times New Roman"/>
          <w:b/>
        </w:rPr>
        <w:lastRenderedPageBreak/>
        <w:t>Table 3</w:t>
      </w:r>
      <w:r w:rsidRPr="00E72972">
        <w:rPr>
          <w:rFonts w:cs="Times New Roman"/>
        </w:rPr>
        <w:t xml:space="preserve"> Disaster classes, mechanisms and documented fungal consequences</w:t>
      </w:r>
    </w:p>
    <w:tbl>
      <w:tblPr>
        <w:tblStyle w:val="TableGrid"/>
        <w:tblW w:w="0" w:type="auto"/>
        <w:tblLook w:val="04A0" w:firstRow="1" w:lastRow="0" w:firstColumn="1" w:lastColumn="0" w:noHBand="0" w:noVBand="1"/>
      </w:tblPr>
      <w:tblGrid>
        <w:gridCol w:w="1878"/>
        <w:gridCol w:w="1879"/>
        <w:gridCol w:w="1880"/>
        <w:gridCol w:w="1880"/>
        <w:gridCol w:w="1879"/>
      </w:tblGrid>
      <w:tr w:rsidR="00231DA3" w:rsidRPr="00E72972" w14:paraId="0E1A31F6" w14:textId="77777777">
        <w:tc>
          <w:tcPr>
            <w:tcW w:w="1881" w:type="dxa"/>
          </w:tcPr>
          <w:p w14:paraId="650ECC79" w14:textId="77777777" w:rsidR="00231DA3" w:rsidRPr="00E72972" w:rsidRDefault="00CD24C1" w:rsidP="0015741A">
            <w:pPr>
              <w:spacing w:line="276" w:lineRule="auto"/>
              <w:rPr>
                <w:rFonts w:cs="Times New Roman"/>
              </w:rPr>
            </w:pPr>
            <w:r w:rsidRPr="00E72972">
              <w:rPr>
                <w:rFonts w:cs="Times New Roman"/>
                <w:b/>
                <w:sz w:val="16"/>
              </w:rPr>
              <w:t>Event class</w:t>
            </w:r>
          </w:p>
        </w:tc>
        <w:tc>
          <w:tcPr>
            <w:tcW w:w="1881" w:type="dxa"/>
          </w:tcPr>
          <w:p w14:paraId="03C71B66" w14:textId="77777777" w:rsidR="00231DA3" w:rsidRPr="00E72972" w:rsidRDefault="00CD24C1" w:rsidP="0015741A">
            <w:pPr>
              <w:spacing w:line="276" w:lineRule="auto"/>
              <w:rPr>
                <w:rFonts w:cs="Times New Roman"/>
              </w:rPr>
            </w:pPr>
            <w:r w:rsidRPr="00E72972">
              <w:rPr>
                <w:rFonts w:cs="Times New Roman"/>
                <w:b/>
                <w:sz w:val="16"/>
              </w:rPr>
              <w:t>Dominant physical mechanism</w:t>
            </w:r>
          </w:p>
        </w:tc>
        <w:tc>
          <w:tcPr>
            <w:tcW w:w="1881" w:type="dxa"/>
          </w:tcPr>
          <w:p w14:paraId="0872B894" w14:textId="77777777" w:rsidR="00231DA3" w:rsidRPr="00E72972" w:rsidRDefault="00CD24C1" w:rsidP="0015741A">
            <w:pPr>
              <w:spacing w:line="276" w:lineRule="auto"/>
              <w:rPr>
                <w:rFonts w:cs="Times New Roman"/>
              </w:rPr>
            </w:pPr>
            <w:r w:rsidRPr="00E72972">
              <w:rPr>
                <w:rFonts w:cs="Times New Roman"/>
                <w:b/>
                <w:sz w:val="16"/>
              </w:rPr>
              <w:t>Fungal or ecological response</w:t>
            </w:r>
          </w:p>
        </w:tc>
        <w:tc>
          <w:tcPr>
            <w:tcW w:w="1881" w:type="dxa"/>
          </w:tcPr>
          <w:p w14:paraId="341FB2CC" w14:textId="77777777" w:rsidR="00231DA3" w:rsidRPr="00E72972" w:rsidRDefault="00CD24C1" w:rsidP="0015741A">
            <w:pPr>
              <w:spacing w:line="276" w:lineRule="auto"/>
              <w:rPr>
                <w:rFonts w:cs="Times New Roman"/>
              </w:rPr>
            </w:pPr>
            <w:r w:rsidRPr="00E72972">
              <w:rPr>
                <w:rFonts w:cs="Times New Roman"/>
                <w:b/>
                <w:sz w:val="16"/>
              </w:rPr>
              <w:t>Documented human outcome</w:t>
            </w:r>
          </w:p>
        </w:tc>
        <w:tc>
          <w:tcPr>
            <w:tcW w:w="1881" w:type="dxa"/>
          </w:tcPr>
          <w:p w14:paraId="3F1B1C51" w14:textId="77777777" w:rsidR="00231DA3" w:rsidRPr="00E72972" w:rsidRDefault="00CD24C1" w:rsidP="0015741A">
            <w:pPr>
              <w:spacing w:line="276" w:lineRule="auto"/>
              <w:rPr>
                <w:rFonts w:cs="Times New Roman"/>
              </w:rPr>
            </w:pPr>
            <w:r w:rsidRPr="00E72972">
              <w:rPr>
                <w:rFonts w:cs="Times New Roman"/>
                <w:b/>
                <w:sz w:val="16"/>
              </w:rPr>
              <w:t>Evidence</w:t>
            </w:r>
          </w:p>
        </w:tc>
      </w:tr>
      <w:tr w:rsidR="00231DA3" w:rsidRPr="00E72972" w14:paraId="33A361CE" w14:textId="77777777">
        <w:tc>
          <w:tcPr>
            <w:tcW w:w="1881" w:type="dxa"/>
          </w:tcPr>
          <w:p w14:paraId="1DFB5860" w14:textId="77777777" w:rsidR="00231DA3" w:rsidRPr="00E72972" w:rsidRDefault="00CD24C1" w:rsidP="0015741A">
            <w:pPr>
              <w:spacing w:line="276" w:lineRule="auto"/>
              <w:rPr>
                <w:rFonts w:cs="Times New Roman"/>
              </w:rPr>
            </w:pPr>
            <w:r w:rsidRPr="00E72972">
              <w:rPr>
                <w:rFonts w:cs="Times New Roman"/>
                <w:sz w:val="16"/>
              </w:rPr>
              <w:t>Tornado, cyclone</w:t>
            </w:r>
          </w:p>
        </w:tc>
        <w:tc>
          <w:tcPr>
            <w:tcW w:w="1881" w:type="dxa"/>
          </w:tcPr>
          <w:p w14:paraId="4E7A2295" w14:textId="77777777" w:rsidR="00231DA3" w:rsidRPr="00E72972" w:rsidRDefault="00CD24C1" w:rsidP="0015741A">
            <w:pPr>
              <w:spacing w:line="276" w:lineRule="auto"/>
              <w:rPr>
                <w:rFonts w:cs="Times New Roman"/>
              </w:rPr>
            </w:pPr>
            <w:r w:rsidRPr="00E72972">
              <w:rPr>
                <w:rFonts w:cs="Times New Roman"/>
                <w:sz w:val="16"/>
              </w:rPr>
              <w:t>Extreme shear, aerosolization, penetrating trauma</w:t>
            </w:r>
          </w:p>
        </w:tc>
        <w:tc>
          <w:tcPr>
            <w:tcW w:w="1881" w:type="dxa"/>
          </w:tcPr>
          <w:p w14:paraId="3E8D8173" w14:textId="77777777" w:rsidR="00231DA3" w:rsidRPr="00E72972" w:rsidRDefault="00CD24C1" w:rsidP="0015741A">
            <w:pPr>
              <w:spacing w:line="276" w:lineRule="auto"/>
              <w:rPr>
                <w:rFonts w:cs="Times New Roman"/>
              </w:rPr>
            </w:pPr>
            <w:r w:rsidRPr="00E72972">
              <w:rPr>
                <w:rFonts w:cs="Times New Roman"/>
                <w:sz w:val="16"/>
              </w:rPr>
              <w:t>Transient calcineurin/Hsp90-dependent hypervirulence in Mucorales</w:t>
            </w:r>
          </w:p>
        </w:tc>
        <w:tc>
          <w:tcPr>
            <w:tcW w:w="1881" w:type="dxa"/>
          </w:tcPr>
          <w:p w14:paraId="55ABF204" w14:textId="77777777" w:rsidR="00231DA3" w:rsidRPr="00E72972" w:rsidRDefault="00CD24C1" w:rsidP="0015741A">
            <w:pPr>
              <w:spacing w:line="276" w:lineRule="auto"/>
              <w:rPr>
                <w:rFonts w:cs="Times New Roman"/>
              </w:rPr>
            </w:pPr>
            <w:r w:rsidRPr="00E72972">
              <w:rPr>
                <w:rFonts w:cs="Times New Roman"/>
                <w:sz w:val="16"/>
              </w:rPr>
              <w:t>Necrotizing cutaneous mucormycosis clusters</w:t>
            </w:r>
          </w:p>
        </w:tc>
        <w:tc>
          <w:tcPr>
            <w:tcW w:w="1881" w:type="dxa"/>
          </w:tcPr>
          <w:p w14:paraId="40706A1B" w14:textId="77777777" w:rsidR="00231DA3" w:rsidRPr="00E72972" w:rsidRDefault="00CD24C1" w:rsidP="0015741A">
            <w:pPr>
              <w:spacing w:line="276" w:lineRule="auto"/>
              <w:rPr>
                <w:rFonts w:cs="Times New Roman"/>
              </w:rPr>
            </w:pPr>
            <w:r w:rsidRPr="00E72972">
              <w:rPr>
                <w:rFonts w:cs="Times New Roman"/>
                <w:sz w:val="16"/>
              </w:rPr>
              <w:t>Experimental + outbreak (Wurster et al. 2020 [VERIFY]; Neblett Fanfair et al. 2012)</w:t>
            </w:r>
          </w:p>
        </w:tc>
      </w:tr>
      <w:tr w:rsidR="00231DA3" w:rsidRPr="00E72972" w14:paraId="78774F30" w14:textId="77777777">
        <w:tc>
          <w:tcPr>
            <w:tcW w:w="1881" w:type="dxa"/>
          </w:tcPr>
          <w:p w14:paraId="1DEBE711" w14:textId="77777777" w:rsidR="00231DA3" w:rsidRPr="00E72972" w:rsidRDefault="00CD24C1" w:rsidP="0015741A">
            <w:pPr>
              <w:spacing w:line="276" w:lineRule="auto"/>
              <w:rPr>
                <w:rFonts w:cs="Times New Roman"/>
              </w:rPr>
            </w:pPr>
            <w:r w:rsidRPr="00E72972">
              <w:rPr>
                <w:rFonts w:cs="Times New Roman"/>
                <w:sz w:val="16"/>
              </w:rPr>
              <w:t>Flood, storm surge</w:t>
            </w:r>
          </w:p>
        </w:tc>
        <w:tc>
          <w:tcPr>
            <w:tcW w:w="1881" w:type="dxa"/>
          </w:tcPr>
          <w:p w14:paraId="7E0C38BC" w14:textId="77777777" w:rsidR="00231DA3" w:rsidRPr="00E72972" w:rsidRDefault="00CD24C1" w:rsidP="0015741A">
            <w:pPr>
              <w:spacing w:line="276" w:lineRule="auto"/>
              <w:rPr>
                <w:rFonts w:cs="Times New Roman"/>
              </w:rPr>
            </w:pPr>
            <w:r w:rsidRPr="00E72972">
              <w:rPr>
                <w:rFonts w:cs="Times New Roman"/>
                <w:sz w:val="16"/>
              </w:rPr>
              <w:t>Water damage, sustained humidity, sewage mixing</w:t>
            </w:r>
          </w:p>
        </w:tc>
        <w:tc>
          <w:tcPr>
            <w:tcW w:w="1881" w:type="dxa"/>
          </w:tcPr>
          <w:p w14:paraId="35E98207" w14:textId="77777777" w:rsidR="00231DA3" w:rsidRPr="00E72972" w:rsidRDefault="00CD24C1" w:rsidP="0015741A">
            <w:pPr>
              <w:spacing w:line="276" w:lineRule="auto"/>
              <w:rPr>
                <w:rFonts w:cs="Times New Roman"/>
              </w:rPr>
            </w:pPr>
            <w:r w:rsidRPr="00E72972">
              <w:rPr>
                <w:rFonts w:cs="Times New Roman"/>
                <w:sz w:val="16"/>
              </w:rPr>
              <w:t>Indoor mould amplification; dispersal of resistant organisms</w:t>
            </w:r>
          </w:p>
        </w:tc>
        <w:tc>
          <w:tcPr>
            <w:tcW w:w="1881" w:type="dxa"/>
          </w:tcPr>
          <w:p w14:paraId="5A2E1897" w14:textId="77777777" w:rsidR="00231DA3" w:rsidRPr="00E72972" w:rsidRDefault="00CD24C1" w:rsidP="0015741A">
            <w:pPr>
              <w:spacing w:line="276" w:lineRule="auto"/>
              <w:rPr>
                <w:rFonts w:cs="Times New Roman"/>
              </w:rPr>
            </w:pPr>
            <w:r w:rsidRPr="00E72972">
              <w:rPr>
                <w:rFonts w:cs="Times New Roman"/>
                <w:sz w:val="16"/>
              </w:rPr>
              <w:t>Mould and endotoxin exposure; invasive mould infection in immunocompromised hosts</w:t>
            </w:r>
          </w:p>
        </w:tc>
        <w:tc>
          <w:tcPr>
            <w:tcW w:w="1881" w:type="dxa"/>
          </w:tcPr>
          <w:p w14:paraId="35722EB9" w14:textId="77777777" w:rsidR="00231DA3" w:rsidRPr="00E72972" w:rsidRDefault="00CD24C1" w:rsidP="0015741A">
            <w:pPr>
              <w:spacing w:line="276" w:lineRule="auto"/>
              <w:rPr>
                <w:rFonts w:cs="Times New Roman"/>
              </w:rPr>
            </w:pPr>
            <w:r w:rsidRPr="00E72972">
              <w:rPr>
                <w:rFonts w:cs="Times New Roman"/>
                <w:sz w:val="16"/>
              </w:rPr>
              <w:t>Established (Chew et al. 2006; Rao et al. 2007; Toda et al. 2023)</w:t>
            </w:r>
          </w:p>
        </w:tc>
      </w:tr>
      <w:tr w:rsidR="00231DA3" w:rsidRPr="00E72972" w14:paraId="4AB47715" w14:textId="77777777">
        <w:tc>
          <w:tcPr>
            <w:tcW w:w="1881" w:type="dxa"/>
          </w:tcPr>
          <w:p w14:paraId="1425D86E" w14:textId="77777777" w:rsidR="00231DA3" w:rsidRPr="00E72972" w:rsidRDefault="00CD24C1" w:rsidP="0015741A">
            <w:pPr>
              <w:spacing w:line="276" w:lineRule="auto"/>
              <w:rPr>
                <w:rFonts w:cs="Times New Roman"/>
              </w:rPr>
            </w:pPr>
            <w:r w:rsidRPr="00E72972">
              <w:rPr>
                <w:rFonts w:cs="Times New Roman"/>
                <w:sz w:val="16"/>
              </w:rPr>
              <w:t>Wildfire</w:t>
            </w:r>
          </w:p>
        </w:tc>
        <w:tc>
          <w:tcPr>
            <w:tcW w:w="1881" w:type="dxa"/>
          </w:tcPr>
          <w:p w14:paraId="0AECAE55" w14:textId="77777777" w:rsidR="00231DA3" w:rsidRPr="00E72972" w:rsidRDefault="00CD24C1" w:rsidP="0015741A">
            <w:pPr>
              <w:spacing w:line="276" w:lineRule="auto"/>
              <w:rPr>
                <w:rFonts w:cs="Times New Roman"/>
              </w:rPr>
            </w:pPr>
            <w:r w:rsidRPr="00E72972">
              <w:rPr>
                <w:rFonts w:cs="Times New Roman"/>
                <w:sz w:val="16"/>
              </w:rPr>
              <w:t>Smoke as viable bioaerosol vector; soil disturbance</w:t>
            </w:r>
          </w:p>
        </w:tc>
        <w:tc>
          <w:tcPr>
            <w:tcW w:w="1881" w:type="dxa"/>
          </w:tcPr>
          <w:p w14:paraId="34E8B976" w14:textId="77777777" w:rsidR="00231DA3" w:rsidRPr="00E72972" w:rsidRDefault="00CD24C1" w:rsidP="0015741A">
            <w:pPr>
              <w:spacing w:line="276" w:lineRule="auto"/>
              <w:rPr>
                <w:rFonts w:cs="Times New Roman"/>
              </w:rPr>
            </w:pPr>
            <w:r w:rsidRPr="00E72972">
              <w:rPr>
                <w:rFonts w:cs="Times New Roman"/>
                <w:sz w:val="16"/>
              </w:rPr>
              <w:t>Long-range transport of viable propagules</w:t>
            </w:r>
          </w:p>
        </w:tc>
        <w:tc>
          <w:tcPr>
            <w:tcW w:w="1881" w:type="dxa"/>
          </w:tcPr>
          <w:p w14:paraId="5F1FC1C0" w14:textId="77777777" w:rsidR="00231DA3" w:rsidRPr="00E72972" w:rsidRDefault="00CD24C1" w:rsidP="0015741A">
            <w:pPr>
              <w:spacing w:line="276" w:lineRule="auto"/>
              <w:rPr>
                <w:rFonts w:cs="Times New Roman"/>
              </w:rPr>
            </w:pPr>
            <w:r w:rsidRPr="00E72972">
              <w:rPr>
                <w:rFonts w:cs="Times New Roman"/>
                <w:sz w:val="16"/>
              </w:rPr>
              <w:t>Occupational coccidioidomycosis; hypothesized range expansion</w:t>
            </w:r>
          </w:p>
        </w:tc>
        <w:tc>
          <w:tcPr>
            <w:tcW w:w="1881" w:type="dxa"/>
          </w:tcPr>
          <w:p w14:paraId="6058D371" w14:textId="77777777" w:rsidR="00231DA3" w:rsidRPr="00E72972" w:rsidRDefault="00CD24C1" w:rsidP="0015741A">
            <w:pPr>
              <w:spacing w:line="276" w:lineRule="auto"/>
              <w:rPr>
                <w:rFonts w:cs="Times New Roman"/>
              </w:rPr>
            </w:pPr>
            <w:r w:rsidRPr="00E72972">
              <w:rPr>
                <w:rFonts w:cs="Times New Roman"/>
                <w:sz w:val="16"/>
              </w:rPr>
              <w:t>Emerging (Kobziar et al. 2022; Ellington et al. 2024; Wilken et al. 2015)</w:t>
            </w:r>
          </w:p>
        </w:tc>
      </w:tr>
      <w:tr w:rsidR="00231DA3" w:rsidRPr="00E72972" w14:paraId="0B974458" w14:textId="77777777">
        <w:tc>
          <w:tcPr>
            <w:tcW w:w="1881" w:type="dxa"/>
          </w:tcPr>
          <w:p w14:paraId="08494317" w14:textId="77777777" w:rsidR="00231DA3" w:rsidRPr="00E72972" w:rsidRDefault="00CD24C1" w:rsidP="0015741A">
            <w:pPr>
              <w:spacing w:line="276" w:lineRule="auto"/>
              <w:rPr>
                <w:rFonts w:cs="Times New Roman"/>
              </w:rPr>
            </w:pPr>
            <w:r w:rsidRPr="00E72972">
              <w:rPr>
                <w:rFonts w:cs="Times New Roman"/>
                <w:sz w:val="16"/>
              </w:rPr>
              <w:t>Dust storm, drought cycling</w:t>
            </w:r>
          </w:p>
        </w:tc>
        <w:tc>
          <w:tcPr>
            <w:tcW w:w="1881" w:type="dxa"/>
          </w:tcPr>
          <w:p w14:paraId="7D9F7064" w14:textId="77777777" w:rsidR="00231DA3" w:rsidRPr="00E72972" w:rsidRDefault="00CD24C1" w:rsidP="0015741A">
            <w:pPr>
              <w:spacing w:line="276" w:lineRule="auto"/>
              <w:rPr>
                <w:rFonts w:cs="Times New Roman"/>
              </w:rPr>
            </w:pPr>
            <w:r w:rsidRPr="00E72972">
              <w:rPr>
                <w:rFonts w:cs="Times New Roman"/>
                <w:sz w:val="16"/>
              </w:rPr>
              <w:t>Soil aerosolization after wet–dry cycling</w:t>
            </w:r>
          </w:p>
        </w:tc>
        <w:tc>
          <w:tcPr>
            <w:tcW w:w="1881" w:type="dxa"/>
          </w:tcPr>
          <w:p w14:paraId="68A79E84" w14:textId="77777777" w:rsidR="00231DA3" w:rsidRPr="00E72972" w:rsidRDefault="00CD24C1" w:rsidP="0015741A">
            <w:pPr>
              <w:spacing w:line="276" w:lineRule="auto"/>
              <w:rPr>
                <w:rFonts w:cs="Times New Roman"/>
              </w:rPr>
            </w:pPr>
            <w:r w:rsidRPr="00E72972">
              <w:rPr>
                <w:rFonts w:cs="Times New Roman"/>
                <w:sz w:val="16"/>
              </w:rPr>
              <w:t>Arthroconidium release</w:t>
            </w:r>
          </w:p>
        </w:tc>
        <w:tc>
          <w:tcPr>
            <w:tcW w:w="1881" w:type="dxa"/>
          </w:tcPr>
          <w:p w14:paraId="01792744" w14:textId="77777777" w:rsidR="00231DA3" w:rsidRPr="00E72972" w:rsidRDefault="00CD24C1" w:rsidP="0015741A">
            <w:pPr>
              <w:spacing w:line="276" w:lineRule="auto"/>
              <w:rPr>
                <w:rFonts w:cs="Times New Roman"/>
              </w:rPr>
            </w:pPr>
            <w:r w:rsidRPr="00E72972">
              <w:rPr>
                <w:rFonts w:cs="Times New Roman"/>
                <w:sz w:val="16"/>
              </w:rPr>
              <w:t>Valley fever incidence tracking dust and precipitation</w:t>
            </w:r>
          </w:p>
        </w:tc>
        <w:tc>
          <w:tcPr>
            <w:tcW w:w="1881" w:type="dxa"/>
          </w:tcPr>
          <w:p w14:paraId="1FE4121A" w14:textId="77777777" w:rsidR="00231DA3" w:rsidRPr="00E72972" w:rsidRDefault="00CD24C1" w:rsidP="0015741A">
            <w:pPr>
              <w:spacing w:line="276" w:lineRule="auto"/>
              <w:rPr>
                <w:rFonts w:cs="Times New Roman"/>
              </w:rPr>
            </w:pPr>
            <w:r w:rsidRPr="00E72972">
              <w:rPr>
                <w:rFonts w:cs="Times New Roman"/>
                <w:sz w:val="16"/>
              </w:rPr>
              <w:t>Established association (Tong et al. 2017; Head et al. 2022)</w:t>
            </w:r>
          </w:p>
        </w:tc>
      </w:tr>
      <w:tr w:rsidR="00231DA3" w:rsidRPr="00E72972" w14:paraId="67AF3C6B" w14:textId="77777777">
        <w:tc>
          <w:tcPr>
            <w:tcW w:w="1881" w:type="dxa"/>
          </w:tcPr>
          <w:p w14:paraId="45259B3A" w14:textId="77777777" w:rsidR="00231DA3" w:rsidRPr="00E72972" w:rsidRDefault="00CD24C1" w:rsidP="0015741A">
            <w:pPr>
              <w:spacing w:line="276" w:lineRule="auto"/>
              <w:rPr>
                <w:rFonts w:cs="Times New Roman"/>
              </w:rPr>
            </w:pPr>
            <w:r w:rsidRPr="00E72972">
              <w:rPr>
                <w:rFonts w:cs="Times New Roman"/>
                <w:sz w:val="16"/>
              </w:rPr>
              <w:t>Earthquake, tsunami</w:t>
            </w:r>
          </w:p>
        </w:tc>
        <w:tc>
          <w:tcPr>
            <w:tcW w:w="1881" w:type="dxa"/>
          </w:tcPr>
          <w:p w14:paraId="4EC0EB8E" w14:textId="77777777" w:rsidR="00231DA3" w:rsidRPr="00E72972" w:rsidRDefault="00CD24C1" w:rsidP="0015741A">
            <w:pPr>
              <w:spacing w:line="276" w:lineRule="auto"/>
              <w:rPr>
                <w:rFonts w:cs="Times New Roman"/>
              </w:rPr>
            </w:pPr>
            <w:r w:rsidRPr="00E72972">
              <w:rPr>
                <w:rFonts w:cs="Times New Roman"/>
                <w:sz w:val="16"/>
              </w:rPr>
              <w:t>Soil displacement, aspiration, trauma</w:t>
            </w:r>
          </w:p>
        </w:tc>
        <w:tc>
          <w:tcPr>
            <w:tcW w:w="1881" w:type="dxa"/>
          </w:tcPr>
          <w:p w14:paraId="5A1982E5" w14:textId="77777777" w:rsidR="00231DA3" w:rsidRPr="00E72972" w:rsidRDefault="00CD24C1" w:rsidP="0015741A">
            <w:pPr>
              <w:spacing w:line="276" w:lineRule="auto"/>
              <w:rPr>
                <w:rFonts w:cs="Times New Roman"/>
              </w:rPr>
            </w:pPr>
            <w:r w:rsidRPr="00E72972">
              <w:rPr>
                <w:rFonts w:cs="Times New Roman"/>
                <w:sz w:val="16"/>
              </w:rPr>
              <w:t>Dispersal into new niches; direct inoculation</w:t>
            </w:r>
          </w:p>
        </w:tc>
        <w:tc>
          <w:tcPr>
            <w:tcW w:w="1881" w:type="dxa"/>
          </w:tcPr>
          <w:p w14:paraId="1FBF8301" w14:textId="77777777" w:rsidR="00231DA3" w:rsidRPr="00E72972" w:rsidRDefault="00CD24C1" w:rsidP="0015741A">
            <w:pPr>
              <w:spacing w:line="276" w:lineRule="auto"/>
              <w:rPr>
                <w:rFonts w:cs="Times New Roman"/>
              </w:rPr>
            </w:pPr>
            <w:r w:rsidRPr="00E72972">
              <w:rPr>
                <w:rFonts w:cs="Times New Roman"/>
                <w:sz w:val="16"/>
              </w:rPr>
              <w:t>Post-disaster pulmonary and wound mycoses</w:t>
            </w:r>
          </w:p>
        </w:tc>
        <w:tc>
          <w:tcPr>
            <w:tcW w:w="1881" w:type="dxa"/>
          </w:tcPr>
          <w:p w14:paraId="111181DA" w14:textId="77777777" w:rsidR="00231DA3" w:rsidRPr="00E72972" w:rsidRDefault="00CD24C1" w:rsidP="0015741A">
            <w:pPr>
              <w:spacing w:line="276" w:lineRule="auto"/>
              <w:rPr>
                <w:rFonts w:cs="Times New Roman"/>
              </w:rPr>
            </w:pPr>
            <w:r w:rsidRPr="00E72972">
              <w:rPr>
                <w:rFonts w:cs="Times New Roman"/>
                <w:sz w:val="16"/>
              </w:rPr>
              <w:t>Case series (Benedict and Park 2014)</w:t>
            </w:r>
          </w:p>
        </w:tc>
      </w:tr>
      <w:tr w:rsidR="00231DA3" w:rsidRPr="00E72972" w14:paraId="0B971D97" w14:textId="77777777">
        <w:tc>
          <w:tcPr>
            <w:tcW w:w="1881" w:type="dxa"/>
          </w:tcPr>
          <w:p w14:paraId="48ADC5DD" w14:textId="77777777" w:rsidR="00231DA3" w:rsidRPr="00E72972" w:rsidRDefault="00CD24C1" w:rsidP="0015741A">
            <w:pPr>
              <w:spacing w:line="276" w:lineRule="auto"/>
              <w:rPr>
                <w:rFonts w:cs="Times New Roman"/>
              </w:rPr>
            </w:pPr>
            <w:r w:rsidRPr="00E72972">
              <w:rPr>
                <w:rFonts w:cs="Times New Roman"/>
                <w:sz w:val="16"/>
              </w:rPr>
              <w:t>Permafrost thaw</w:t>
            </w:r>
          </w:p>
        </w:tc>
        <w:tc>
          <w:tcPr>
            <w:tcW w:w="1881" w:type="dxa"/>
          </w:tcPr>
          <w:p w14:paraId="4D8C85D4" w14:textId="77777777" w:rsidR="00231DA3" w:rsidRPr="00E72972" w:rsidRDefault="00CD24C1" w:rsidP="0015741A">
            <w:pPr>
              <w:spacing w:line="276" w:lineRule="auto"/>
              <w:rPr>
                <w:rFonts w:cs="Times New Roman"/>
              </w:rPr>
            </w:pPr>
            <w:r w:rsidRPr="00E72972">
              <w:rPr>
                <w:rFonts w:cs="Times New Roman"/>
                <w:sz w:val="16"/>
              </w:rPr>
              <w:t>Release of long-dormant propagules</w:t>
            </w:r>
          </w:p>
        </w:tc>
        <w:tc>
          <w:tcPr>
            <w:tcW w:w="1881" w:type="dxa"/>
          </w:tcPr>
          <w:p w14:paraId="22F6E7FD" w14:textId="77777777" w:rsidR="00231DA3" w:rsidRPr="00E72972" w:rsidRDefault="00CD24C1" w:rsidP="0015741A">
            <w:pPr>
              <w:spacing w:line="276" w:lineRule="auto"/>
              <w:rPr>
                <w:rFonts w:cs="Times New Roman"/>
              </w:rPr>
            </w:pPr>
            <w:r w:rsidRPr="00E72972">
              <w:rPr>
                <w:rFonts w:cs="Times New Roman"/>
                <w:sz w:val="16"/>
              </w:rPr>
              <w:t>Revival of cold-preserved taxa</w:t>
            </w:r>
          </w:p>
        </w:tc>
        <w:tc>
          <w:tcPr>
            <w:tcW w:w="1881" w:type="dxa"/>
          </w:tcPr>
          <w:p w14:paraId="752EA3CF" w14:textId="77777777" w:rsidR="00231DA3" w:rsidRPr="00E72972" w:rsidRDefault="00CD24C1" w:rsidP="0015741A">
            <w:pPr>
              <w:spacing w:line="276" w:lineRule="auto"/>
              <w:rPr>
                <w:rFonts w:cs="Times New Roman"/>
              </w:rPr>
            </w:pPr>
            <w:r w:rsidRPr="00E72972">
              <w:rPr>
                <w:rFonts w:cs="Times New Roman"/>
                <w:sz w:val="16"/>
              </w:rPr>
              <w:t>None documented</w:t>
            </w:r>
          </w:p>
        </w:tc>
        <w:tc>
          <w:tcPr>
            <w:tcW w:w="1881" w:type="dxa"/>
          </w:tcPr>
          <w:p w14:paraId="194F204E" w14:textId="77777777" w:rsidR="00231DA3" w:rsidRPr="00E72972" w:rsidRDefault="00CD24C1" w:rsidP="0015741A">
            <w:pPr>
              <w:spacing w:line="276" w:lineRule="auto"/>
              <w:rPr>
                <w:rFonts w:cs="Times New Roman"/>
              </w:rPr>
            </w:pPr>
            <w:r w:rsidRPr="00E72972">
              <w:rPr>
                <w:rFonts w:cs="Times New Roman"/>
                <w:sz w:val="16"/>
              </w:rPr>
              <w:t>Hypothesis (Wu et al. 2022; Alempic et al. 2023)</w:t>
            </w:r>
          </w:p>
        </w:tc>
      </w:tr>
      <w:tr w:rsidR="00231DA3" w:rsidRPr="00E72972" w14:paraId="1F9D9CB2" w14:textId="77777777">
        <w:tc>
          <w:tcPr>
            <w:tcW w:w="1881" w:type="dxa"/>
          </w:tcPr>
          <w:p w14:paraId="3F56E7BF" w14:textId="77777777" w:rsidR="00231DA3" w:rsidRPr="00E72972" w:rsidRDefault="00CD24C1" w:rsidP="0015741A">
            <w:pPr>
              <w:spacing w:line="276" w:lineRule="auto"/>
              <w:rPr>
                <w:rFonts w:cs="Times New Roman"/>
              </w:rPr>
            </w:pPr>
            <w:r w:rsidRPr="00E72972">
              <w:rPr>
                <w:rFonts w:cs="Times New Roman"/>
                <w:sz w:val="16"/>
              </w:rPr>
              <w:t>Heat wave, chronic warming</w:t>
            </w:r>
          </w:p>
        </w:tc>
        <w:tc>
          <w:tcPr>
            <w:tcW w:w="1881" w:type="dxa"/>
          </w:tcPr>
          <w:p w14:paraId="04056594" w14:textId="77777777" w:rsidR="00231DA3" w:rsidRPr="00E72972" w:rsidRDefault="00CD24C1" w:rsidP="0015741A">
            <w:pPr>
              <w:spacing w:line="276" w:lineRule="auto"/>
              <w:rPr>
                <w:rFonts w:cs="Times New Roman"/>
              </w:rPr>
            </w:pPr>
            <w:r w:rsidRPr="00E72972">
              <w:rPr>
                <w:rFonts w:cs="Times New Roman"/>
                <w:sz w:val="16"/>
              </w:rPr>
              <w:t>Sustained thermal selection and mutagenesis</w:t>
            </w:r>
          </w:p>
        </w:tc>
        <w:tc>
          <w:tcPr>
            <w:tcW w:w="1881" w:type="dxa"/>
          </w:tcPr>
          <w:p w14:paraId="5E16946A" w14:textId="77777777" w:rsidR="00231DA3" w:rsidRPr="00E72972" w:rsidRDefault="00CD24C1" w:rsidP="0015741A">
            <w:pPr>
              <w:spacing w:line="276" w:lineRule="auto"/>
              <w:rPr>
                <w:rFonts w:cs="Times New Roman"/>
              </w:rPr>
            </w:pPr>
            <w:r w:rsidRPr="00E72972">
              <w:rPr>
                <w:rFonts w:cs="Times New Roman"/>
                <w:sz w:val="16"/>
              </w:rPr>
              <w:t>Selection for thermotolerance; temperature-induced mutagenesis</w:t>
            </w:r>
          </w:p>
        </w:tc>
        <w:tc>
          <w:tcPr>
            <w:tcW w:w="1881" w:type="dxa"/>
          </w:tcPr>
          <w:p w14:paraId="23488272" w14:textId="77777777" w:rsidR="00231DA3" w:rsidRPr="00E72972" w:rsidRDefault="00CD24C1" w:rsidP="0015741A">
            <w:pPr>
              <w:spacing w:line="276" w:lineRule="auto"/>
              <w:rPr>
                <w:rFonts w:cs="Times New Roman"/>
              </w:rPr>
            </w:pPr>
            <w:r w:rsidRPr="00E72972">
              <w:rPr>
                <w:rFonts w:cs="Times New Roman"/>
                <w:sz w:val="16"/>
              </w:rPr>
              <w:t>Expanded candidate pathogen pool</w:t>
            </w:r>
          </w:p>
        </w:tc>
        <w:tc>
          <w:tcPr>
            <w:tcW w:w="1881" w:type="dxa"/>
          </w:tcPr>
          <w:p w14:paraId="2FC12462" w14:textId="77777777" w:rsidR="00231DA3" w:rsidRPr="00E72972" w:rsidRDefault="00CD24C1" w:rsidP="0015741A">
            <w:pPr>
              <w:spacing w:line="276" w:lineRule="auto"/>
              <w:rPr>
                <w:rFonts w:cs="Times New Roman"/>
              </w:rPr>
            </w:pPr>
            <w:r w:rsidRPr="00E72972">
              <w:rPr>
                <w:rFonts w:cs="Times New Roman"/>
                <w:sz w:val="16"/>
              </w:rPr>
              <w:t>Mechanism established; epidemiological link emerging (Gusa et al. 2023; Huang et al. 2024; Smith et al. 2025)</w:t>
            </w:r>
          </w:p>
        </w:tc>
      </w:tr>
    </w:tbl>
    <w:p w14:paraId="7C910B03" w14:textId="77777777" w:rsidR="00231DA3" w:rsidRPr="00E72972" w:rsidRDefault="00231DA3" w:rsidP="0015741A">
      <w:pPr>
        <w:rPr>
          <w:rFonts w:cs="Times New Roman"/>
        </w:rPr>
      </w:pPr>
    </w:p>
    <w:p w14:paraId="636074B0" w14:textId="77777777" w:rsidR="00231DA3" w:rsidRPr="00E72972" w:rsidRDefault="00CD24C1" w:rsidP="0015741A">
      <w:pPr>
        <w:pStyle w:val="Heading2"/>
        <w:rPr>
          <w:rFonts w:cs="Times New Roman"/>
        </w:rPr>
      </w:pPr>
      <w:r w:rsidRPr="00E72972">
        <w:rPr>
          <w:rFonts w:cs="Times New Roman"/>
        </w:rPr>
        <w:t>7.2 Wind: Tornadoes and Tropical Cyclones</w:t>
      </w:r>
    </w:p>
    <w:p w14:paraId="066974DC" w14:textId="77777777" w:rsidR="00231DA3" w:rsidRPr="00E72972" w:rsidRDefault="00CD24C1" w:rsidP="0015741A">
      <w:pPr>
        <w:rPr>
          <w:rFonts w:cs="Times New Roman"/>
        </w:rPr>
      </w:pPr>
      <w:r w:rsidRPr="00E72972">
        <w:rPr>
          <w:rFonts w:cs="Times New Roman"/>
        </w:rPr>
        <w:t xml:space="preserve">The paradigm case is the 2011 Joplin, Missouri tornado, after which a cluster of necrotizing cutaneous mucormycosis due to </w:t>
      </w:r>
      <w:r w:rsidRPr="00E72972">
        <w:rPr>
          <w:rFonts w:cs="Times New Roman"/>
          <w:i/>
        </w:rPr>
        <w:t>Apophysomyces</w:t>
      </w:r>
      <w:r w:rsidRPr="00E72972">
        <w:rPr>
          <w:rFonts w:cs="Times New Roman"/>
        </w:rPr>
        <w:t xml:space="preserve"> species occurred among injured survivors, with penetrating trauma and wound contamination as the shared exposure and high mortality despite surgery and antifungal therapy (Neblett Fanfair et al. 2012). Two features of these infections have long been puzzling: their aggressiveness in previously healthy people, and their occurrence in organisms that are ubiquitous yet rarely cause such disease. The shear-stress experiments discussed in Section 3.3 offer a mechanistic hypothesis — that the disaster event itse</w:t>
      </w:r>
      <w:r w:rsidRPr="00E72972">
        <w:rPr>
          <w:rFonts w:cs="Times New Roman"/>
        </w:rPr>
        <w:t>lf transiently reprogrammes the fungus toward hypervirulence before inoculation (Wurster et al. 2020 [VERIFY]) — and they generate a clear prediction: isolates recovered early after such events should show the transient phenotype, which should decay in culture. To our knowledge this prediction has not been tested on outbreak isolates, and it could be.</w:t>
      </w:r>
    </w:p>
    <w:p w14:paraId="16B4C523" w14:textId="77777777" w:rsidR="00231DA3" w:rsidRPr="00E72972" w:rsidRDefault="00CD24C1" w:rsidP="0015741A">
      <w:pPr>
        <w:pStyle w:val="Heading2"/>
        <w:rPr>
          <w:rFonts w:cs="Times New Roman"/>
        </w:rPr>
      </w:pPr>
      <w:r w:rsidRPr="00E72972">
        <w:rPr>
          <w:rFonts w:cs="Times New Roman"/>
        </w:rPr>
        <w:t>7.3 Water: Floods, Humidity and Sewage</w:t>
      </w:r>
    </w:p>
    <w:p w14:paraId="2FFB7F72" w14:textId="77777777" w:rsidR="00231DA3" w:rsidRPr="00E72972" w:rsidRDefault="00CD24C1" w:rsidP="0015741A">
      <w:pPr>
        <w:rPr>
          <w:rFonts w:cs="Times New Roman"/>
        </w:rPr>
      </w:pPr>
      <w:r w:rsidRPr="00E72972">
        <w:rPr>
          <w:rFonts w:cs="Times New Roman"/>
        </w:rPr>
        <w:t xml:space="preserve">Flooding produces the most reproducible post-disaster fungal exposure. After Hurricane Katrina, airborne and settled mould concentrations in flooded New Orleans homes reached levels far above those in non-flooded reference homes, with high endotoxin and glucan burdens and </w:t>
      </w:r>
      <w:r w:rsidRPr="00E72972">
        <w:rPr>
          <w:rFonts w:cs="Times New Roman"/>
          <w:i/>
        </w:rPr>
        <w:t>Aspergillus</w:t>
      </w:r>
      <w:r w:rsidRPr="00E72972">
        <w:rPr>
          <w:rFonts w:cs="Times New Roman"/>
        </w:rPr>
        <w:t xml:space="preserve"> and </w:t>
      </w:r>
      <w:r w:rsidRPr="00E72972">
        <w:rPr>
          <w:rFonts w:cs="Times New Roman"/>
          <w:i/>
        </w:rPr>
        <w:t>Penicillium</w:t>
      </w:r>
      <w:r w:rsidRPr="00E72972">
        <w:rPr>
          <w:rFonts w:cs="Times New Roman"/>
        </w:rPr>
        <w:t xml:space="preserve"> prominent among the recovered taxa (Chew et al. 2006; Rao et al. 2007). Invasive disease is the exception </w:t>
      </w:r>
      <w:r w:rsidRPr="00E72972">
        <w:rPr>
          <w:rFonts w:cs="Times New Roman"/>
        </w:rPr>
        <w:lastRenderedPageBreak/>
        <w:t>rather than the rule and concentrates in immunocompromised residents and in those with heavy remediation exposure; surveillance after Hurricane Harvey documented invasive mould infections in the affected population (Toda et al. 2023). Floodwater mixed with sewage additionally disperses organisms and resistance determinants across the built environment, a mechanism better characterized for bacteria than for fungi and worth systematic study.</w:t>
      </w:r>
    </w:p>
    <w:p w14:paraId="5E5506F0" w14:textId="77777777" w:rsidR="00231DA3" w:rsidRPr="00E72972" w:rsidRDefault="00CD24C1" w:rsidP="0015741A">
      <w:pPr>
        <w:pStyle w:val="Heading2"/>
        <w:rPr>
          <w:rFonts w:cs="Times New Roman"/>
        </w:rPr>
      </w:pPr>
      <w:r w:rsidRPr="00E72972">
        <w:rPr>
          <w:rFonts w:cs="Times New Roman"/>
        </w:rPr>
        <w:t>7.4 Fire: Pyroaerobiology</w:t>
      </w:r>
    </w:p>
    <w:p w14:paraId="7EF80CCF" w14:textId="77777777" w:rsidR="00231DA3" w:rsidRPr="00E72972" w:rsidRDefault="00CD24C1" w:rsidP="0015741A">
      <w:pPr>
        <w:rPr>
          <w:rFonts w:cs="Times New Roman"/>
        </w:rPr>
      </w:pPr>
      <w:r w:rsidRPr="00E72972">
        <w:rPr>
          <w:rFonts w:cs="Times New Roman"/>
        </w:rPr>
        <w:t>Wildfire smoke was long treated as a chemical and particulate hazard. It is also a biological one: smoke plumes carry viable microbial cells, including fungi, and wildland fire alters the composition and diversity of the atmospheric microbiome, with smoke acting as a transport medium rather than a sterilizing agent (Kobziar et al. 2022). Dispersal of microbes from smoke into soils downwind has since been demonstrated (Ellington et al. 2024). The clinical corollary — that wildfire could expand the range or e</w:t>
      </w:r>
      <w:r w:rsidRPr="00E72972">
        <w:rPr>
          <w:rFonts w:cs="Times New Roman"/>
        </w:rPr>
        <w:t xml:space="preserve">xposure burden of soil-dwelling dimorphic fungi such as </w:t>
      </w:r>
      <w:r w:rsidRPr="00E72972">
        <w:rPr>
          <w:rFonts w:cs="Times New Roman"/>
          <w:i/>
        </w:rPr>
        <w:t>Coccidioides</w:t>
      </w:r>
      <w:r w:rsidRPr="00E72972">
        <w:rPr>
          <w:rFonts w:cs="Times New Roman"/>
        </w:rPr>
        <w:t xml:space="preserve"> — is a plausible hypothesis with epidemiological support from soil-disturbance occupational outbreaks (Wilken et al. 2015; Cooksey et al. 2017), but direct evidence that fire-borne propagules cause human infection is not yet available. The field is young and, given the trajectory of fire regimes, likely to matter.</w:t>
      </w:r>
    </w:p>
    <w:p w14:paraId="0D10696C" w14:textId="77777777" w:rsidR="00231DA3" w:rsidRPr="00E72972" w:rsidRDefault="00CD24C1" w:rsidP="0015741A">
      <w:pPr>
        <w:pStyle w:val="Heading2"/>
        <w:rPr>
          <w:rFonts w:cs="Times New Roman"/>
        </w:rPr>
      </w:pPr>
      <w:r w:rsidRPr="00E72972">
        <w:rPr>
          <w:rFonts w:cs="Times New Roman"/>
        </w:rPr>
        <w:t>7.5 Earth and Ice: Seismic Events and Permafrost</w:t>
      </w:r>
    </w:p>
    <w:p w14:paraId="49A91067" w14:textId="77777777" w:rsidR="00231DA3" w:rsidRPr="00E72972" w:rsidRDefault="00CD24C1" w:rsidP="0015741A">
      <w:pPr>
        <w:rPr>
          <w:rFonts w:cs="Times New Roman"/>
        </w:rPr>
      </w:pPr>
      <w:r w:rsidRPr="00E72972">
        <w:rPr>
          <w:rFonts w:cs="Times New Roman"/>
        </w:rPr>
        <w:t>Earthquakes and tsunamis cause fungal disease through aspiration of contaminated water and direct wound inoculation, and case series after natural disasters document pulmonary and cutaneous mycoses including mucormycosis and aspergillosis (Benedict and Park 2014). Permafrost thaw has attracted attention as a potential reservoir of long-dormant organisms; the evidence base consists of revival of viable microorganisms and giant viruses from ancient permafrost, which establishes physical possibility without es</w:t>
      </w:r>
      <w:r w:rsidRPr="00E72972">
        <w:rPr>
          <w:rFonts w:cs="Times New Roman"/>
        </w:rPr>
        <w:t>tablishing epidemiological risk (Wu et al. 2022; Alempic et al. 2023). For fungi specifically the relevant risk is more likely ecological — cold-adapted taxa entering warming soils — than the emergence of an ancient human pathogen, and the chapter should say so rather than amplify a speculative narrative.</w:t>
      </w:r>
    </w:p>
    <w:p w14:paraId="75E713C9" w14:textId="77777777" w:rsidR="00231DA3" w:rsidRPr="00E72972" w:rsidRDefault="00CD24C1" w:rsidP="0015741A">
      <w:pPr>
        <w:pStyle w:val="Heading2"/>
        <w:rPr>
          <w:rFonts w:cs="Times New Roman"/>
        </w:rPr>
      </w:pPr>
      <w:r w:rsidRPr="00E72972">
        <w:rPr>
          <w:rFonts w:cs="Times New Roman"/>
        </w:rPr>
        <w:t>7.6 The Host Side of Disaster</w:t>
      </w:r>
    </w:p>
    <w:p w14:paraId="3CEEF417" w14:textId="77777777" w:rsidR="00231DA3" w:rsidRPr="00E72972" w:rsidRDefault="00CD24C1" w:rsidP="0015741A">
      <w:pPr>
        <w:rPr>
          <w:rFonts w:cs="Times New Roman"/>
        </w:rPr>
      </w:pPr>
      <w:r w:rsidRPr="00E72972">
        <w:rPr>
          <w:rFonts w:cs="Times New Roman"/>
        </w:rPr>
        <w:t>Disasters act at least as strongly on hosts as on fungi. Barrier disruption through trauma and burns, congregate sheltering, interruption of antifungal prophylaxis and immunosuppressive regimens, displacement, malnutrition and psychological stress all increase susceptibility. Climate exposures themselves have measurable effects on immune function, with evidence spanning innate and adaptive compartments, epithelial barrier integrity, oxidative stress and pro-inflammatory signalling (Imberti et al. 2025); war</w:t>
      </w:r>
      <w:r w:rsidRPr="00E72972">
        <w:rPr>
          <w:rFonts w:cs="Times New Roman"/>
        </w:rPr>
        <w:t>ming and pollution are independently implicated in epithelial barrier dysfunction in the airway and skin (Çelebi Sözener et al. 2023). Insect bites, which shift with warming-driven changes in arthropod distribution, are an underappreciated route of cutaneous inoculation of moulds in immunocompromised patients (Kontoyiannis et al. 2019), and the possibility that warming increases invertebrate-associated cutaneous invasive fungal infection has been raised explicitly (Kontoyiannis and Casadevall 2025). These h</w:t>
      </w:r>
      <w:r w:rsidRPr="00E72972">
        <w:rPr>
          <w:rFonts w:cs="Times New Roman"/>
        </w:rPr>
        <w:t>ost-side effects fall disproportionately on poor populations, in whom pre-existing immune compromise, occupational exposure and delayed care compound one another (Jenks et al. 2023).</w:t>
      </w:r>
    </w:p>
    <w:p w14:paraId="3616E9C0" w14:textId="77777777" w:rsidR="00231DA3" w:rsidRPr="00E72972" w:rsidRDefault="00CD24C1" w:rsidP="0015741A">
      <w:pPr>
        <w:pStyle w:val="Heading1"/>
        <w:rPr>
          <w:rFonts w:ascii="Times New Roman" w:hAnsi="Times New Roman" w:cs="Times New Roman"/>
        </w:rPr>
      </w:pPr>
      <w:r w:rsidRPr="00E72972">
        <w:rPr>
          <w:rFonts w:ascii="Times New Roman" w:hAnsi="Times New Roman" w:cs="Times New Roman"/>
        </w:rPr>
        <w:lastRenderedPageBreak/>
        <w:t>8 Ecosystem and One Health Dimensions</w:t>
      </w:r>
    </w:p>
    <w:p w14:paraId="28124AF6" w14:textId="77777777" w:rsidR="00231DA3" w:rsidRPr="00E72972" w:rsidRDefault="00CD24C1" w:rsidP="0015741A">
      <w:pPr>
        <w:pStyle w:val="Heading2"/>
        <w:rPr>
          <w:rFonts w:cs="Times New Roman"/>
        </w:rPr>
      </w:pPr>
      <w:r w:rsidRPr="00E72972">
        <w:rPr>
          <w:rFonts w:cs="Times New Roman"/>
        </w:rPr>
        <w:t>8.1 Plant Pathogens, Food Security and Mycotoxins</w:t>
      </w:r>
    </w:p>
    <w:p w14:paraId="60D27B88" w14:textId="77777777" w:rsidR="00231DA3" w:rsidRPr="00E72972" w:rsidRDefault="00CD24C1" w:rsidP="0015741A">
      <w:pPr>
        <w:rPr>
          <w:rFonts w:cs="Times New Roman"/>
        </w:rPr>
      </w:pPr>
      <w:r w:rsidRPr="00E72972">
        <w:rPr>
          <w:rFonts w:cs="Times New Roman"/>
        </w:rPr>
        <w:t>The climate signal in plant-pathogenic fungi is stronger and longer established than anything in medical mycology. Crop pests and pathogens have moved poleward at rates consistent with warming isotherms (Bebber et al. 2013); infection risk for major crop pathogens tracks yield-relevant climate variables globally (Chaloner et al. 2021); and the implications for food security, together with the adaptation options available, have been synthesized in detail (Singh et al. 2023).</w:t>
      </w:r>
    </w:p>
    <w:p w14:paraId="05DA0B25" w14:textId="77777777" w:rsidR="00231DA3" w:rsidRPr="00E72972" w:rsidRDefault="00CD24C1" w:rsidP="0015741A">
      <w:pPr>
        <w:rPr>
          <w:rFonts w:cs="Times New Roman"/>
        </w:rPr>
      </w:pPr>
      <w:r w:rsidRPr="00E72972">
        <w:rPr>
          <w:rFonts w:cs="Times New Roman"/>
        </w:rPr>
        <w:t>Mycotoxin risk is shifting with it. Modelling of aflatoxin B1 in European maize projects increases in contamination risk under warming scenarios, with the risk boundary moving northward (Battilani et al. 2016), and reviews of climate effects on mycotoxin-producing fungi and their toxin profiles reach concordant conclusions (Medina et al. 2017; Zingales et al. 2022; Casu et al. 2024). This matters for a chapter on adaptation because mycotoxin production is a stress-responsive secondary-metabolic trait: the s</w:t>
      </w:r>
      <w:r w:rsidRPr="00E72972">
        <w:rPr>
          <w:rFonts w:cs="Times New Roman"/>
        </w:rPr>
        <w:t>ame warming that shifts fungal geography also shifts what these fungi synthesize.</w:t>
      </w:r>
    </w:p>
    <w:p w14:paraId="18EA2BCA" w14:textId="77777777" w:rsidR="00231DA3" w:rsidRPr="00E72972" w:rsidRDefault="00CD24C1" w:rsidP="0015741A">
      <w:pPr>
        <w:pStyle w:val="Heading2"/>
        <w:rPr>
          <w:rFonts w:cs="Times New Roman"/>
        </w:rPr>
      </w:pPr>
      <w:r w:rsidRPr="00E72972">
        <w:rPr>
          <w:rFonts w:cs="Times New Roman"/>
        </w:rPr>
        <w:t>8.2 Wildlife Panzootics as Natural Thermal Experiments</w:t>
      </w:r>
    </w:p>
    <w:p w14:paraId="6A9E9156" w14:textId="77777777" w:rsidR="00231DA3" w:rsidRPr="00E72972" w:rsidRDefault="00CD24C1" w:rsidP="0015741A">
      <w:pPr>
        <w:rPr>
          <w:rFonts w:cs="Times New Roman"/>
        </w:rPr>
      </w:pPr>
      <w:r w:rsidRPr="00E72972">
        <w:rPr>
          <w:rFonts w:cs="Times New Roman"/>
        </w:rPr>
        <w:t xml:space="preserve">The clearest demonstrations that climate-associated fungal disease can cause mass mortality come from ectothermic and heterothermic animals, not humans. Chytridiomycosis caused by </w:t>
      </w:r>
      <w:r w:rsidRPr="00E72972">
        <w:rPr>
          <w:rFonts w:cs="Times New Roman"/>
          <w:i/>
        </w:rPr>
        <w:t>Batrachochytrium dendrobatidis</w:t>
      </w:r>
      <w:r w:rsidRPr="00E72972">
        <w:rPr>
          <w:rFonts w:cs="Times New Roman"/>
        </w:rPr>
        <w:t xml:space="preserve"> has driven the greatest documented loss of biodiversity attributable to a single pathogen, affecting hundreds of amphibian species (Scheele et al. 2019; Fisher and Garner 2020); its congener </w:t>
      </w:r>
      <w:r w:rsidRPr="00E72972">
        <w:rPr>
          <w:rFonts w:cs="Times New Roman"/>
          <w:i/>
        </w:rPr>
        <w:t>B. salamandrivorans</w:t>
      </w:r>
      <w:r w:rsidRPr="00E72972">
        <w:rPr>
          <w:rFonts w:cs="Times New Roman"/>
        </w:rPr>
        <w:t xml:space="preserve"> emerged subsequently as a lethal pathogen of salamanders (Martel et al. 2013). Thermal biology is central: </w:t>
      </w:r>
      <w:r w:rsidRPr="00E72972">
        <w:rPr>
          <w:rFonts w:cs="Times New Roman"/>
          <w:i/>
        </w:rPr>
        <w:t>B. dendrobatidis</w:t>
      </w:r>
      <w:r w:rsidRPr="00E72972">
        <w:rPr>
          <w:rFonts w:cs="Times New Roman"/>
        </w:rPr>
        <w:t xml:space="preserve"> grows optimally well below mammalian body temperature and its thermal performance varies among isolates (Stevenson et al. 2013), and climate and temperature variability have been linked to the pattern of amphibian declines (Rohr and Raffel 2010). White-nose syndrome, caused by the cold-adapted </w:t>
      </w:r>
      <w:r w:rsidRPr="00E72972">
        <w:rPr>
          <w:rFonts w:cs="Times New Roman"/>
          <w:i/>
        </w:rPr>
        <w:t>Pseudogymnoascus destructans</w:t>
      </w:r>
      <w:r w:rsidRPr="00E72972">
        <w:rPr>
          <w:rFonts w:cs="Times New Roman"/>
        </w:rPr>
        <w:t>, kills hibernating bats precisely because torpor lowers body temperature into the fungus's permissive range (Blehert et al. 2009).</w:t>
      </w:r>
    </w:p>
    <w:p w14:paraId="603A8FD8" w14:textId="77777777" w:rsidR="00231DA3" w:rsidRPr="00E72972" w:rsidRDefault="00CD24C1" w:rsidP="0015741A">
      <w:pPr>
        <w:rPr>
          <w:rFonts w:cs="Times New Roman"/>
        </w:rPr>
      </w:pPr>
      <w:r w:rsidRPr="00E72972">
        <w:rPr>
          <w:rFonts w:cs="Times New Roman"/>
        </w:rPr>
        <w:t xml:space="preserve">These systems support the chapter's central mechanistic claim from the opposite direction. Disease occurs where host and fungal thermal ranges </w:t>
      </w:r>
      <w:r w:rsidRPr="00E72972">
        <w:rPr>
          <w:rFonts w:cs="Times New Roman"/>
          <w:i/>
        </w:rPr>
        <w:t>overlap</w:t>
      </w:r>
      <w:r w:rsidRPr="00E72972">
        <w:rPr>
          <w:rFonts w:cs="Times New Roman"/>
        </w:rPr>
        <w:t>; the mammalian thermal barrier is not a metaphor but a quantitative constraint, and raising host temperature above the pathogen's ceiling is protective while lowering it is catastrophic. They also illustrate that the fungal threats warming has already realized are ecological rather than clinical (Fisher et al. 2012; Case et al. 2025).</w:t>
      </w:r>
    </w:p>
    <w:p w14:paraId="41AD381F" w14:textId="77777777" w:rsidR="00231DA3" w:rsidRPr="00E72972" w:rsidRDefault="00CD24C1" w:rsidP="0015741A">
      <w:pPr>
        <w:pStyle w:val="Heading2"/>
        <w:rPr>
          <w:rFonts w:cs="Times New Roman"/>
        </w:rPr>
      </w:pPr>
      <w:r w:rsidRPr="00E72972">
        <w:rPr>
          <w:rFonts w:cs="Times New Roman"/>
        </w:rPr>
        <w:t>8.3 Fungi as Mitigators: The Other Side of the Ledger</w:t>
      </w:r>
    </w:p>
    <w:p w14:paraId="2D4ED142" w14:textId="77777777" w:rsidR="00231DA3" w:rsidRPr="00E72972" w:rsidRDefault="00CD24C1" w:rsidP="0015741A">
      <w:pPr>
        <w:rPr>
          <w:rFonts w:cs="Times New Roman"/>
        </w:rPr>
      </w:pPr>
      <w:r w:rsidRPr="00E72972">
        <w:rPr>
          <w:rFonts w:cs="Times New Roman"/>
        </w:rPr>
        <w:t xml:space="preserve">A chapter that treats fungi only as hazards would misrepresent the kingdom. Fungal catabolic versatility underpins bioremediation of hydrocarbons, pesticides, dyes and other hazardous chemicals (Harms et al. 2011), and fungal degradation of recalcitrant synthetic polymers — including polyester–polyurethane by </w:t>
      </w:r>
      <w:r w:rsidRPr="00E72972">
        <w:rPr>
          <w:rFonts w:cs="Times New Roman"/>
          <w:i/>
        </w:rPr>
        <w:t>Aspergillus tubingensis</w:t>
      </w:r>
      <w:r w:rsidRPr="00E72972">
        <w:rPr>
          <w:rFonts w:cs="Times New Roman"/>
        </w:rPr>
        <w:t xml:space="preserve"> — is an active applied field (Khan et al. 2017). At ecosystem scale, mycorrhizal networks constitute one of the largest annual terrestrial carbon fluxes (Hawkins et al. 2023), and fungal contributions to Earth-system processes are now argued to warrant explicit representation in global change science (Case et al. 2025). Fungal adaptation to a warming planet is therefore not only a threat model; it is also a determinant of whether terrestrial carbon sinks persist.</w:t>
      </w:r>
    </w:p>
    <w:p w14:paraId="43BE9C34" w14:textId="77777777" w:rsidR="00231DA3" w:rsidRPr="00E72972" w:rsidRDefault="00CD24C1" w:rsidP="0015741A">
      <w:pPr>
        <w:pStyle w:val="Heading1"/>
        <w:rPr>
          <w:rFonts w:ascii="Times New Roman" w:hAnsi="Times New Roman" w:cs="Times New Roman"/>
        </w:rPr>
      </w:pPr>
      <w:r w:rsidRPr="00E72972">
        <w:rPr>
          <w:rFonts w:ascii="Times New Roman" w:hAnsi="Times New Roman" w:cs="Times New Roman"/>
        </w:rPr>
        <w:lastRenderedPageBreak/>
        <w:t>9 Is a Human Fungal Pandemic Plausible?</w:t>
      </w:r>
    </w:p>
    <w:p w14:paraId="027B5ED2" w14:textId="77777777" w:rsidR="00231DA3" w:rsidRPr="00E72972" w:rsidRDefault="00CD24C1" w:rsidP="0015741A">
      <w:pPr>
        <w:pStyle w:val="Heading2"/>
        <w:rPr>
          <w:rFonts w:cs="Times New Roman"/>
        </w:rPr>
      </w:pPr>
      <w:r w:rsidRPr="00E72972">
        <w:rPr>
          <w:rFonts w:cs="Times New Roman"/>
        </w:rPr>
        <w:t>9.1 The Two Positions</w:t>
      </w:r>
    </w:p>
    <w:p w14:paraId="51F14F4B" w14:textId="77777777" w:rsidR="00231DA3" w:rsidRPr="00E72972" w:rsidRDefault="00CD24C1" w:rsidP="0015741A">
      <w:pPr>
        <w:rPr>
          <w:rFonts w:cs="Times New Roman"/>
        </w:rPr>
      </w:pPr>
      <w:r w:rsidRPr="00E72972">
        <w:rPr>
          <w:rFonts w:cs="Times New Roman"/>
        </w:rPr>
        <w:t>The popular imagination has been captured by the premise of a thermally adapted fungus turning epidemic in humans — a premise drawn from entomopathogenic fungi that manipulate insect behaviour (Hughes et al. 2011) and elaborated in fiction. The scientific version of the argument is more modest: warming increases the number of thermotolerant fungal species, urban warming accelerates fungal growth, the thermal gradient between mammals and environmental fungi is narrowing from both ends, and the overwhelming m</w:t>
      </w:r>
      <w:r w:rsidRPr="00E72972">
        <w:rPr>
          <w:rFonts w:cs="Times New Roman"/>
        </w:rPr>
        <w:t>ajority of fungal species remain uncharacterized (García-Solache and Casadevall 2010; Casadevall 2020; Nnadi and Carter 2021). Against it: the thermal exclusion gradient remains wide (Sect. 2.2); thermal adaptation in natural populations is slow relative to the timescale of concern; the assembly of pathogenicity requires multiple traits beyond thermotolerance (Rokas 2022); and fungal host tropism is typically narrow, with no precedent for a host jump of the required magnitude.</w:t>
      </w:r>
    </w:p>
    <w:p w14:paraId="317BC225" w14:textId="77777777" w:rsidR="00231DA3" w:rsidRPr="00E72972" w:rsidRDefault="00CD24C1" w:rsidP="0015741A">
      <w:pPr>
        <w:pStyle w:val="Heading2"/>
        <w:rPr>
          <w:rFonts w:cs="Times New Roman"/>
        </w:rPr>
      </w:pPr>
      <w:r w:rsidRPr="00E72972">
        <w:rPr>
          <w:rFonts w:cs="Times New Roman"/>
        </w:rPr>
        <w:t>9.2 What Would Have to Be True</w:t>
      </w:r>
    </w:p>
    <w:p w14:paraId="73D3E45F" w14:textId="77777777" w:rsidR="00231DA3" w:rsidRPr="00E72972" w:rsidRDefault="00CD24C1" w:rsidP="0015741A">
      <w:pPr>
        <w:rPr>
          <w:rFonts w:cs="Times New Roman"/>
        </w:rPr>
      </w:pPr>
      <w:r w:rsidRPr="00E72972">
        <w:rPr>
          <w:rFonts w:cs="Times New Roman"/>
        </w:rPr>
        <w:t xml:space="preserve">Rather than adjudicate, we propose criteria. A fungal lineage capable of pandemic behaviour in humans would need to demonstrate, jointly: (i) </w:t>
      </w:r>
      <w:r w:rsidRPr="00E72972">
        <w:rPr>
          <w:rFonts w:cs="Times New Roman"/>
          <w:i/>
        </w:rPr>
        <w:t>heritable</w:t>
      </w:r>
      <w:r w:rsidRPr="00E72972">
        <w:rPr>
          <w:rFonts w:cs="Times New Roman"/>
        </w:rPr>
        <w:t xml:space="preserve"> growth and replication at 36–37 °C, not merely survival; (ii) evasion of innate immune effectors in immunocompetent hosts, not only in neutropenic or transplant populations; (iii) an efficient route of human-to-human transmission, or an environmental exposure route of very high density; (iv) a reservoir in which selection is sustained between outbreaks; and (v) sufficient genetic variability to escape the small number of available antifungal classes.</w:t>
      </w:r>
    </w:p>
    <w:p w14:paraId="22ED1609" w14:textId="77777777" w:rsidR="00231DA3" w:rsidRPr="00E72972" w:rsidRDefault="00CD24C1" w:rsidP="0015741A">
      <w:pPr>
        <w:rPr>
          <w:rFonts w:cs="Times New Roman"/>
        </w:rPr>
      </w:pPr>
      <w:r w:rsidRPr="00E72972">
        <w:rPr>
          <w:rFonts w:cs="Times New Roman"/>
        </w:rPr>
        <w:t xml:space="preserve">Assessed against these criteria, </w:t>
      </w:r>
      <w:r w:rsidRPr="00E72972">
        <w:rPr>
          <w:rFonts w:cs="Times New Roman"/>
          <w:i/>
        </w:rPr>
        <w:t>C. auris</w:t>
      </w:r>
      <w:r w:rsidRPr="00E72972">
        <w:rPr>
          <w:rFonts w:cs="Times New Roman"/>
        </w:rPr>
        <w:t xml:space="preserve"> is instructive: it satisfies (i), (iv) and (v), partially satisfies (iii) through healthcare-associated transmission, and fails (ii), since disease remains concentrated in patients with substantial comorbidity. Crucially, </w:t>
      </w:r>
      <w:r w:rsidRPr="00E72972">
        <w:rPr>
          <w:rFonts w:cs="Times New Roman"/>
          <w:i/>
        </w:rPr>
        <w:t>C. auris</w:t>
      </w:r>
      <w:r w:rsidRPr="00E72972">
        <w:rPr>
          <w:rFonts w:cs="Times New Roman"/>
        </w:rPr>
        <w:t xml:space="preserve"> did not need to acquire thermotolerance — it appears already to have possessed it (Casadevall et al. 2019; Arora et al. 2021). The organism that comes closest to pandemic criteria therefore does so by a route that has little to do with warming.</w:t>
      </w:r>
    </w:p>
    <w:p w14:paraId="7C73251E" w14:textId="77777777" w:rsidR="00231DA3" w:rsidRPr="00E72972" w:rsidRDefault="00CD24C1" w:rsidP="0015741A">
      <w:pPr>
        <w:pStyle w:val="Heading2"/>
        <w:rPr>
          <w:rFonts w:cs="Times New Roman"/>
        </w:rPr>
      </w:pPr>
      <w:r w:rsidRPr="00E72972">
        <w:rPr>
          <w:rFonts w:cs="Times New Roman"/>
        </w:rPr>
        <w:t>9.3 Surveillance Signals Worth Monitoring</w:t>
      </w:r>
    </w:p>
    <w:p w14:paraId="6863E589" w14:textId="77777777" w:rsidR="00231DA3" w:rsidRPr="00E72972" w:rsidRDefault="00CD24C1" w:rsidP="0015741A">
      <w:pPr>
        <w:rPr>
          <w:rFonts w:cs="Times New Roman"/>
        </w:rPr>
      </w:pPr>
      <w:r w:rsidRPr="00E72972">
        <w:rPr>
          <w:rFonts w:cs="Times New Roman"/>
        </w:rPr>
        <w:t>The criteria above imply specific, monitorable indicators: environmental isolation of thermotolerant opportunists from habitats where they were previously absent; within-host emergence of resistance during therapy in genera not previously known for it; clusters of invasive disease in immunocompetent hosts; antifungal resistance appearing in environmental isolates ahead of clinical ones (van Rhijn and Rhodes 2025; Bédard et al. 2025); and post-disaster infection clusters with unusual organisms. None of these</w:t>
      </w:r>
      <w:r w:rsidRPr="00E72972">
        <w:rPr>
          <w:rFonts w:cs="Times New Roman"/>
        </w:rPr>
        <w:t xml:space="preserve"> requires new technology — only the will to look systematically.</w:t>
      </w:r>
    </w:p>
    <w:p w14:paraId="5B699980" w14:textId="77777777" w:rsidR="00231DA3" w:rsidRPr="00E72972" w:rsidRDefault="00CD24C1" w:rsidP="0015741A">
      <w:pPr>
        <w:pStyle w:val="Heading1"/>
        <w:rPr>
          <w:rFonts w:ascii="Times New Roman" w:hAnsi="Times New Roman" w:cs="Times New Roman"/>
        </w:rPr>
      </w:pPr>
      <w:r w:rsidRPr="00E72972">
        <w:rPr>
          <w:rFonts w:ascii="Times New Roman" w:hAnsi="Times New Roman" w:cs="Times New Roman"/>
        </w:rPr>
        <w:t>10 A Research and Response Agenda</w:t>
      </w:r>
    </w:p>
    <w:p w14:paraId="7D32B071" w14:textId="77777777" w:rsidR="00231DA3" w:rsidRPr="00E72972" w:rsidRDefault="00CD24C1" w:rsidP="0015741A">
      <w:pPr>
        <w:pStyle w:val="Heading2"/>
        <w:rPr>
          <w:rFonts w:cs="Times New Roman"/>
        </w:rPr>
      </w:pPr>
      <w:r w:rsidRPr="00E72972">
        <w:rPr>
          <w:rFonts w:cs="Times New Roman"/>
        </w:rPr>
        <w:t>10.1 Experimental Systems</w:t>
      </w:r>
    </w:p>
    <w:p w14:paraId="1CA7E34D" w14:textId="77777777" w:rsidR="00231DA3" w:rsidRPr="00E72972" w:rsidRDefault="00CD24C1" w:rsidP="0015741A">
      <w:pPr>
        <w:rPr>
          <w:rFonts w:cs="Times New Roman"/>
        </w:rPr>
      </w:pPr>
      <w:r w:rsidRPr="00E72972">
        <w:rPr>
          <w:rFonts w:cs="Times New Roman"/>
        </w:rPr>
        <w:t xml:space="preserve">Progress in this field is limited by model systems more than by ideas. Invertebrate mini-host models, in particular </w:t>
      </w:r>
      <w:r w:rsidRPr="00E72972">
        <w:rPr>
          <w:rFonts w:cs="Times New Roman"/>
          <w:i/>
        </w:rPr>
        <w:t>Drosophila melanogaster</w:t>
      </w:r>
      <w:r w:rsidRPr="00E72972">
        <w:rPr>
          <w:rFonts w:cs="Times New Roman"/>
        </w:rPr>
        <w:t xml:space="preserve">, allow throughput-scale virulence comparison across many isolates and temperatures and have been validated for the study of medically important fungi, including Mucorales (Chamilos et al. 2006, 2008). Their central advantage for climate work is poikilothermy: host temperature becomes an independent experimental variable rather than a fixed constant, which no mammalian model </w:t>
      </w:r>
      <w:r w:rsidRPr="00E72972">
        <w:rPr>
          <w:rFonts w:cs="Times New Roman"/>
        </w:rPr>
        <w:lastRenderedPageBreak/>
        <w:t xml:space="preserve">permits. A design of this kind — several </w:t>
      </w:r>
      <w:r w:rsidRPr="00E72972">
        <w:rPr>
          <w:rFonts w:cs="Times New Roman"/>
          <w:i/>
        </w:rPr>
        <w:t>T. indotineae</w:t>
      </w:r>
      <w:r w:rsidRPr="00E72972">
        <w:rPr>
          <w:rFonts w:cs="Times New Roman"/>
        </w:rPr>
        <w:t xml:space="preserve"> isolates grown at 37 °C and 42 °C, with and without topical corticosteroid exposure, compared against </w:t>
      </w:r>
      <w:r w:rsidRPr="00E72972">
        <w:rPr>
          <w:rFonts w:cs="Times New Roman"/>
          <w:i/>
        </w:rPr>
        <w:t>T. rubrum</w:t>
      </w:r>
      <w:r w:rsidRPr="00E72972">
        <w:rPr>
          <w:rFonts w:cs="Times New Roman"/>
        </w:rPr>
        <w:t xml:space="preserve"> and </w:t>
      </w:r>
      <w:r w:rsidRPr="00E72972">
        <w:rPr>
          <w:rFonts w:cs="Times New Roman"/>
          <w:i/>
        </w:rPr>
        <w:t>Rhizopus</w:t>
      </w:r>
      <w:r w:rsidRPr="00E72972">
        <w:rPr>
          <w:rFonts w:cs="Times New Roman"/>
        </w:rPr>
        <w:t xml:space="preserve"> controls in a thoracic-pricking fly model — would test strain-to-strain variability in thermal virulence enhancement in a dermatophyte, which to our knowledge has not been done.</w:t>
      </w:r>
    </w:p>
    <w:p w14:paraId="6FC7CB60" w14:textId="77777777" w:rsidR="00231DA3" w:rsidRPr="00E72972" w:rsidRDefault="00CD24C1" w:rsidP="0015741A">
      <w:pPr>
        <w:rPr>
          <w:rFonts w:cs="Times New Roman"/>
        </w:rPr>
      </w:pPr>
      <w:r w:rsidRPr="00E72972">
        <w:rPr>
          <w:rFonts w:cs="Times New Roman"/>
        </w:rPr>
        <w:t>For cutaneous pathogens, three-dimensional human tissue systems are the necessary complement: reconstructed human epidermis, skin organoids and porcine or human skin explants each permit infection at physiological skin surface temperature (roughly 32–34 °C) rather than core temperature, which is the thermal niche that actually matters for dermatophytes. For adaptation itself, serial passage or continuous culture under controlled thermal regimes remains the decisive approach, with directed evolution of therm</w:t>
      </w:r>
      <w:r w:rsidRPr="00E72972">
        <w:rPr>
          <w:rFonts w:cs="Times New Roman"/>
        </w:rPr>
        <w:t>otolerance in filamentous fungi as proof of principle (de Crécy et al. 2009), and with founder archiving and common-garden re-phenotyping built into the design (Table 2).</w:t>
      </w:r>
    </w:p>
    <w:p w14:paraId="5ED209E0" w14:textId="77777777" w:rsidR="00231DA3" w:rsidRPr="00E72972" w:rsidRDefault="00CD24C1" w:rsidP="0015741A">
      <w:pPr>
        <w:pStyle w:val="Heading2"/>
        <w:rPr>
          <w:rFonts w:cs="Times New Roman"/>
        </w:rPr>
      </w:pPr>
      <w:r w:rsidRPr="00E72972">
        <w:rPr>
          <w:rFonts w:cs="Times New Roman"/>
        </w:rPr>
        <w:t>10.2 Integrating Climate Data with Genomic Surveillance</w:t>
      </w:r>
    </w:p>
    <w:p w14:paraId="3AD1B4B6" w14:textId="77777777" w:rsidR="00231DA3" w:rsidRPr="00E72972" w:rsidRDefault="00CD24C1" w:rsidP="0015741A">
      <w:pPr>
        <w:rPr>
          <w:rFonts w:cs="Times New Roman"/>
        </w:rPr>
      </w:pPr>
      <w:r w:rsidRPr="00E72972">
        <w:rPr>
          <w:rFonts w:cs="Times New Roman"/>
        </w:rPr>
        <w:t>The methodological gap identified in Section 4.6 is addressable. What is needed is environmental rather than clinical sampling, structured along climatic gradients (latitudinal, urban–rural, or before-and-after disturbance), with isolates archived, sequenced and phenotyped under common-garden conditions, and with competing drivers — antifungal and fungicide exposure, land use, host density, surveillance intensity — measured rather than assumed. Essential climate variable products provide the covariates at u</w:t>
      </w:r>
      <w:r w:rsidRPr="00E72972">
        <w:rPr>
          <w:rFonts w:cs="Times New Roman"/>
        </w:rPr>
        <w:t xml:space="preserve">sable resolution. The paired-neighbourhood urban heat island design (Smith et al. 2025) is the smallest version of this study; the largest would be a multi-country environmental </w:t>
      </w:r>
      <w:r w:rsidRPr="00E72972">
        <w:rPr>
          <w:rFonts w:cs="Times New Roman"/>
          <w:i/>
        </w:rPr>
        <w:t>C. auris</w:t>
      </w:r>
      <w:r w:rsidRPr="00E72972">
        <w:rPr>
          <w:rFonts w:cs="Times New Roman"/>
        </w:rPr>
        <w:t xml:space="preserve"> survey testing the wetland hypothesis directly.</w:t>
      </w:r>
    </w:p>
    <w:p w14:paraId="1A0E77E5" w14:textId="77777777" w:rsidR="00231DA3" w:rsidRPr="00E72972" w:rsidRDefault="00CD24C1" w:rsidP="0015741A">
      <w:pPr>
        <w:pStyle w:val="Heading2"/>
        <w:rPr>
          <w:rFonts w:cs="Times New Roman"/>
        </w:rPr>
      </w:pPr>
      <w:r w:rsidRPr="00E72972">
        <w:rPr>
          <w:rFonts w:cs="Times New Roman"/>
        </w:rPr>
        <w:t>10.3 Multidisciplinary and Policy Infrastructure</w:t>
      </w:r>
    </w:p>
    <w:p w14:paraId="381A547F" w14:textId="77777777" w:rsidR="00231DA3" w:rsidRPr="00E72972" w:rsidRDefault="00CD24C1" w:rsidP="0015741A">
      <w:pPr>
        <w:rPr>
          <w:rFonts w:cs="Times New Roman"/>
        </w:rPr>
      </w:pPr>
      <w:r w:rsidRPr="00E72972">
        <w:rPr>
          <w:rFonts w:cs="Times New Roman"/>
        </w:rPr>
        <w:t xml:space="preserve">The questions raised here cannot be answered within mycology alone. They require climatology and remote sensing for exposure modelling, engineering and building science for post-disaster remediation, veterinary and wildlife science for reservoir work, social science and health economics for the susceptibility gradient, and public health policy for surveillance mandates. Fungal disease remains largely absent from national climate–health adaptation planning despite the WHO priority pathogen framework (Fisher </w:t>
      </w:r>
      <w:r w:rsidRPr="00E72972">
        <w:rPr>
          <w:rFonts w:cs="Times New Roman"/>
        </w:rPr>
        <w:t>and Denning 2023), and antifungal resistance sits awkwardly outside much of the antimicrobial-resistance policy architecture (Fisher et al. 2022; Kalanxhi and Laxminarayan 2026). Two concrete asks follow: inclusion of invasive fungal disease in climate–health surveillance, and environmental antifungal-resistance monitoring alongside agricultural fungicide reporting. Public and professional education is the third, and the least expensive.</w:t>
      </w:r>
    </w:p>
    <w:p w14:paraId="652870D7" w14:textId="77777777" w:rsidR="00231DA3" w:rsidRPr="00E72972" w:rsidRDefault="00CD24C1" w:rsidP="0015741A">
      <w:pPr>
        <w:pStyle w:val="Heading2"/>
        <w:rPr>
          <w:rFonts w:cs="Times New Roman"/>
        </w:rPr>
      </w:pPr>
      <w:r w:rsidRPr="00E72972">
        <w:rPr>
          <w:rFonts w:cs="Times New Roman"/>
        </w:rPr>
        <w:t>10.4 Ten Priority Questions</w:t>
      </w:r>
    </w:p>
    <w:p w14:paraId="5B7DC6BD" w14:textId="77777777" w:rsidR="00231DA3" w:rsidRPr="00E72972" w:rsidRDefault="00CD24C1" w:rsidP="00021CDA">
      <w:pPr>
        <w:pStyle w:val="ListNumber"/>
        <w:numPr>
          <w:ilvl w:val="0"/>
          <w:numId w:val="10"/>
        </w:numPr>
        <w:spacing w:after="0"/>
        <w:ind w:left="540" w:hanging="540"/>
        <w:rPr>
          <w:rFonts w:cs="Times New Roman"/>
        </w:rPr>
      </w:pPr>
      <w:r w:rsidRPr="00E72972">
        <w:rPr>
          <w:rFonts w:cs="Times New Roman"/>
        </w:rPr>
        <w:t>How do interactions with plants, bacteria and amoebae in the environment shape fungal virulence</w:t>
      </w:r>
    </w:p>
    <w:p w14:paraId="033E2A50" w14:textId="77777777" w:rsidR="00231DA3" w:rsidRPr="00021CDA" w:rsidRDefault="00CD24C1" w:rsidP="00021CDA">
      <w:pPr>
        <w:pStyle w:val="ListParagraph"/>
        <w:numPr>
          <w:ilvl w:val="0"/>
          <w:numId w:val="10"/>
        </w:numPr>
        <w:spacing w:after="0"/>
        <w:ind w:left="540" w:hanging="540"/>
        <w:rPr>
          <w:rFonts w:cs="Times New Roman"/>
        </w:rPr>
      </w:pPr>
      <w:r w:rsidRPr="00021CDA">
        <w:rPr>
          <w:rFonts w:cs="Times New Roman"/>
        </w:rPr>
        <w:t>and resistance traits that later manifest in mammalian hosts?</w:t>
      </w:r>
    </w:p>
    <w:p w14:paraId="02E9F6E3" w14:textId="77777777" w:rsidR="00231DA3" w:rsidRPr="00E72972" w:rsidRDefault="00CD24C1" w:rsidP="00021CDA">
      <w:pPr>
        <w:pStyle w:val="ListNumber"/>
        <w:numPr>
          <w:ilvl w:val="0"/>
          <w:numId w:val="10"/>
        </w:numPr>
        <w:spacing w:after="0"/>
        <w:ind w:left="540" w:hanging="540"/>
        <w:rPr>
          <w:rFonts w:cs="Times New Roman"/>
        </w:rPr>
      </w:pPr>
      <w:r w:rsidRPr="00E72972">
        <w:rPr>
          <w:rFonts w:cs="Times New Roman"/>
        </w:rPr>
        <w:t>What is the eco-evolutionary framework for fungal thermal adaptation, and which variables besides</w:t>
      </w:r>
    </w:p>
    <w:p w14:paraId="64B1224E" w14:textId="77777777" w:rsidR="00231DA3" w:rsidRPr="00021CDA" w:rsidRDefault="00CD24C1" w:rsidP="00021CDA">
      <w:pPr>
        <w:pStyle w:val="ListParagraph"/>
        <w:numPr>
          <w:ilvl w:val="0"/>
          <w:numId w:val="10"/>
        </w:numPr>
        <w:spacing w:after="0"/>
        <w:ind w:left="540" w:hanging="540"/>
        <w:rPr>
          <w:rFonts w:cs="Times New Roman"/>
        </w:rPr>
      </w:pPr>
      <w:r w:rsidRPr="00021CDA">
        <w:rPr>
          <w:rFonts w:cs="Times New Roman"/>
        </w:rPr>
        <w:t>mean temperature — precipitation, diurnal and seasonal thermal variance, light regime, pollution, urbanization — modulate it?</w:t>
      </w:r>
    </w:p>
    <w:p w14:paraId="7A7DF1E1" w14:textId="77777777" w:rsidR="00231DA3" w:rsidRPr="00E72972" w:rsidRDefault="00CD24C1" w:rsidP="00021CDA">
      <w:pPr>
        <w:pStyle w:val="ListNumber"/>
        <w:numPr>
          <w:ilvl w:val="0"/>
          <w:numId w:val="10"/>
        </w:numPr>
        <w:spacing w:after="0"/>
        <w:ind w:left="540" w:hanging="540"/>
        <w:rPr>
          <w:rFonts w:cs="Times New Roman"/>
        </w:rPr>
      </w:pPr>
      <w:r w:rsidRPr="00E72972">
        <w:rPr>
          <w:rFonts w:cs="Times New Roman"/>
        </w:rPr>
        <w:t>Is climate-associated adaptation in fungal pathogens driven by genetic microevolution and</w:t>
      </w:r>
    </w:p>
    <w:p w14:paraId="4CB53E59" w14:textId="77777777" w:rsidR="00231DA3" w:rsidRPr="00021CDA" w:rsidRDefault="00CD24C1" w:rsidP="00021CDA">
      <w:pPr>
        <w:pStyle w:val="ListParagraph"/>
        <w:numPr>
          <w:ilvl w:val="0"/>
          <w:numId w:val="10"/>
        </w:numPr>
        <w:spacing w:after="0"/>
        <w:ind w:left="540" w:hanging="540"/>
        <w:rPr>
          <w:rFonts w:cs="Times New Roman"/>
        </w:rPr>
      </w:pPr>
      <w:r w:rsidRPr="00021CDA">
        <w:rPr>
          <w:rFonts w:cs="Times New Roman"/>
        </w:rPr>
        <w:t>selection, by reversible plasticity, or by epigenetic mechanisms such as epimutation?</w:t>
      </w:r>
    </w:p>
    <w:p w14:paraId="6025AEAD" w14:textId="77777777" w:rsidR="00231DA3" w:rsidRPr="00E72972" w:rsidRDefault="00CD24C1" w:rsidP="00021CDA">
      <w:pPr>
        <w:pStyle w:val="ListNumber"/>
        <w:numPr>
          <w:ilvl w:val="0"/>
          <w:numId w:val="10"/>
        </w:numPr>
        <w:spacing w:after="0"/>
        <w:ind w:left="540" w:hanging="540"/>
        <w:rPr>
          <w:rFonts w:cs="Times New Roman"/>
        </w:rPr>
      </w:pPr>
      <w:r w:rsidRPr="00E72972">
        <w:rPr>
          <w:rFonts w:cs="Times New Roman"/>
        </w:rPr>
        <w:t>Can thermal stress, as distinct from drug exposure, induce epimutation?</w:t>
      </w:r>
    </w:p>
    <w:p w14:paraId="20AB1497" w14:textId="77777777" w:rsidR="00231DA3" w:rsidRPr="00E72972" w:rsidRDefault="00CD24C1" w:rsidP="00021CDA">
      <w:pPr>
        <w:pStyle w:val="ListNumber"/>
        <w:numPr>
          <w:ilvl w:val="0"/>
          <w:numId w:val="10"/>
        </w:numPr>
        <w:spacing w:after="0"/>
        <w:ind w:left="540" w:hanging="540"/>
        <w:rPr>
          <w:rFonts w:cs="Times New Roman"/>
        </w:rPr>
      </w:pPr>
      <w:r w:rsidRPr="00E72972">
        <w:rPr>
          <w:rFonts w:cs="Times New Roman"/>
        </w:rPr>
        <w:t>Does growth on microplastic substrates alter fungal growth, morphogenesis, stress tolerance,</w:t>
      </w:r>
    </w:p>
    <w:p w14:paraId="5E41B45A" w14:textId="77777777" w:rsidR="00231DA3" w:rsidRPr="00021CDA" w:rsidRDefault="00CD24C1" w:rsidP="00021CDA">
      <w:pPr>
        <w:pStyle w:val="ListParagraph"/>
        <w:numPr>
          <w:ilvl w:val="0"/>
          <w:numId w:val="10"/>
        </w:numPr>
        <w:spacing w:after="0"/>
        <w:ind w:left="540" w:hanging="540"/>
        <w:rPr>
          <w:rFonts w:cs="Times New Roman"/>
        </w:rPr>
      </w:pPr>
      <w:r w:rsidRPr="00021CDA">
        <w:rPr>
          <w:rFonts w:cs="Times New Roman"/>
        </w:rPr>
        <w:lastRenderedPageBreak/>
        <w:t>antifungal susceptibility, phagocyte interaction and virulence?</w:t>
      </w:r>
    </w:p>
    <w:p w14:paraId="19B0D62F" w14:textId="77777777" w:rsidR="00231DA3" w:rsidRPr="00E72972" w:rsidRDefault="00CD24C1" w:rsidP="00021CDA">
      <w:pPr>
        <w:pStyle w:val="ListNumber"/>
        <w:numPr>
          <w:ilvl w:val="0"/>
          <w:numId w:val="10"/>
        </w:numPr>
        <w:spacing w:after="0"/>
        <w:ind w:left="540" w:hanging="540"/>
        <w:rPr>
          <w:rFonts w:cs="Times New Roman"/>
        </w:rPr>
      </w:pPr>
      <w:r w:rsidRPr="00E72972">
        <w:rPr>
          <w:rFonts w:cs="Times New Roman"/>
        </w:rPr>
        <w:t>Do post-disaster clinical isolates display the transient hypervirulent phenotype predicted by</w:t>
      </w:r>
    </w:p>
    <w:p w14:paraId="30159BB9" w14:textId="77777777" w:rsidR="00231DA3" w:rsidRPr="00021CDA" w:rsidRDefault="00CD24C1" w:rsidP="00021CDA">
      <w:pPr>
        <w:pStyle w:val="ListParagraph"/>
        <w:numPr>
          <w:ilvl w:val="0"/>
          <w:numId w:val="10"/>
        </w:numPr>
        <w:spacing w:after="0"/>
        <w:ind w:left="540" w:hanging="540"/>
        <w:rPr>
          <w:rFonts w:cs="Times New Roman"/>
        </w:rPr>
      </w:pPr>
      <w:r w:rsidRPr="00021CDA">
        <w:rPr>
          <w:rFonts w:cs="Times New Roman"/>
        </w:rPr>
        <w:t>shear-stress experiments, and how quickly does it decay in culture?</w:t>
      </w:r>
    </w:p>
    <w:p w14:paraId="4803C918" w14:textId="77777777" w:rsidR="00231DA3" w:rsidRPr="00E72972" w:rsidRDefault="00CD24C1" w:rsidP="00021CDA">
      <w:pPr>
        <w:pStyle w:val="ListNumber"/>
        <w:numPr>
          <w:ilvl w:val="0"/>
          <w:numId w:val="10"/>
        </w:numPr>
        <w:spacing w:after="0"/>
        <w:ind w:left="540" w:hanging="540"/>
        <w:rPr>
          <w:rFonts w:cs="Times New Roman"/>
        </w:rPr>
      </w:pPr>
      <w:r w:rsidRPr="00E72972">
        <w:rPr>
          <w:rFonts w:cs="Times New Roman"/>
        </w:rPr>
        <w:t>Which fungal pathogens are climate-insensitive, and what does their insensitivity teach us about</w:t>
      </w:r>
    </w:p>
    <w:p w14:paraId="54468319" w14:textId="77777777" w:rsidR="00231DA3" w:rsidRPr="00021CDA" w:rsidRDefault="00CD24C1" w:rsidP="00021CDA">
      <w:pPr>
        <w:pStyle w:val="ListParagraph"/>
        <w:numPr>
          <w:ilvl w:val="0"/>
          <w:numId w:val="10"/>
        </w:numPr>
        <w:spacing w:after="0"/>
        <w:ind w:left="540" w:hanging="540"/>
        <w:rPr>
          <w:rFonts w:cs="Times New Roman"/>
        </w:rPr>
      </w:pPr>
      <w:r w:rsidRPr="00021CDA">
        <w:rPr>
          <w:rFonts w:cs="Times New Roman"/>
        </w:rPr>
        <w:t>the mechanisms operating in the sensitive ones?</w:t>
      </w:r>
    </w:p>
    <w:p w14:paraId="302026B5" w14:textId="77777777" w:rsidR="00231DA3" w:rsidRPr="00E72972" w:rsidRDefault="00CD24C1" w:rsidP="00021CDA">
      <w:pPr>
        <w:pStyle w:val="ListNumber"/>
        <w:numPr>
          <w:ilvl w:val="0"/>
          <w:numId w:val="10"/>
        </w:numPr>
        <w:spacing w:after="0"/>
        <w:ind w:left="540" w:hanging="540"/>
        <w:rPr>
          <w:rFonts w:cs="Times New Roman"/>
        </w:rPr>
      </w:pPr>
      <w:r w:rsidRPr="00E72972">
        <w:rPr>
          <w:rFonts w:cs="Times New Roman"/>
        </w:rPr>
        <w:t>Does wildfire smoke transport viable propagules of dimorphic pathogens at epidemiologically</w:t>
      </w:r>
    </w:p>
    <w:p w14:paraId="5C79B250" w14:textId="77777777" w:rsidR="00231DA3" w:rsidRPr="00021CDA" w:rsidRDefault="00CD24C1" w:rsidP="00021CDA">
      <w:pPr>
        <w:pStyle w:val="ListParagraph"/>
        <w:numPr>
          <w:ilvl w:val="0"/>
          <w:numId w:val="10"/>
        </w:numPr>
        <w:spacing w:after="0"/>
        <w:ind w:left="540" w:hanging="540"/>
        <w:rPr>
          <w:rFonts w:cs="Times New Roman"/>
        </w:rPr>
      </w:pPr>
      <w:r w:rsidRPr="00021CDA">
        <w:rPr>
          <w:rFonts w:cs="Times New Roman"/>
        </w:rPr>
        <w:t>relevant doses?</w:t>
      </w:r>
    </w:p>
    <w:p w14:paraId="43BA889F" w14:textId="77777777" w:rsidR="00231DA3" w:rsidRPr="00E72972" w:rsidRDefault="00CD24C1" w:rsidP="00021CDA">
      <w:pPr>
        <w:pStyle w:val="ListNumber"/>
        <w:numPr>
          <w:ilvl w:val="0"/>
          <w:numId w:val="10"/>
        </w:numPr>
        <w:spacing w:after="0"/>
        <w:ind w:left="540" w:hanging="540"/>
        <w:rPr>
          <w:rFonts w:cs="Times New Roman"/>
        </w:rPr>
      </w:pPr>
      <w:r w:rsidRPr="00E72972">
        <w:rPr>
          <w:rFonts w:cs="Times New Roman"/>
        </w:rPr>
        <w:t>What is the relative contribution of climatic versus antifungal-selection pressure to the</w:t>
      </w:r>
    </w:p>
    <w:p w14:paraId="66180244" w14:textId="77777777" w:rsidR="00231DA3" w:rsidRPr="00021CDA" w:rsidRDefault="00CD24C1" w:rsidP="00021CDA">
      <w:pPr>
        <w:pStyle w:val="ListParagraph"/>
        <w:numPr>
          <w:ilvl w:val="0"/>
          <w:numId w:val="10"/>
        </w:numPr>
        <w:spacing w:after="0"/>
        <w:ind w:left="540" w:hanging="540"/>
        <w:rPr>
          <w:rFonts w:cs="Times New Roman"/>
        </w:rPr>
      </w:pPr>
      <w:r w:rsidRPr="00021CDA">
        <w:rPr>
          <w:rFonts w:cs="Times New Roman"/>
        </w:rPr>
        <w:t xml:space="preserve">emergence of resistant dermatophytes and </w:t>
      </w:r>
      <w:r w:rsidRPr="00021CDA">
        <w:rPr>
          <w:rFonts w:cs="Times New Roman"/>
          <w:i/>
        </w:rPr>
        <w:t>A. fumigatus</w:t>
      </w:r>
      <w:r w:rsidRPr="00021CDA">
        <w:rPr>
          <w:rFonts w:cs="Times New Roman"/>
        </w:rPr>
        <w:t xml:space="preserve"> genotypes?</w:t>
      </w:r>
    </w:p>
    <w:p w14:paraId="421BE7FC" w14:textId="77777777" w:rsidR="00231DA3" w:rsidRPr="00E72972" w:rsidRDefault="00CD24C1" w:rsidP="00021CDA">
      <w:pPr>
        <w:pStyle w:val="ListNumber"/>
        <w:numPr>
          <w:ilvl w:val="0"/>
          <w:numId w:val="10"/>
        </w:numPr>
        <w:spacing w:after="0"/>
        <w:ind w:left="540" w:hanging="540"/>
        <w:rPr>
          <w:rFonts w:cs="Times New Roman"/>
        </w:rPr>
      </w:pPr>
      <w:r w:rsidRPr="00E72972">
        <w:rPr>
          <w:rFonts w:cs="Times New Roman"/>
        </w:rPr>
        <w:t>Can environmental surveillance detect thermotolerant opportunists before they appear clinically,</w:t>
      </w:r>
    </w:p>
    <w:p w14:paraId="439F7CFF" w14:textId="77777777" w:rsidR="00231DA3" w:rsidRPr="00021CDA" w:rsidRDefault="00CD24C1" w:rsidP="00021CDA">
      <w:pPr>
        <w:pStyle w:val="ListParagraph"/>
        <w:numPr>
          <w:ilvl w:val="0"/>
          <w:numId w:val="10"/>
        </w:numPr>
        <w:spacing w:after="0"/>
        <w:ind w:left="540" w:hanging="540"/>
        <w:rPr>
          <w:rFonts w:cs="Times New Roman"/>
        </w:rPr>
      </w:pPr>
      <w:r w:rsidRPr="00021CDA">
        <w:rPr>
          <w:rFonts w:cs="Times New Roman"/>
        </w:rPr>
        <w:t>and at what cost per detection?</w:t>
      </w:r>
    </w:p>
    <w:p w14:paraId="588B234B" w14:textId="77777777" w:rsidR="00231DA3" w:rsidRPr="00E72972" w:rsidRDefault="00CD24C1" w:rsidP="0015741A">
      <w:pPr>
        <w:pStyle w:val="Heading1"/>
        <w:rPr>
          <w:rFonts w:ascii="Times New Roman" w:hAnsi="Times New Roman" w:cs="Times New Roman"/>
        </w:rPr>
      </w:pPr>
      <w:r w:rsidRPr="00E72972">
        <w:rPr>
          <w:rFonts w:ascii="Times New Roman" w:hAnsi="Times New Roman" w:cs="Times New Roman"/>
        </w:rPr>
        <w:t>11 Conclusions</w:t>
      </w:r>
    </w:p>
    <w:p w14:paraId="6CD5DA39" w14:textId="77777777" w:rsidR="00231DA3" w:rsidRPr="00E72972" w:rsidRDefault="00CD24C1" w:rsidP="0015741A">
      <w:pPr>
        <w:rPr>
          <w:rFonts w:cs="Times New Roman"/>
        </w:rPr>
      </w:pPr>
      <w:r w:rsidRPr="00E72972">
        <w:rPr>
          <w:rFonts w:cs="Times New Roman"/>
        </w:rPr>
        <w:t>Three conclusions follow from the evidence reviewed here. First, the mechanistic case that thermal and physical stress change fungal phenotype and genotype is now strong and no longer speculative: growth at elevated temperature increases virulence through defined signalling pathways, host temperature mobilizes transposable elements and induces mutations that confer resistance and hypervirulence, and physical stresses characteristic of extreme weather act through the same stress-integration architecture. The</w:t>
      </w:r>
      <w:r w:rsidRPr="00E72972">
        <w:rPr>
          <w:rFonts w:cs="Times New Roman"/>
        </w:rPr>
        <w:t>se are laboratory-established mechanisms with identified molecular components, not correlations.</w:t>
      </w:r>
    </w:p>
    <w:p w14:paraId="63219EB6" w14:textId="77777777" w:rsidR="00231DA3" w:rsidRPr="00E72972" w:rsidRDefault="00CD24C1" w:rsidP="0015741A">
      <w:pPr>
        <w:rPr>
          <w:rFonts w:cs="Times New Roman"/>
        </w:rPr>
      </w:pPr>
      <w:r w:rsidRPr="00E72972">
        <w:rPr>
          <w:rFonts w:cs="Times New Roman"/>
        </w:rPr>
        <w:t xml:space="preserve">Second, the epidemiological case that climate change has produced specific new human fungal pathogens remains unproven, and the gap is one of study design rather than of plausibility. The emergences most often cited as evidence — </w:t>
      </w:r>
      <w:r w:rsidRPr="00E72972">
        <w:rPr>
          <w:rFonts w:cs="Times New Roman"/>
          <w:i/>
        </w:rPr>
        <w:t>C. auris</w:t>
      </w:r>
      <w:r w:rsidRPr="00E72972">
        <w:rPr>
          <w:rFonts w:cs="Times New Roman"/>
        </w:rPr>
        <w:t xml:space="preserve">, </w:t>
      </w:r>
      <w:r w:rsidRPr="00E72972">
        <w:rPr>
          <w:rFonts w:cs="Times New Roman"/>
          <w:i/>
        </w:rPr>
        <w:t>T. indotineae</w:t>
      </w:r>
      <w:r w:rsidRPr="00E72972">
        <w:rPr>
          <w:rFonts w:cs="Times New Roman"/>
        </w:rPr>
        <w:t xml:space="preserve">, azole-resistant </w:t>
      </w:r>
      <w:r w:rsidRPr="00E72972">
        <w:rPr>
          <w:rFonts w:cs="Times New Roman"/>
          <w:i/>
        </w:rPr>
        <w:t>A. fumigatus</w:t>
      </w:r>
      <w:r w:rsidRPr="00E72972">
        <w:rPr>
          <w:rFonts w:cs="Times New Roman"/>
        </w:rPr>
        <w:t xml:space="preserve"> — each have better-documented non-climatic drivers, while the mycosis with the clearest climate signal, coccidioidomycosis, involves no fungal adaptation at all. Where climate-associated fungal disease has demonstrably caused mass mortality, it has been in ectothermic and hibernating animals, exactly where thermal overlap between host and pathogen is greatest.</w:t>
      </w:r>
    </w:p>
    <w:p w14:paraId="1BD29C70" w14:textId="77777777" w:rsidR="00231DA3" w:rsidRPr="00E72972" w:rsidRDefault="00CD24C1" w:rsidP="0015741A">
      <w:pPr>
        <w:rPr>
          <w:rFonts w:cs="Times New Roman"/>
        </w:rPr>
      </w:pPr>
      <w:r w:rsidRPr="00E72972">
        <w:rPr>
          <w:rFonts w:cs="Times New Roman"/>
        </w:rPr>
        <w:t>Third, the prospect of a human fungal pandemic driven by thermal adaptation remains improbable on current evidence, and stating this clearly is part of the scientific responsibility of this field. The credible risks are more mundane and more tractable: wider geographic exposure to established pathogens, more frequent post-disaster infection clusters, an enlarging environmental reservoir of antifungal resistance, and a growing population of susceptible hosts. All four are addressable with existing tools, and</w:t>
      </w:r>
      <w:r w:rsidRPr="00E72972">
        <w:rPr>
          <w:rFonts w:cs="Times New Roman"/>
        </w:rPr>
        <w:t xml:space="preserve"> none requires a pandemic to justify attention.</w:t>
      </w:r>
    </w:p>
    <w:p w14:paraId="79C832E0" w14:textId="77777777" w:rsidR="00231DA3" w:rsidRPr="00E72972" w:rsidRDefault="00CD24C1" w:rsidP="0015741A">
      <w:pPr>
        <w:rPr>
          <w:rFonts w:cs="Times New Roman"/>
        </w:rPr>
      </w:pPr>
      <w:r w:rsidRPr="00E72972">
        <w:rPr>
          <w:rFonts w:cs="Times New Roman"/>
          <w:b/>
        </w:rPr>
        <w:t>Acknowledgements</w:t>
      </w:r>
      <w:r w:rsidRPr="00E72972">
        <w:rPr>
          <w:rFonts w:cs="Times New Roman"/>
        </w:rPr>
        <w:t xml:space="preserve"> [To be completed by the authors.]</w:t>
      </w:r>
    </w:p>
    <w:p w14:paraId="1054B270" w14:textId="77777777" w:rsidR="00231DA3" w:rsidRPr="00E72972" w:rsidRDefault="00CD24C1" w:rsidP="0015741A">
      <w:pPr>
        <w:pStyle w:val="Heading1"/>
        <w:rPr>
          <w:rFonts w:ascii="Times New Roman" w:hAnsi="Times New Roman" w:cs="Times New Roman"/>
        </w:rPr>
      </w:pPr>
      <w:r w:rsidRPr="00E72972">
        <w:rPr>
          <w:rFonts w:ascii="Times New Roman" w:hAnsi="Times New Roman" w:cs="Times New Roman"/>
        </w:rPr>
        <w:t>References</w:t>
      </w:r>
    </w:p>
    <w:p w14:paraId="1C4E3E4B" w14:textId="77777777" w:rsidR="00231DA3" w:rsidRPr="00E72972" w:rsidRDefault="00CD24C1" w:rsidP="0015741A">
      <w:pPr>
        <w:rPr>
          <w:rFonts w:cs="Times New Roman"/>
        </w:rPr>
      </w:pPr>
      <w:r w:rsidRPr="00021CDA">
        <w:rPr>
          <w:rFonts w:cs="Times New Roman"/>
          <w:highlight w:val="yellow"/>
        </w:rPr>
        <w:t>_Generated from OpenAlex metadata (117 records, all DOIs verified). Author-name forms and journal abbreviations should be regenerated from the DOI list in references.csv on import to EndNote using the Springer Basic Style output style; five records were corrected manually for online-first vs. issue year and compound surnames (see co_editing_notes.md)._</w:t>
      </w:r>
    </w:p>
    <w:p w14:paraId="00B8814A" w14:textId="77777777" w:rsidR="00231DA3" w:rsidRPr="00E72972" w:rsidRDefault="00CD24C1" w:rsidP="0015741A">
      <w:pPr>
        <w:rPr>
          <w:rFonts w:cs="Times New Roman"/>
        </w:rPr>
      </w:pPr>
      <w:r w:rsidRPr="00E72972">
        <w:rPr>
          <w:rFonts w:cs="Times New Roman"/>
        </w:rPr>
        <w:lastRenderedPageBreak/>
        <w:t>Alempic J, Lartigue A, Goncharov AЕ, Grosse G, Strauß J, Tikhonov AN, Fedorov AN, Poirot O, Legendre M, Santini S, Abergel C, Claverie J (2023) An Update on Eukaryotic Viruses Revived from Ancient Permafrost. Viruses 15(2):564. https://doi.org/10.3390/v15020564</w:t>
      </w:r>
    </w:p>
    <w:p w14:paraId="4144B6A5" w14:textId="77777777" w:rsidR="00231DA3" w:rsidRPr="00E72972" w:rsidRDefault="00CD24C1" w:rsidP="0015741A">
      <w:pPr>
        <w:rPr>
          <w:rFonts w:cs="Times New Roman"/>
        </w:rPr>
      </w:pPr>
      <w:r w:rsidRPr="00E72972">
        <w:rPr>
          <w:rFonts w:cs="Times New Roman"/>
        </w:rPr>
        <w:t>Arora P, Singh P, Wang Y, Yadav A, Pawar K, Singh A, Padmavati G, Xu J, Chowdhary A (2021) Environmental Isolation of Candida auris from the Coastal Wetlands of Andaman Islands, India. mBio 12(2). https://doi.org/10.1128/mbio.03181-20</w:t>
      </w:r>
    </w:p>
    <w:p w14:paraId="041FABB7" w14:textId="77777777" w:rsidR="00231DA3" w:rsidRPr="00E72972" w:rsidRDefault="00CD24C1" w:rsidP="0015741A">
      <w:pPr>
        <w:rPr>
          <w:rFonts w:cs="Times New Roman"/>
        </w:rPr>
      </w:pPr>
      <w:r w:rsidRPr="00E72972">
        <w:rPr>
          <w:rFonts w:cs="Times New Roman"/>
        </w:rPr>
        <w:t>Astvad KMT, Hare RK, Jørgensen KM, Saunte DML, Thomsen P, Arendrup MC (2022) Increasing Terbinafine Resistance in Danish Trichophyton Isolates 2019–2020. J Fungi 8(2):150. https://doi.org/10.3390/jof8020150</w:t>
      </w:r>
    </w:p>
    <w:p w14:paraId="4E0B4D44" w14:textId="77777777" w:rsidR="00231DA3" w:rsidRPr="00E72972" w:rsidRDefault="00CD24C1" w:rsidP="0015741A">
      <w:pPr>
        <w:rPr>
          <w:rFonts w:cs="Times New Roman"/>
        </w:rPr>
      </w:pPr>
      <w:r w:rsidRPr="00E72972">
        <w:rPr>
          <w:rFonts w:cs="Times New Roman"/>
        </w:rPr>
        <w:t>Baddley JW (2011) Geographic Distribution of Endemic Fungal Infections among Older Persons, United States. Emerg Infect Dis 17(9):1664–1669. https://doi.org/10.3201/eid1709.101987</w:t>
      </w:r>
    </w:p>
    <w:p w14:paraId="22A015FA" w14:textId="77777777" w:rsidR="00231DA3" w:rsidRPr="00E72972" w:rsidRDefault="00CD24C1" w:rsidP="0015741A">
      <w:pPr>
        <w:rPr>
          <w:rFonts w:cs="Times New Roman"/>
        </w:rPr>
      </w:pPr>
      <w:r w:rsidRPr="00E72972">
        <w:rPr>
          <w:rFonts w:cs="Times New Roman"/>
        </w:rPr>
        <w:t>Baker RE, Mahmud AS, Miller I, Rajeev M, Rasambainarivo F, Rice BL, Takahashi S, Tatem AJ, Wagner CE, Wang L, Wesolowski A, Metcalf CJE (2022) Infectious disease in an era of global change. Nat Rev Microbiol 20(4):193–205. https://doi.org/10.1038/s41579-021-00639-z</w:t>
      </w:r>
    </w:p>
    <w:p w14:paraId="7277DD5A" w14:textId="77777777" w:rsidR="00231DA3" w:rsidRPr="00E72972" w:rsidRDefault="00CD24C1" w:rsidP="0015741A">
      <w:pPr>
        <w:rPr>
          <w:rFonts w:cs="Times New Roman"/>
        </w:rPr>
      </w:pPr>
      <w:r w:rsidRPr="00E72972">
        <w:rPr>
          <w:rFonts w:cs="Times New Roman"/>
        </w:rPr>
        <w:t>Battilani P, Toscano P, van der Fels-Klerx HJ, Moretti A, Leggieri MC, Brera C, Rortais A, Goumperis T, Robinson T (2016) Aflatoxin B1 contamination in maize in Europe increases due to climate change. Sci Rep 6(1):24328. https://doi.org/10.1038/srep24328</w:t>
      </w:r>
    </w:p>
    <w:p w14:paraId="7B73B51C" w14:textId="77777777" w:rsidR="00231DA3" w:rsidRPr="00E72972" w:rsidRDefault="00CD24C1" w:rsidP="0015741A">
      <w:pPr>
        <w:rPr>
          <w:rFonts w:cs="Times New Roman"/>
        </w:rPr>
      </w:pPr>
      <w:r w:rsidRPr="00E72972">
        <w:rPr>
          <w:rFonts w:cs="Times New Roman"/>
        </w:rPr>
        <w:t>Bédard C, Pageau A, Fijarczyk A, Mendoza-Salido D, Alcañiz AJ, Després PC, Durand R, Plante S, Alexander EMM, Rouleau FD, Jordan D, Jay A, Giguère M, Bernier M, Sharma J, Maroc L, Gervais NC, Menon ACT, Gagnon-Arsenault I, Bakker S, Rhodes J, Dufresne PJ, Bharat A, Sellam A, De Luca DG, Gerstein AC, Shapiro RS, Quijada NM, Landry CR (2025) FungAMR: a comprehensive database for investigating fungal mutations associated with antimicrobial resistance. Nat Microbiol 10(9):2338–2352. https://doi.org/10.1038/s415</w:t>
      </w:r>
      <w:r w:rsidRPr="00E72972">
        <w:rPr>
          <w:rFonts w:cs="Times New Roman"/>
        </w:rPr>
        <w:t>64-025-02084-7</w:t>
      </w:r>
    </w:p>
    <w:p w14:paraId="20F7F746" w14:textId="77777777" w:rsidR="00231DA3" w:rsidRPr="00E72972" w:rsidRDefault="00CD24C1" w:rsidP="0015741A">
      <w:pPr>
        <w:rPr>
          <w:rFonts w:cs="Times New Roman"/>
        </w:rPr>
      </w:pPr>
      <w:r w:rsidRPr="00E72972">
        <w:rPr>
          <w:rFonts w:cs="Times New Roman"/>
        </w:rPr>
        <w:t>Bebber DP, Ramotowski MAT, Gurr SJ (2013) Crop pests and pathogens move polewards in a warming world. Nat Clim Change 3(11):985–988. https://doi.org/10.1038/nclimate1990</w:t>
      </w:r>
    </w:p>
    <w:p w14:paraId="63D5F4E5" w14:textId="77777777" w:rsidR="00231DA3" w:rsidRPr="00E72972" w:rsidRDefault="00CD24C1" w:rsidP="0015741A">
      <w:pPr>
        <w:rPr>
          <w:rFonts w:cs="Times New Roman"/>
        </w:rPr>
      </w:pPr>
      <w:r w:rsidRPr="00E72972">
        <w:rPr>
          <w:rFonts w:cs="Times New Roman"/>
        </w:rPr>
        <w:t>Benedict K, Park BJ (2014) Invasive Fungal Infections after Natural Disasters. Emerg Infect Dis 20(3):349–355. https://doi.org/10.3201/eid2003.131230</w:t>
      </w:r>
    </w:p>
    <w:p w14:paraId="2220E570" w14:textId="77777777" w:rsidR="00231DA3" w:rsidRPr="00E72972" w:rsidRDefault="00CD24C1" w:rsidP="0015741A">
      <w:pPr>
        <w:rPr>
          <w:rFonts w:cs="Times New Roman"/>
        </w:rPr>
      </w:pPr>
      <w:r w:rsidRPr="00E72972">
        <w:rPr>
          <w:rFonts w:cs="Times New Roman"/>
        </w:rPr>
        <w:t>Bennett RJ, Forche A, Berman J (2014) Rapid Mechanisms for Generating Genome Diversity: Whole Ploidy Shifts, Aneuploidy, and Loss of Heterozygosity. Cold Spring Harb Perspect Med 4(10):a019604. https://doi.org/10.1101/cshperspect.a019604</w:t>
      </w:r>
    </w:p>
    <w:p w14:paraId="630EB0E8" w14:textId="77777777" w:rsidR="00231DA3" w:rsidRPr="00E72972" w:rsidRDefault="00CD24C1" w:rsidP="0015741A">
      <w:pPr>
        <w:rPr>
          <w:rFonts w:cs="Times New Roman"/>
        </w:rPr>
      </w:pPr>
      <w:r w:rsidRPr="00E72972">
        <w:rPr>
          <w:rFonts w:cs="Times New Roman"/>
        </w:rPr>
        <w:t>Berger S, Chazli YE, Babu AF, Coste AT (2017) Azole Resistance in Aspergillus fumigatus: A Consequence of Antifungal Use in Agriculture?. Front Microbiol 8:1024. https://doi.org/10.3389/fmicb.2017.01024</w:t>
      </w:r>
    </w:p>
    <w:p w14:paraId="45A5AF77" w14:textId="77777777" w:rsidR="00231DA3" w:rsidRPr="00E72972" w:rsidRDefault="00CD24C1" w:rsidP="0015741A">
      <w:pPr>
        <w:rPr>
          <w:rFonts w:cs="Times New Roman"/>
        </w:rPr>
      </w:pPr>
      <w:r w:rsidRPr="00E72972">
        <w:rPr>
          <w:rFonts w:cs="Times New Roman"/>
        </w:rPr>
        <w:t>Bergman A, Casadevall A (2010) Mammalian Endothermy Optimally Restricts Fungi and Metabolic Costs. mBio 1(5). https://doi.org/10.1128/mbio.00212-10</w:t>
      </w:r>
    </w:p>
    <w:p w14:paraId="00493363" w14:textId="77777777" w:rsidR="00231DA3" w:rsidRPr="00E72972" w:rsidRDefault="00CD24C1" w:rsidP="0015741A">
      <w:pPr>
        <w:rPr>
          <w:rFonts w:cs="Times New Roman"/>
        </w:rPr>
      </w:pPr>
      <w:r w:rsidRPr="00E72972">
        <w:rPr>
          <w:rFonts w:cs="Times New Roman"/>
        </w:rPr>
        <w:t>Billmyre RB, Croll D, Li W, Mieczkowski PA, Carter D, Cuomo CA, Kronstad JW, Heitman J (2014) Highly Recombinant VGII Cryptococcus gattii Population Develops Clonal Outbreak Clusters through both Sexual Macroevolution and Asexual Microevolution. mBio 5(4):e01494–14. https://doi.org/10.1128/mbio.01494-14</w:t>
      </w:r>
    </w:p>
    <w:p w14:paraId="13451790" w14:textId="77777777" w:rsidR="00231DA3" w:rsidRPr="00E72972" w:rsidRDefault="00CD24C1" w:rsidP="0015741A">
      <w:pPr>
        <w:rPr>
          <w:rFonts w:cs="Times New Roman"/>
        </w:rPr>
      </w:pPr>
      <w:r w:rsidRPr="00E72972">
        <w:rPr>
          <w:rFonts w:cs="Times New Roman"/>
        </w:rPr>
        <w:lastRenderedPageBreak/>
        <w:t>Blehert DS, Hicks AC, Behr M, Meteyer CU, Berlowski-Zier BM, Buckles EL, Coleman JTH, Darling SR, Gargas A, Niver R, Okoniewski JC, Rudd RJ, Stone WB (2009) Bat White-Nose Syndrome: An Emerging Fungal Pathogen?. Science 323(5911):227. https://doi.org/10.1126/science.1163874</w:t>
      </w:r>
    </w:p>
    <w:p w14:paraId="5CA5A470" w14:textId="77777777" w:rsidR="00231DA3" w:rsidRPr="00E72972" w:rsidRDefault="00CD24C1" w:rsidP="0015741A">
      <w:pPr>
        <w:rPr>
          <w:rFonts w:cs="Times New Roman"/>
        </w:rPr>
      </w:pPr>
      <w:r w:rsidRPr="00E72972">
        <w:rPr>
          <w:rFonts w:cs="Times New Roman"/>
        </w:rPr>
        <w:t>Brown AJP, Gow NAR, Warris A, Brown GD (2018) Memory in Fungal Pathogens Promotes Immune Evasion, Colonisation, and Infection. Trends Microbiol 27(3):219–230. https://doi.org/10.1016/j.tim.2018.11.001</w:t>
      </w:r>
    </w:p>
    <w:p w14:paraId="59A23C93" w14:textId="77777777" w:rsidR="00231DA3" w:rsidRPr="00E72972" w:rsidRDefault="00CD24C1" w:rsidP="0015741A">
      <w:pPr>
        <w:rPr>
          <w:rFonts w:cs="Times New Roman"/>
        </w:rPr>
      </w:pPr>
      <w:r w:rsidRPr="00E72972">
        <w:rPr>
          <w:rFonts w:cs="Times New Roman"/>
        </w:rPr>
        <w:t>Calo S, Shertz-Wall C, Lee SC, Bastidas RJ, Nicolás FE, Granek JA, Mieczkowski PA, Torres-Martínez S, Ruiz-Vázquez RM, Cárdenas ME, Heitman J (2014) Antifungal drug resistance evoked via RNAi-dependent epimutations. Nature 513(7519):555–558. https://doi.org/10.1038/nature13575</w:t>
      </w:r>
    </w:p>
    <w:p w14:paraId="3FFAC84A" w14:textId="77777777" w:rsidR="00231DA3" w:rsidRPr="00E72972" w:rsidRDefault="00CD24C1" w:rsidP="0015741A">
      <w:pPr>
        <w:rPr>
          <w:rFonts w:cs="Times New Roman"/>
        </w:rPr>
      </w:pPr>
      <w:r w:rsidRPr="00E72972">
        <w:rPr>
          <w:rFonts w:cs="Times New Roman"/>
        </w:rPr>
        <w:t>Carlson CJ, Albery GF, Merow C, Trisos CH, Zipfel CM, Eskew EA, Olival KJ, Ross N, Bansal S (2022) Climate change increases cross-species viral transmission risk. Nature 607(7919):555–562. https://doi.org/10.1038/s41586-022-04788-w</w:t>
      </w:r>
    </w:p>
    <w:p w14:paraId="12E2A683" w14:textId="77777777" w:rsidR="00231DA3" w:rsidRPr="00E72972" w:rsidRDefault="00CD24C1" w:rsidP="0015741A">
      <w:pPr>
        <w:rPr>
          <w:rFonts w:cs="Times New Roman"/>
        </w:rPr>
      </w:pPr>
      <w:r w:rsidRPr="00E72972">
        <w:rPr>
          <w:rFonts w:cs="Times New Roman"/>
        </w:rPr>
        <w:t>Carlson CJ, Brookson CB, Becker DJ, Cummings CA, Gibb R, Halliday FW, Heckley AM, Huang ZYX, Lavelle TE, Robertson H, Vicente-Santos A, Weets CM, Poisot T (2025) Pathogens and planetary change. Nat Rev Biodivers 1(1):32–49. https://doi.org/10.1038/s44358-024-00005-w</w:t>
      </w:r>
    </w:p>
    <w:p w14:paraId="1C1AAB16" w14:textId="77777777" w:rsidR="00231DA3" w:rsidRPr="00E72972" w:rsidRDefault="00CD24C1" w:rsidP="0015741A">
      <w:pPr>
        <w:rPr>
          <w:rFonts w:cs="Times New Roman"/>
        </w:rPr>
      </w:pPr>
      <w:r w:rsidRPr="00E72972">
        <w:rPr>
          <w:rFonts w:cs="Times New Roman"/>
        </w:rPr>
        <w:t>Casadevall A (2012) Fungi and the Rise of Mammals. PLoS Pathog 8(8):e1002808. https://doi.org/10.1371/journal.ppat.1002808</w:t>
      </w:r>
    </w:p>
    <w:p w14:paraId="46222702" w14:textId="77777777" w:rsidR="00231DA3" w:rsidRPr="00E72972" w:rsidRDefault="00CD24C1" w:rsidP="0015741A">
      <w:pPr>
        <w:rPr>
          <w:rFonts w:cs="Times New Roman"/>
        </w:rPr>
      </w:pPr>
      <w:r w:rsidRPr="00E72972">
        <w:rPr>
          <w:rFonts w:cs="Times New Roman"/>
        </w:rPr>
        <w:t>Casadevall A, Freij JB, Hann-Soden C, Taylor JW (2017) Continental Drift and Speciation of the Cryptococcus neoformans and Cryptococcus gattii Species Complexes. mSphere 2(2). https://doi.org/10.1128/msphere.00103-17</w:t>
      </w:r>
    </w:p>
    <w:p w14:paraId="273F6486" w14:textId="77777777" w:rsidR="00231DA3" w:rsidRPr="00E72972" w:rsidRDefault="00CD24C1" w:rsidP="0015741A">
      <w:pPr>
        <w:rPr>
          <w:rFonts w:cs="Times New Roman"/>
        </w:rPr>
      </w:pPr>
      <w:r w:rsidRPr="00E72972">
        <w:rPr>
          <w:rFonts w:cs="Times New Roman"/>
        </w:rPr>
        <w:t>Casadevall A, Kontoyiannis DP, Robert V (2019) On the Emergence of Candida auris: Climate Change, Azoles, Swamps, and Birds. mBio 10(4). https://doi.org/10.1128/mbio.01397-19</w:t>
      </w:r>
    </w:p>
    <w:p w14:paraId="460038A1" w14:textId="77777777" w:rsidR="00231DA3" w:rsidRPr="00E72972" w:rsidRDefault="00CD24C1" w:rsidP="0015741A">
      <w:pPr>
        <w:rPr>
          <w:rFonts w:cs="Times New Roman"/>
        </w:rPr>
      </w:pPr>
      <w:r w:rsidRPr="00E72972">
        <w:rPr>
          <w:rFonts w:cs="Times New Roman"/>
        </w:rPr>
        <w:t>Casadevall A (2020) Climate change brings the specter of new infectious diseases. J Clin Invest 130(2):553–555. https://doi.org/10.1172/jci135003</w:t>
      </w:r>
    </w:p>
    <w:p w14:paraId="11894B10" w14:textId="77777777" w:rsidR="00231DA3" w:rsidRPr="00E72972" w:rsidRDefault="00CD24C1" w:rsidP="0015741A">
      <w:pPr>
        <w:rPr>
          <w:rFonts w:cs="Times New Roman"/>
        </w:rPr>
      </w:pPr>
      <w:r w:rsidRPr="00E72972">
        <w:rPr>
          <w:rFonts w:cs="Times New Roman"/>
        </w:rPr>
        <w:t>Case NT, Gurr SJ, Fisher MC, Blehert DS, Boone C, Casadevall A, Chowdhary A, Cuomo CA, Currie CR, Denning DW, Ene IV, Fritz-Laylin LK, Gerstein AC, Gow NAR, Gusa A, Iliev ID, James TY, Jin H, Kahmann R, Klein BS, Kronstad JW, Ost KS, Peay K, Shapiro RS, Sheppard DC, Shlezinger N, Stajich J, Stukenbrock EH, Taylor JW, Wright GD, Cowen LE, Heitman J, Segre JA (2025) Fungal impacts on Earth’s ecosystems. Nature 638(8049):49–57. https://doi.org/10.1038/s41586-024-08419-4</w:t>
      </w:r>
    </w:p>
    <w:p w14:paraId="5B115EBB" w14:textId="77777777" w:rsidR="00231DA3" w:rsidRPr="00E72972" w:rsidRDefault="00CD24C1" w:rsidP="0015741A">
      <w:pPr>
        <w:rPr>
          <w:rFonts w:cs="Times New Roman"/>
        </w:rPr>
      </w:pPr>
      <w:r w:rsidRPr="00E72972">
        <w:rPr>
          <w:rFonts w:cs="Times New Roman"/>
        </w:rPr>
        <w:t>Casu A, Leggieri MC, Toscano P, Battilani P (2024) Changing climate, shifting mycotoxins: A comprehensive review of climate change impact on mycotoxin contamination. Compr Rev Food Sci Food Saf 23(2):e13323. https://doi.org/10.1111/1541-4337.13323</w:t>
      </w:r>
    </w:p>
    <w:p w14:paraId="446C156F" w14:textId="77777777" w:rsidR="00231DA3" w:rsidRPr="00E72972" w:rsidRDefault="00CD24C1" w:rsidP="0015741A">
      <w:pPr>
        <w:rPr>
          <w:rFonts w:cs="Times New Roman"/>
        </w:rPr>
      </w:pPr>
      <w:r w:rsidRPr="00E72972">
        <w:rPr>
          <w:rFonts w:cs="Times New Roman"/>
        </w:rPr>
        <w:t>Chaloner TM, Gurr SJ, Bebber DP (2021) Plant pathogen infection risk tracks global crop yields under climate change. Nat Clim Change 11(8):710–715. https://doi.org/10.1038/s41558-021-01104-8</w:t>
      </w:r>
    </w:p>
    <w:p w14:paraId="017F1394" w14:textId="77777777" w:rsidR="00231DA3" w:rsidRPr="00E72972" w:rsidRDefault="00CD24C1" w:rsidP="0015741A">
      <w:pPr>
        <w:rPr>
          <w:rFonts w:cs="Times New Roman"/>
        </w:rPr>
      </w:pPr>
      <w:r w:rsidRPr="00E72972">
        <w:rPr>
          <w:rFonts w:cs="Times New Roman"/>
        </w:rPr>
        <w:t>Chamilos G, Lionakis MS, Lewis RE, Kontoyiannis DP (2006) Role of mini-host models in the study of medically important fungi. Lancet Infect Dis 7(1):42–55. https://doi.org/10.1016/s1473-3099(06)70686-7</w:t>
      </w:r>
    </w:p>
    <w:p w14:paraId="031EB67D" w14:textId="77777777" w:rsidR="00231DA3" w:rsidRPr="00E72972" w:rsidRDefault="00CD24C1" w:rsidP="0015741A">
      <w:pPr>
        <w:rPr>
          <w:rFonts w:cs="Times New Roman"/>
        </w:rPr>
      </w:pPr>
      <w:r w:rsidRPr="00E72972">
        <w:rPr>
          <w:rFonts w:cs="Times New Roman"/>
        </w:rPr>
        <w:t>Chamilos G, Lewis RE, Hu J, Xiao L, Żal T, Gilliet M, Halder G, Kontoyiannis DP (2008) Drosophila melanogaster as a model host to dissect the immunopathogenesis of zygomycosis. Proc Natl Acad Sci U S A 105(27):9367–9372. https://doi.org/10.1073/pnas.0709578105</w:t>
      </w:r>
    </w:p>
    <w:p w14:paraId="4C4B82D9" w14:textId="77777777" w:rsidR="00231DA3" w:rsidRPr="00E72972" w:rsidRDefault="00CD24C1" w:rsidP="0015741A">
      <w:pPr>
        <w:rPr>
          <w:rFonts w:cs="Times New Roman"/>
        </w:rPr>
      </w:pPr>
      <w:r w:rsidRPr="00E72972">
        <w:rPr>
          <w:rFonts w:cs="Times New Roman"/>
        </w:rPr>
        <w:lastRenderedPageBreak/>
        <w:t>Chew GL, Wilson J, Rabito FA, Grimsley F, Iqbal S, Reponen T, Muilenberg ML, Thorne PS, Dearborn DG, Morley R (2006) Mold and Endotoxin Levels in the Aftermath of Hurricane Katrina: A Pilot Project of Homes in New Orleans Undergoing Renovation. Environ Health Perspect 114(12):1883–1889. https://doi.org/10.1289/ehp.9258</w:t>
      </w:r>
    </w:p>
    <w:p w14:paraId="07E78EF8" w14:textId="77777777" w:rsidR="00231DA3" w:rsidRPr="00E72972" w:rsidRDefault="00CD24C1" w:rsidP="0015741A">
      <w:pPr>
        <w:rPr>
          <w:rFonts w:cs="Times New Roman"/>
        </w:rPr>
      </w:pPr>
      <w:r w:rsidRPr="00E72972">
        <w:rPr>
          <w:rFonts w:cs="Times New Roman"/>
        </w:rPr>
        <w:t>Chow NA, Muñoz JF, Gade L, Berkow EL, Xiao L, Welsh RM, Forsberg K, Lockhart SR, Adam RD, Alanio A, Alastruey-Izquierdo A, Althawadi S, Araúz AB, Ben-Ami R, Bharat A, Calvo B, Desnos-Ollivier M, Escandón P, Gardam D, Revathi G, Heath CH, Kurzai O, Martin R, Litvintseva AP, Cuomo CA (2020) Tracing the Evolutionary History and Global Expansion of Candida auris Using Population Genomic Analyses. mBio 11(2). https://doi.org/10.1128/mbio.03364-19</w:t>
      </w:r>
    </w:p>
    <w:p w14:paraId="596479F0" w14:textId="77777777" w:rsidR="00231DA3" w:rsidRPr="00E72972" w:rsidRDefault="00CD24C1" w:rsidP="0015741A">
      <w:pPr>
        <w:rPr>
          <w:rFonts w:cs="Times New Roman"/>
        </w:rPr>
      </w:pPr>
      <w:r w:rsidRPr="00E72972">
        <w:rPr>
          <w:rFonts w:cs="Times New Roman"/>
        </w:rPr>
        <w:t>Chowdhary A, Sharma C, Meis JF (2017) Candida auris: A rapidly emerging cause of hospital-acquired multidrug-resistant fungal infections globally. PLoS Pathog 13(5):e1006290. https://doi.org/10.1371/journal.ppat.1006290</w:t>
      </w:r>
    </w:p>
    <w:p w14:paraId="7EA6CEB7" w14:textId="77777777" w:rsidR="00231DA3" w:rsidRPr="00E72972" w:rsidRDefault="00CD24C1" w:rsidP="0015741A">
      <w:pPr>
        <w:rPr>
          <w:rFonts w:cs="Times New Roman"/>
        </w:rPr>
      </w:pPr>
      <w:r w:rsidRPr="00E72972">
        <w:rPr>
          <w:rFonts w:cs="Times New Roman"/>
        </w:rPr>
        <w:t>Cooksey G, Wilken JA, McNary J, Gilliss D, Shusterman D, Materna BL, Vugia DJ (2017) Dust Exposure and Coccidioidomycosis Prevention Among Solar Power Farm Construction Workers in California. Am J Public Health 107(8):1296–1303. https://doi.org/10.2105/ajph.2017.303820</w:t>
      </w:r>
    </w:p>
    <w:p w14:paraId="60553D36" w14:textId="77777777" w:rsidR="00231DA3" w:rsidRPr="00E72972" w:rsidRDefault="00CD24C1" w:rsidP="0015741A">
      <w:pPr>
        <w:rPr>
          <w:rFonts w:cs="Times New Roman"/>
        </w:rPr>
      </w:pPr>
      <w:r w:rsidRPr="00E72972">
        <w:rPr>
          <w:rFonts w:cs="Times New Roman"/>
        </w:rPr>
        <w:t>Cordero RJB, Casadevall A (2017) Functions of fungal melanin beyond virulence. Fungal Biol Rev 31(2):99–112. https://doi.org/10.1016/j.fbr.2016.12.003</w:t>
      </w:r>
    </w:p>
    <w:p w14:paraId="411A2ED6" w14:textId="77777777" w:rsidR="00231DA3" w:rsidRPr="00E72972" w:rsidRDefault="00CD24C1" w:rsidP="0015741A">
      <w:pPr>
        <w:rPr>
          <w:rFonts w:cs="Times New Roman"/>
        </w:rPr>
      </w:pPr>
      <w:r w:rsidRPr="00E72972">
        <w:rPr>
          <w:rFonts w:cs="Times New Roman"/>
        </w:rPr>
        <w:t>Cowen LE, Lindquist S (2005) Hsp90 Potentiates the Rapid Evolution of New Traits: Drug Resistance in Diverse Fungi. Science 309(5744):2185–2189. https://doi.org/10.1126/science.1118370</w:t>
      </w:r>
    </w:p>
    <w:p w14:paraId="2483A900" w14:textId="77777777" w:rsidR="00231DA3" w:rsidRPr="00E72972" w:rsidRDefault="00CD24C1" w:rsidP="0015741A">
      <w:pPr>
        <w:rPr>
          <w:rFonts w:cs="Times New Roman"/>
        </w:rPr>
      </w:pPr>
      <w:r w:rsidRPr="00E72972">
        <w:rPr>
          <w:rFonts w:cs="Times New Roman"/>
        </w:rPr>
        <w:t>Cowen LE, Singh-Babak SD, Köhler JR, Collins C, Zaas AK, Schell WA, Aziz H, Mylonakis E, Perfect JR, Whitesell L, Lindquist S (2009) Harnessing Hsp90 function as a powerful, broadly effective therapeutic strategy for fungal infectious disease. Proc Natl Acad Sci U S A 106(8):2818–2823. https://doi.org/10.1073/pnas.0813394106</w:t>
      </w:r>
    </w:p>
    <w:p w14:paraId="69F735FF" w14:textId="77777777" w:rsidR="00231DA3" w:rsidRPr="00E72972" w:rsidRDefault="00CD24C1" w:rsidP="0015741A">
      <w:pPr>
        <w:rPr>
          <w:rFonts w:cs="Times New Roman"/>
        </w:rPr>
      </w:pPr>
      <w:r w:rsidRPr="00E72972">
        <w:rPr>
          <w:rFonts w:cs="Times New Roman"/>
        </w:rPr>
        <w:t>Dadachova E, Bryan R, Huang X, Moadel T, Schweitzer AD, Aisen P, Nosanchuk JD, Casadevall A (2007) Ionizing Radiation Changes the Electronic Properties of Melanin and Enhances the Growth of Melanized Fungi. PLoS One 2(5):e457. https://doi.org/10.1371/journal.pone.0000457</w:t>
      </w:r>
    </w:p>
    <w:p w14:paraId="4BDF5F0A" w14:textId="77777777" w:rsidR="00231DA3" w:rsidRPr="00E72972" w:rsidRDefault="00CD24C1" w:rsidP="0015741A">
      <w:pPr>
        <w:rPr>
          <w:rFonts w:cs="Times New Roman"/>
        </w:rPr>
      </w:pPr>
      <w:r w:rsidRPr="00E72972">
        <w:rPr>
          <w:rFonts w:cs="Times New Roman"/>
        </w:rPr>
        <w:t>Day AM, Quinn J (2019) Stress-Activated Protein Kinases in Human Fungal Pathogens. Front Cell Infect Microbiol 9:261. https://doi.org/10.3389/fcimb.2019.00261</w:t>
      </w:r>
    </w:p>
    <w:p w14:paraId="534DCF95" w14:textId="77777777" w:rsidR="00231DA3" w:rsidRPr="00E72972" w:rsidRDefault="00CD24C1" w:rsidP="0015741A">
      <w:pPr>
        <w:rPr>
          <w:rFonts w:cs="Times New Roman"/>
        </w:rPr>
      </w:pPr>
      <w:r w:rsidRPr="00E72972">
        <w:rPr>
          <w:rFonts w:cs="Times New Roman"/>
        </w:rPr>
        <w:t>de Crécy E, Jaronski ST, Lyons B, Lyons TJ, Keyhani NO (2009) Directed evolution of a filamentous fungus for thermotolerance. BMC Biotechnol 9(1):74. https://doi.org/10.1186/1472-6750-9-74</w:t>
      </w:r>
    </w:p>
    <w:p w14:paraId="6B2175DF" w14:textId="77777777" w:rsidR="00231DA3" w:rsidRPr="00E72972" w:rsidRDefault="00CD24C1" w:rsidP="0015741A">
      <w:pPr>
        <w:rPr>
          <w:rFonts w:cs="Times New Roman"/>
        </w:rPr>
      </w:pPr>
      <w:r w:rsidRPr="00E72972">
        <w:rPr>
          <w:rFonts w:cs="Times New Roman"/>
        </w:rPr>
        <w:t>Denning DW (2024) Global incidence and mortality of severe fungal disease. Lancet Infect Dis 24(7):e428–e438. https://doi.org/10.1016/s1473-3099(23)00692-8</w:t>
      </w:r>
    </w:p>
    <w:p w14:paraId="7DB3D7AE" w14:textId="77777777" w:rsidR="00231DA3" w:rsidRPr="00E72972" w:rsidRDefault="00CD24C1" w:rsidP="0015741A">
      <w:pPr>
        <w:rPr>
          <w:rFonts w:cs="Times New Roman"/>
        </w:rPr>
      </w:pPr>
      <w:r w:rsidRPr="00E72972">
        <w:rPr>
          <w:rFonts w:cs="Times New Roman"/>
        </w:rPr>
        <w:t>Çelebi Sözener Z, Treffeisen ER, Öztürk BÖ, Schneider LC (2023) Global warming and implications for epithelial barrier disruption and respiratory and dermatologic allergic diseases. J Allergy Clin Immunol 152(5):1033–1046. https://doi.org/10.1016/j.jaci.2023.09.001</w:t>
      </w:r>
    </w:p>
    <w:p w14:paraId="77662F29" w14:textId="77777777" w:rsidR="00231DA3" w:rsidRPr="00E72972" w:rsidRDefault="00CD24C1" w:rsidP="0015741A">
      <w:pPr>
        <w:rPr>
          <w:rFonts w:cs="Times New Roman"/>
        </w:rPr>
      </w:pPr>
      <w:r w:rsidRPr="00E72972">
        <w:rPr>
          <w:rFonts w:cs="Times New Roman"/>
        </w:rPr>
        <w:t>Ellington AJ, Walters KE, Christner BC, Fox S, Bonfantine K, Walker C, Lampman P, Vuono DC, Strickland MS, Lambert K, Kobziar LN (2024) Dispersal of microbes from grassland fire smoke to soils. ISME J 18(1). https://doi.org/10.1093/ismejo/wrae203</w:t>
      </w:r>
    </w:p>
    <w:p w14:paraId="262C28F7" w14:textId="77777777" w:rsidR="00231DA3" w:rsidRPr="00E72972" w:rsidRDefault="00CD24C1" w:rsidP="0015741A">
      <w:pPr>
        <w:rPr>
          <w:rFonts w:cs="Times New Roman"/>
        </w:rPr>
      </w:pPr>
      <w:r w:rsidRPr="00E72972">
        <w:rPr>
          <w:rFonts w:cs="Times New Roman"/>
        </w:rPr>
        <w:lastRenderedPageBreak/>
        <w:t>Fisher MC, Henk DA, Briggs CJ, Brownstein JS, Madoff LC, McCraw S, Gurr SJ (2012) Emerging fungal threats to animal, plant and ecosystem health. Nature 484(7393):186–194. https://doi.org/10.1038/nature10947</w:t>
      </w:r>
    </w:p>
    <w:p w14:paraId="072C42F5" w14:textId="77777777" w:rsidR="00231DA3" w:rsidRPr="00E72972" w:rsidRDefault="00CD24C1" w:rsidP="0015741A">
      <w:pPr>
        <w:rPr>
          <w:rFonts w:cs="Times New Roman"/>
        </w:rPr>
      </w:pPr>
      <w:r w:rsidRPr="00E72972">
        <w:rPr>
          <w:rFonts w:cs="Times New Roman"/>
        </w:rPr>
        <w:t>Fisher MC, Hawkins NJ, Sanglard D, Gurr SJ (2018) Worldwide emergence of resistance to antifungal drugs challenges human health and food security. Science 360(6390):739–742. https://doi.org/10.1126/science.aap7999</w:t>
      </w:r>
    </w:p>
    <w:p w14:paraId="48115F76" w14:textId="77777777" w:rsidR="00231DA3" w:rsidRPr="00E72972" w:rsidRDefault="00CD24C1" w:rsidP="0015741A">
      <w:pPr>
        <w:rPr>
          <w:rFonts w:cs="Times New Roman"/>
        </w:rPr>
      </w:pPr>
      <w:r w:rsidRPr="00E72972">
        <w:rPr>
          <w:rFonts w:cs="Times New Roman"/>
        </w:rPr>
        <w:t>Fisher MC, Garner TWJ (2020) Chytrid fungi and global amphibian declines. Nat Rev Microbiol 18(6):332–343. https://doi.org/10.1038/s41579-020-0335-x</w:t>
      </w:r>
    </w:p>
    <w:p w14:paraId="5D87FD05" w14:textId="77777777" w:rsidR="00231DA3" w:rsidRPr="00E72972" w:rsidRDefault="00CD24C1" w:rsidP="0015741A">
      <w:pPr>
        <w:rPr>
          <w:rFonts w:cs="Times New Roman"/>
        </w:rPr>
      </w:pPr>
      <w:r w:rsidRPr="00E72972">
        <w:rPr>
          <w:rFonts w:cs="Times New Roman"/>
        </w:rPr>
        <w:t>Fisher MC, Alastruey-Izquierdo A, Berman J, Bicanic T, Bignell E, Bowyer P, Bromley M, Brüggemann RJM, Garber G, Cornely OA, Gurr SJ, Harrison TS, Kuijper EJ, Rhodes J, Sheppard DC, Warris A, White PL, Xu J, Zwaan BJ, Verweij PE (2022) Tackling the emerging threat of antifungal resistance to human health. Nat Rev Microbiol 20(9):557–571. https://doi.org/10.1038/s41579-022-00720-1</w:t>
      </w:r>
    </w:p>
    <w:p w14:paraId="450289C6" w14:textId="77777777" w:rsidR="00231DA3" w:rsidRPr="00E72972" w:rsidRDefault="00CD24C1" w:rsidP="0015741A">
      <w:pPr>
        <w:rPr>
          <w:rFonts w:cs="Times New Roman"/>
        </w:rPr>
      </w:pPr>
      <w:r w:rsidRPr="00E72972">
        <w:rPr>
          <w:rFonts w:cs="Times New Roman"/>
        </w:rPr>
        <w:t>Fisher MC, Denning DW (2023) The WHO fungal priority pathogens list as a game-changer. Nat Rev Microbiol 21(4):211–212. https://doi.org/10.1038/s41579-023-00861-x</w:t>
      </w:r>
    </w:p>
    <w:p w14:paraId="0D6C4C6C" w14:textId="77777777" w:rsidR="00231DA3" w:rsidRPr="00E72972" w:rsidRDefault="00CD24C1" w:rsidP="0015741A">
      <w:pPr>
        <w:rPr>
          <w:rFonts w:cs="Times New Roman"/>
        </w:rPr>
      </w:pPr>
      <w:r w:rsidRPr="00E72972">
        <w:rPr>
          <w:rFonts w:cs="Times New Roman"/>
        </w:rPr>
        <w:t>Forsberg K, Woodworth KR, Walters MS, Berkow EL, Jackson BR, Chiller T, Vallabhaneni S (2018) Candida auris : The recent emergence of a multidrug-resistant fungal pathogen. Med Mycol 57(1):1–12. https://doi.org/10.1093/mmy/myy054</w:t>
      </w:r>
    </w:p>
    <w:p w14:paraId="0EBC7665" w14:textId="77777777" w:rsidR="00231DA3" w:rsidRPr="00E72972" w:rsidRDefault="00CD24C1" w:rsidP="0015741A">
      <w:pPr>
        <w:rPr>
          <w:rFonts w:cs="Times New Roman"/>
        </w:rPr>
      </w:pPr>
      <w:r w:rsidRPr="00E72972">
        <w:rPr>
          <w:rFonts w:cs="Times New Roman"/>
        </w:rPr>
        <w:t>Galanis E, MacDougall L, Kidd S, Morshed M, Group TBCCGW (2010) Epidemiology ofCryptococcus gattii, British Columbia, Canada, 1999–2007. Emerg Infect Dis 16(2):251–257. https://doi.org/10.3201/eid1602.090900</w:t>
      </w:r>
    </w:p>
    <w:p w14:paraId="6F16CC24" w14:textId="77777777" w:rsidR="00231DA3" w:rsidRPr="00E72972" w:rsidRDefault="00CD24C1" w:rsidP="0015741A">
      <w:pPr>
        <w:rPr>
          <w:rFonts w:cs="Times New Roman"/>
        </w:rPr>
      </w:pPr>
      <w:r w:rsidRPr="00E72972">
        <w:rPr>
          <w:rFonts w:cs="Times New Roman"/>
        </w:rPr>
        <w:t>García-Solache M, Casadevall A (2010) Global Warming Will Bring New Fungal Diseases for Mammals. mBio 1(1). https://doi.org/10.1128/mbio.00061-10</w:t>
      </w:r>
    </w:p>
    <w:p w14:paraId="58A27DE8" w14:textId="77777777" w:rsidR="00231DA3" w:rsidRPr="00E72972" w:rsidRDefault="00CD24C1" w:rsidP="0015741A">
      <w:pPr>
        <w:rPr>
          <w:rFonts w:cs="Times New Roman"/>
        </w:rPr>
      </w:pPr>
      <w:r w:rsidRPr="00E72972">
        <w:rPr>
          <w:rFonts w:cs="Times New Roman"/>
        </w:rPr>
        <w:t>Gkoutselis G, Rohrbach S, Harjes J, Obst M, Brachmann A, Horn MA, Rambold G (2021) Microplastics accumulate fungal pathogens in terrestrial ecosystems. Sci Rep 11(1):13214. https://doi.org/10.1038/s41598-021-92405-7</w:t>
      </w:r>
    </w:p>
    <w:p w14:paraId="6CC51ECC" w14:textId="77777777" w:rsidR="00231DA3" w:rsidRPr="00E72972" w:rsidRDefault="00CD24C1" w:rsidP="0015741A">
      <w:pPr>
        <w:rPr>
          <w:rFonts w:cs="Times New Roman"/>
        </w:rPr>
      </w:pPr>
      <w:r w:rsidRPr="00E72972">
        <w:rPr>
          <w:rFonts w:cs="Times New Roman"/>
        </w:rPr>
        <w:t>Gkoutselis G, Rohrbach S, Harjes J, Brachmann A, Horn MA, Rambold G (2024) Plastiphily is linked to generic virulence traits of important human pathogenic fungi. Commun Earth Environ 5(1). https://doi.org/10.1038/s43247-023-01127-3</w:t>
      </w:r>
    </w:p>
    <w:p w14:paraId="613B5911" w14:textId="77777777" w:rsidR="00231DA3" w:rsidRPr="00E72972" w:rsidRDefault="00CD24C1" w:rsidP="0015741A">
      <w:pPr>
        <w:rPr>
          <w:rFonts w:cs="Times New Roman"/>
        </w:rPr>
      </w:pPr>
      <w:r w:rsidRPr="00E72972">
        <w:rPr>
          <w:rFonts w:cs="Times New Roman"/>
        </w:rPr>
        <w:t>Gorris ME, Treseder KK, Zender CS, Randerson JT (2019) Expansion of Coccidioidomycosis Endemic Regions in the United States in Response to Climate Change. GeoHealth 3(10):308–327. https://doi.org/10.1029/2019gh000209</w:t>
      </w:r>
    </w:p>
    <w:p w14:paraId="3CD4BCD0" w14:textId="77777777" w:rsidR="00231DA3" w:rsidRPr="00E72972" w:rsidRDefault="00CD24C1" w:rsidP="0015741A">
      <w:pPr>
        <w:rPr>
          <w:rFonts w:cs="Times New Roman"/>
        </w:rPr>
      </w:pPr>
      <w:r w:rsidRPr="00E72972">
        <w:rPr>
          <w:rFonts w:cs="Times New Roman"/>
        </w:rPr>
        <w:t>Gremião IDF, de Miranda LHM, dos Reis ÉG, Rodrigues AM, Pereira SA (2017) Zoonotic Epidemic of Sporotrichosis: Cat to Human Transmission. PLoS Pathog 13(1):e1006077. https://doi.org/10.1371/journal.ppat.1006077</w:t>
      </w:r>
    </w:p>
    <w:p w14:paraId="485C5705" w14:textId="77777777" w:rsidR="00231DA3" w:rsidRPr="00E72972" w:rsidRDefault="00CD24C1" w:rsidP="0015741A">
      <w:pPr>
        <w:rPr>
          <w:rFonts w:cs="Times New Roman"/>
        </w:rPr>
      </w:pPr>
      <w:r w:rsidRPr="00E72972">
        <w:rPr>
          <w:rFonts w:cs="Times New Roman"/>
        </w:rPr>
        <w:t>Gupta AK, Thornbush MJ, Wang T (2025) Climate Change, Natural Disasters, and Cutaneous Fungal Infections. Int J Dermatol 64(8):1349–1355. https://doi.org/10.1111/ijd.17908</w:t>
      </w:r>
    </w:p>
    <w:p w14:paraId="19834465" w14:textId="77777777" w:rsidR="00231DA3" w:rsidRPr="00E72972" w:rsidRDefault="00CD24C1" w:rsidP="0015741A">
      <w:pPr>
        <w:rPr>
          <w:rFonts w:cs="Times New Roman"/>
        </w:rPr>
      </w:pPr>
      <w:r w:rsidRPr="00E72972">
        <w:rPr>
          <w:rFonts w:cs="Times New Roman"/>
        </w:rPr>
        <w:t xml:space="preserve">Gusa A, Williams J, Cho J, Averette AF, Sun S, Shouse EM, Heitman J, Alspaugh JA, Jinks-Robertson S (2020) Transposon mobilization in the human fungal pathogen Cryptococcus is mutagenic during </w:t>
      </w:r>
      <w:r w:rsidRPr="00E72972">
        <w:rPr>
          <w:rFonts w:cs="Times New Roman"/>
        </w:rPr>
        <w:lastRenderedPageBreak/>
        <w:t>infection and promotes drug resistance in vitro. Proc Natl Acad Sci U S A 117(18):9973–9980. https://doi.org/10.1073/pnas.2001451117</w:t>
      </w:r>
    </w:p>
    <w:p w14:paraId="5BE3878B" w14:textId="77777777" w:rsidR="00231DA3" w:rsidRPr="00E72972" w:rsidRDefault="00CD24C1" w:rsidP="0015741A">
      <w:pPr>
        <w:rPr>
          <w:rFonts w:cs="Times New Roman"/>
        </w:rPr>
      </w:pPr>
      <w:r w:rsidRPr="00E72972">
        <w:rPr>
          <w:rFonts w:cs="Times New Roman"/>
        </w:rPr>
        <w:t>Gusa A, Yadav V, Roth C, Williams JD, Shouse EM, Magwene PM, Heitman J, Jinks-Robertson S (2023) Genome-wide analysis of heat stress-stimulated transposon mobility in the human fungal pathogen Cryptococcus deneoformans. Proc Natl Acad Sci U S A 120(4):e2209831120. https://doi.org/10.1073/pnas.2209831120</w:t>
      </w:r>
    </w:p>
    <w:p w14:paraId="42D3C9D2" w14:textId="77777777" w:rsidR="00231DA3" w:rsidRPr="00E72972" w:rsidRDefault="00CD24C1" w:rsidP="0015741A">
      <w:pPr>
        <w:rPr>
          <w:rFonts w:cs="Times New Roman"/>
          <w:lang w:val="it-IT"/>
        </w:rPr>
      </w:pPr>
      <w:r w:rsidRPr="00E72972">
        <w:rPr>
          <w:rFonts w:cs="Times New Roman"/>
        </w:rPr>
        <w:t xml:space="preserve">Harish E, Osherov N (2022) Fungal Priming: Prepare or Perish. </w:t>
      </w:r>
      <w:r w:rsidRPr="00E72972">
        <w:rPr>
          <w:rFonts w:cs="Times New Roman"/>
          <w:lang w:val="it-IT"/>
        </w:rPr>
        <w:t>J Fungi 8(5):448. https://doi.org/10.3390/jof8050448</w:t>
      </w:r>
    </w:p>
    <w:p w14:paraId="51F24D76" w14:textId="77777777" w:rsidR="00231DA3" w:rsidRPr="00E72972" w:rsidRDefault="00CD24C1" w:rsidP="0015741A">
      <w:pPr>
        <w:rPr>
          <w:rFonts w:cs="Times New Roman"/>
        </w:rPr>
      </w:pPr>
      <w:r w:rsidRPr="00E72972">
        <w:rPr>
          <w:rFonts w:cs="Times New Roman"/>
        </w:rPr>
        <w:t>Harms H, Schlößer</w:t>
      </w:r>
      <w:r w:rsidRPr="00E72972">
        <w:rPr>
          <w:rFonts w:cs="Times New Roman"/>
        </w:rPr>
        <w:t xml:space="preserve"> D, Wick LY (2011) Untapped potential: exploiting fungi in bioremediation of hazardous chemicals. Nat Rev Microbiol 9(3):177–192. https://doi.org/10.1038/nrmicro2519</w:t>
      </w:r>
    </w:p>
    <w:p w14:paraId="57928F58" w14:textId="77777777" w:rsidR="00231DA3" w:rsidRPr="00E72972" w:rsidRDefault="00CD24C1" w:rsidP="0015741A">
      <w:pPr>
        <w:rPr>
          <w:rFonts w:cs="Times New Roman"/>
        </w:rPr>
      </w:pPr>
      <w:r w:rsidRPr="00E72972">
        <w:rPr>
          <w:rFonts w:cs="Times New Roman"/>
        </w:rPr>
        <w:t>Hawkins H, Cargill RIM, Van Nuland ME, Hagen S, Field KJ, Sheldrake M, Soudzilovskaia NA, Kiers ET (2023) Mycorrhizal mycelium as a global carbon pool. Curr Biol 33(11):R560–R573. https://doi.org/10.1016/j.cub.2023.02.027</w:t>
      </w:r>
    </w:p>
    <w:p w14:paraId="2C91F6E4" w14:textId="77777777" w:rsidR="00231DA3" w:rsidRPr="00E72972" w:rsidRDefault="00CD24C1" w:rsidP="0015741A">
      <w:pPr>
        <w:rPr>
          <w:rFonts w:cs="Times New Roman"/>
        </w:rPr>
      </w:pPr>
      <w:r w:rsidRPr="00E72972">
        <w:rPr>
          <w:rFonts w:cs="Times New Roman"/>
        </w:rPr>
        <w:t>Hawksworth DL, Lücking R (2017) Fungal Diversity Revisited: 2.2 to 3.8 Million Species. Microbiol Spectr 5(4). https://doi.org/10.1128/microbiolspec.funk-0052-2016</w:t>
      </w:r>
    </w:p>
    <w:p w14:paraId="76B94D16" w14:textId="77777777" w:rsidR="00231DA3" w:rsidRPr="00E72972" w:rsidRDefault="00CD24C1" w:rsidP="0015741A">
      <w:pPr>
        <w:rPr>
          <w:rFonts w:cs="Times New Roman"/>
        </w:rPr>
      </w:pPr>
      <w:r w:rsidRPr="00E72972">
        <w:rPr>
          <w:rFonts w:cs="Times New Roman"/>
        </w:rPr>
        <w:t>Head JR, Sondermeyer-Cooksey G, Heaney AK, Yu AT, Jones IJ, Bhattachan A, Campo SK, Wagner R, Mgbara W, Phillips S, Keeney N, Taylor JW, Eisen EA, Lettenmaier DP, Hubbard A, Okin GS, Vugia DJ, Jain S, Remais JV (2022) Effects of precipitation, heat, and drought on incidence and expansion of coccidioidomycosis in western USA: a longitudinal surveillance study. Lancet Planet Health 6(10):e793–e803. https://doi.org/10.1016/s2542-5196(22)00202-9</w:t>
      </w:r>
    </w:p>
    <w:p w14:paraId="3DCF310A" w14:textId="77777777" w:rsidR="00231DA3" w:rsidRPr="00E72972" w:rsidRDefault="00CD24C1" w:rsidP="0015741A">
      <w:pPr>
        <w:rPr>
          <w:rFonts w:cs="Times New Roman"/>
        </w:rPr>
      </w:pPr>
      <w:r w:rsidRPr="00E72972">
        <w:rPr>
          <w:rFonts w:cs="Times New Roman"/>
        </w:rPr>
        <w:t>Huang J, Hu P, Ye L, Shen Z, Chen X, Liu F, Xie Y, Yu J, Fan X, Xiao M, Tsui CKM, Wang W, Li Y, Zhang G, Wong KH, Cai L, Bai F, Xu Y, Wang L (2024) Pan-drug resistance and hypervirulence in a human fungal pathogen are enabled by mutagenesis induced by mammalian body temperature. Nat Microbiol 9(7):1686–1699. https://doi.org/10.1038/s41564-024-01720-y</w:t>
      </w:r>
    </w:p>
    <w:p w14:paraId="509923C6" w14:textId="77777777" w:rsidR="00231DA3" w:rsidRPr="00E72972" w:rsidRDefault="00CD24C1" w:rsidP="0015741A">
      <w:pPr>
        <w:rPr>
          <w:rFonts w:cs="Times New Roman"/>
        </w:rPr>
      </w:pPr>
      <w:r w:rsidRPr="00E72972">
        <w:rPr>
          <w:rFonts w:cs="Times New Roman"/>
        </w:rPr>
        <w:t>Hughes D, Andersen SB, Hywel-Jones NL, Himaman W, Billen J, Boomsma JJ (2011) Behavioral mechanisms and morphological symptoms of zombie ants dying from fungal infection. BMC Ecol 11(1):13. https://doi.org/10.1186/1472-6785-11-13</w:t>
      </w:r>
    </w:p>
    <w:p w14:paraId="1DFE4649" w14:textId="77777777" w:rsidR="00231DA3" w:rsidRPr="00E72972" w:rsidRDefault="00CD24C1" w:rsidP="0015741A">
      <w:pPr>
        <w:rPr>
          <w:rFonts w:cs="Times New Roman"/>
        </w:rPr>
      </w:pPr>
      <w:r w:rsidRPr="00E72972">
        <w:rPr>
          <w:rFonts w:cs="Times New Roman"/>
        </w:rPr>
        <w:t>Imberti L, Tiecco G, Logiudice J, Castelli F, Quirós-Roldán E (2025) Effects of Climate Change on the Immune System: A Narrative Review. Health Sci Rep 8(4):e70627. https://doi.org/10.1002/hsr2.70627</w:t>
      </w:r>
    </w:p>
    <w:p w14:paraId="3EDB32D0" w14:textId="77777777" w:rsidR="00231DA3" w:rsidRPr="00E72972" w:rsidRDefault="00CD24C1" w:rsidP="0015741A">
      <w:pPr>
        <w:rPr>
          <w:rFonts w:cs="Times New Roman"/>
        </w:rPr>
      </w:pPr>
      <w:r w:rsidRPr="00E72972">
        <w:rPr>
          <w:rFonts w:cs="Times New Roman"/>
        </w:rPr>
        <w:t>Jara M, Frias-De-Diego A, Petit RA, Wang Y, Frías MA, Lanzas C (2025) Genomic Dynamics of the Emergent Candida auris : Exploring Climate-dependent Trends. Open Forum Infect Dis 12(10):ofaf441. https://doi.org/10.1093/ofid/ofaf441</w:t>
      </w:r>
    </w:p>
    <w:p w14:paraId="7A393CA9" w14:textId="77777777" w:rsidR="00231DA3" w:rsidRPr="00E72972" w:rsidRDefault="00CD24C1" w:rsidP="0015741A">
      <w:pPr>
        <w:rPr>
          <w:rFonts w:cs="Times New Roman"/>
        </w:rPr>
      </w:pPr>
      <w:r w:rsidRPr="00E72972">
        <w:rPr>
          <w:rFonts w:cs="Times New Roman"/>
        </w:rPr>
        <w:t>Jenks JD, Prattes J, Wurster S, Sprute R, Seidel D, Oliverio M, Egger M, del Rı́o C, Sati H, Cornely OA, Thompson GR, Kontoyiannis DP, Hoenigl M (2023) Social determinants of health as drivers of fungal disease. EClinicalMedicine 66:102325. https://doi.org/10.1016/j.eclinm.2023.102325</w:t>
      </w:r>
    </w:p>
    <w:p w14:paraId="00D91D34" w14:textId="77777777" w:rsidR="00231DA3" w:rsidRPr="00E72972" w:rsidRDefault="00CD24C1" w:rsidP="0015741A">
      <w:pPr>
        <w:rPr>
          <w:rFonts w:cs="Times New Roman"/>
        </w:rPr>
      </w:pPr>
      <w:r w:rsidRPr="00E72972">
        <w:rPr>
          <w:rFonts w:cs="Times New Roman"/>
        </w:rPr>
        <w:t>Juvvadi PR, Lee SC, Heitman J, Steinbach WJ (2016) Calcineurin in fungal virulence and drug resistance: Prospects for harnessing targeted inhibition of calcineurin for an antifungal therapeutic approach. Virulence 8(2):186–197. https://doi.org/10.1080/21505594.2016.1201250</w:t>
      </w:r>
    </w:p>
    <w:p w14:paraId="24420678" w14:textId="77777777" w:rsidR="00231DA3" w:rsidRPr="00E72972" w:rsidRDefault="00CD24C1" w:rsidP="0015741A">
      <w:pPr>
        <w:rPr>
          <w:rFonts w:cs="Times New Roman"/>
        </w:rPr>
      </w:pPr>
      <w:r w:rsidRPr="00E72972">
        <w:rPr>
          <w:rFonts w:cs="Times New Roman"/>
        </w:rPr>
        <w:lastRenderedPageBreak/>
        <w:t>Kalanxhi E, Laxminarayan R (2026) Climate change and antimicrobial resistance. Nat Rev Microbiol 24(9):610–621. https://doi.org/10.1038/s41579-026-01285-z</w:t>
      </w:r>
    </w:p>
    <w:p w14:paraId="13FEF460" w14:textId="77777777" w:rsidR="00231DA3" w:rsidRPr="00E72972" w:rsidRDefault="00CD24C1" w:rsidP="0015741A">
      <w:pPr>
        <w:rPr>
          <w:rFonts w:cs="Times New Roman"/>
        </w:rPr>
      </w:pPr>
      <w:r w:rsidRPr="00E72972">
        <w:rPr>
          <w:rFonts w:cs="Times New Roman"/>
        </w:rPr>
        <w:t>Khan S, Nadir S, Shah ZU, Shah AA, Karunarathna SC, Xu J, Khan A, Munir S, Hasan F (2017) Biodegradation of polyester polyurethane by Aspergillus tubingensis. Environ Pollut 225:469–480. https://doi.org/10.1016/j.envpol.2017.03.012</w:t>
      </w:r>
    </w:p>
    <w:p w14:paraId="36F1D07E" w14:textId="77777777" w:rsidR="00231DA3" w:rsidRPr="00E72972" w:rsidRDefault="00CD24C1" w:rsidP="0015741A">
      <w:pPr>
        <w:rPr>
          <w:rFonts w:cs="Times New Roman"/>
        </w:rPr>
      </w:pPr>
      <w:r w:rsidRPr="00E72972">
        <w:rPr>
          <w:rFonts w:cs="Times New Roman"/>
        </w:rPr>
        <w:t>Kidd S, Hagen F, Tscharke RL, Huynh M, Bartlett KH, Fyfe M, MacDougall L, Boekhout T, Kwon-Chung KJ, Meyer W (2004) A rare genotype of Cryptococcus gattii caused the cryptococcosis outbreak on Vancouver Island (British Columbia, Canada). Proc Natl Acad Sci U S A 101(49):17258–17263. https://doi.org/10.1073/pnas.0402981101</w:t>
      </w:r>
    </w:p>
    <w:p w14:paraId="75D84A26" w14:textId="77777777" w:rsidR="00231DA3" w:rsidRPr="00E72972" w:rsidRDefault="00CD24C1" w:rsidP="0015741A">
      <w:pPr>
        <w:rPr>
          <w:rFonts w:cs="Times New Roman"/>
        </w:rPr>
      </w:pPr>
      <w:r w:rsidRPr="00E72972">
        <w:rPr>
          <w:rFonts w:cs="Times New Roman"/>
        </w:rPr>
        <w:t>Kobziar LN, Vuono DC, Moore RA, Christner BC, Dean TR, Betancourt D, Watts AC, Aurell J, Gullett BK (2022) Wildland fire smoke alters the composition, diversity, and potential atmospheric function of microbial life in the aerobiome. ISME Commun 2(1):8. https://doi.org/10.1038/s43705-022-00089-5</w:t>
      </w:r>
    </w:p>
    <w:p w14:paraId="05A18A32" w14:textId="77777777" w:rsidR="00231DA3" w:rsidRPr="00E72972" w:rsidRDefault="00CD24C1" w:rsidP="0015741A">
      <w:pPr>
        <w:rPr>
          <w:rFonts w:cs="Times New Roman"/>
        </w:rPr>
      </w:pPr>
      <w:r w:rsidRPr="00E72972">
        <w:rPr>
          <w:rFonts w:cs="Times New Roman"/>
        </w:rPr>
        <w:t>Kontoyiannis DP, Casadevall A (2025) Would global warming bring an increase of invertebrate-associated cutaneous invasive fungal infections?. mBio 16(3):e0344724. https://doi.org/10.1128/mbio.03447-24</w:t>
      </w:r>
    </w:p>
    <w:p w14:paraId="213F5358" w14:textId="77777777" w:rsidR="00231DA3" w:rsidRPr="00E72972" w:rsidRDefault="00CD24C1" w:rsidP="0015741A">
      <w:pPr>
        <w:rPr>
          <w:rFonts w:cs="Times New Roman"/>
        </w:rPr>
      </w:pPr>
      <w:r w:rsidRPr="00E72972">
        <w:rPr>
          <w:rFonts w:cs="Times New Roman"/>
        </w:rPr>
        <w:t>Kontoyiannis P, Koons GL, Hicklen R, Mikos AG, Kontoyiannis DP (2019) Insect Bite–Associated Invasive Fungal Infections. Open Forum Infect Dis 6(10):ofz385. https://doi.org/10.1093/ofid/ofz385</w:t>
      </w:r>
    </w:p>
    <w:p w14:paraId="156D0CC5" w14:textId="77777777" w:rsidR="00231DA3" w:rsidRPr="00E72972" w:rsidRDefault="00CD24C1" w:rsidP="0015741A">
      <w:pPr>
        <w:rPr>
          <w:rFonts w:cs="Times New Roman"/>
        </w:rPr>
      </w:pPr>
      <w:r w:rsidRPr="00E72972">
        <w:rPr>
          <w:rFonts w:cs="Times New Roman"/>
        </w:rPr>
        <w:t>Kwon-Chung KJ, Fraser JA, Doering TL, Wang Z, Janbon G, Idnurm A, Bahn Y (2014) Cryptococcus neoformans and Cryptococcus gattii, the Etiologic Agents of Cryptococcosis. Cold Spring Harb Perspect Med 4(7):a019760. https://doi.org/10.1101/cshperspect.a019760</w:t>
      </w:r>
    </w:p>
    <w:p w14:paraId="138FA514" w14:textId="77777777" w:rsidR="00231DA3" w:rsidRPr="00E72972" w:rsidRDefault="00CD24C1" w:rsidP="0015741A">
      <w:pPr>
        <w:rPr>
          <w:rFonts w:cs="Times New Roman"/>
        </w:rPr>
      </w:pPr>
      <w:r w:rsidRPr="00E72972">
        <w:rPr>
          <w:rFonts w:cs="Times New Roman"/>
        </w:rPr>
        <w:t>Lamoth F, Kontoyiannis DP (2026) mGem: A perfect storm in the era of global warming—the convergence between thermotolerant fungi and altered immunity. mBio 17(8):e0075026. https://doi.org/10.1128/mbio.00750-26</w:t>
      </w:r>
    </w:p>
    <w:p w14:paraId="08BCBCFF" w14:textId="77777777" w:rsidR="00231DA3" w:rsidRPr="00E72972" w:rsidRDefault="00CD24C1" w:rsidP="0015741A">
      <w:pPr>
        <w:rPr>
          <w:rFonts w:cs="Times New Roman"/>
        </w:rPr>
      </w:pPr>
      <w:r w:rsidRPr="00E72972">
        <w:rPr>
          <w:rFonts w:cs="Times New Roman"/>
        </w:rPr>
        <w:t>Lax C, Nicolás FE, Navarro E, Garre V (2024) Molecular mechanisms that govern infection and antifungal resistance in Mucorales. Microbiol Mol Biol Rev 88(1):e0018822. https://doi.org/10.1128/mmbr.00188-22</w:t>
      </w:r>
    </w:p>
    <w:p w14:paraId="4BAB361D" w14:textId="77777777" w:rsidR="00231DA3" w:rsidRPr="00E72972" w:rsidRDefault="00CD24C1" w:rsidP="0015741A">
      <w:pPr>
        <w:rPr>
          <w:rFonts w:cs="Times New Roman"/>
        </w:rPr>
      </w:pPr>
      <w:r w:rsidRPr="00E72972">
        <w:rPr>
          <w:rFonts w:cs="Times New Roman"/>
        </w:rPr>
        <w:t>Lockhart SR, Etienne KA, Vallabhaneni S, Farooqi J, Chowdhary A, Govender NP, Colombo AL, Calvo B, Cuomo CA, Desjardins CA, Berkow EL, Castanheira M, Magobo RE, Jabeen K, Asghar RJ, Meis JF, Jackson BR, Chiller T, Litvintseva AP (2017) Simultaneous Emergence of Multidrug-Resistant Candida auris on 3 Continents Confirmed by Whole-Genome Sequencing and Epidemiological Analyses. Clin Infect Dis 64(2):134–140. https://doi.org/10.1093/cid/ciw691</w:t>
      </w:r>
    </w:p>
    <w:p w14:paraId="0247C836" w14:textId="77777777" w:rsidR="00231DA3" w:rsidRPr="00E72972" w:rsidRDefault="00CD24C1" w:rsidP="0015741A">
      <w:pPr>
        <w:rPr>
          <w:rFonts w:cs="Times New Roman"/>
        </w:rPr>
      </w:pPr>
      <w:r w:rsidRPr="00E72972">
        <w:rPr>
          <w:rFonts w:cs="Times New Roman"/>
        </w:rPr>
        <w:t>MacFadden DR, McGough SF, Fisman DN, Santillana M, Brownstein JS (2018) Antibiotic resistance increases with local temperature. Nat Clim Change 8(6):510–514. https://doi.org/10.1038/s41558-018-0161-6</w:t>
      </w:r>
    </w:p>
    <w:p w14:paraId="16D872A5" w14:textId="77777777" w:rsidR="00231DA3" w:rsidRPr="00E72972" w:rsidRDefault="00CD24C1" w:rsidP="0015741A">
      <w:pPr>
        <w:rPr>
          <w:rFonts w:cs="Times New Roman"/>
        </w:rPr>
      </w:pPr>
      <w:r w:rsidRPr="00E72972">
        <w:rPr>
          <w:rFonts w:cs="Times New Roman"/>
        </w:rPr>
        <w:t>Maiga AW, Deppen SA, Scaffidi BK, Baddley JW, Aldrich MC, Dittus RS, Grogan EL (2018) Mapping Histoplasma capsulatum Exposure, United States. Emerg Infect Dis 24(10):1835–1839. https://doi.org/10.3201/eid2410.180032</w:t>
      </w:r>
    </w:p>
    <w:p w14:paraId="08B2F22C" w14:textId="77777777" w:rsidR="00231DA3" w:rsidRPr="00E72972" w:rsidRDefault="00CD24C1" w:rsidP="0015741A">
      <w:pPr>
        <w:rPr>
          <w:rFonts w:cs="Times New Roman"/>
        </w:rPr>
      </w:pPr>
      <w:r w:rsidRPr="00E72972">
        <w:rPr>
          <w:rFonts w:cs="Times New Roman"/>
        </w:rPr>
        <w:t xml:space="preserve">Martel A, der Sluijs AS, Blooi M, Bert W, Ducatelle R, Fisher MC, Woeltjes AGW, Bosman W, Chiers K, Bossuyt F, Pasmans F (2013) Batrachochytrium salamandrivorans sp. nov. causes lethal </w:t>
      </w:r>
      <w:r w:rsidRPr="00E72972">
        <w:rPr>
          <w:rFonts w:cs="Times New Roman"/>
        </w:rPr>
        <w:lastRenderedPageBreak/>
        <w:t>chytridiomycosis in amphibians. Proc Natl Acad Sci U S A 110(38):15325–15329. https://doi.org/10.1073/pnas.1307356110</w:t>
      </w:r>
    </w:p>
    <w:p w14:paraId="54013E60" w14:textId="77777777" w:rsidR="00231DA3" w:rsidRPr="00E72972" w:rsidRDefault="00CD24C1" w:rsidP="0015741A">
      <w:pPr>
        <w:rPr>
          <w:rFonts w:cs="Times New Roman"/>
        </w:rPr>
      </w:pPr>
      <w:r w:rsidRPr="00E72972">
        <w:rPr>
          <w:rFonts w:cs="Times New Roman"/>
        </w:rPr>
        <w:t>Mazi PB, Sahrmann JM, Olsen MA, Coler-Reilly A, Rauseo AM, Pullen MF, Zuniga-Moya JC, Powderly WG, Spec A (2022) The Geographic Distribution of Dimorphic Mycoses in the United States for the Modern Era. Clin Infect Dis 76(7):1295–1301. https://doi.org/10.1093/cid/ciac882</w:t>
      </w:r>
    </w:p>
    <w:p w14:paraId="4EC2D226" w14:textId="77777777" w:rsidR="00231DA3" w:rsidRPr="00E72972" w:rsidRDefault="00CD24C1" w:rsidP="0015741A">
      <w:pPr>
        <w:rPr>
          <w:rFonts w:cs="Times New Roman"/>
        </w:rPr>
      </w:pPr>
      <w:r w:rsidRPr="00E72972">
        <w:rPr>
          <w:rFonts w:cs="Times New Roman"/>
        </w:rPr>
        <w:t>Medina Á, González-Jartı́n JM, Sáinz MJ (2017) Impact of global warming on mycotoxins. Curr Opin Food Sci 18:76–81. https://doi.org/10.1016/j.cofs.2017.11.009</w:t>
      </w:r>
    </w:p>
    <w:p w14:paraId="2304DD83" w14:textId="77777777" w:rsidR="00231DA3" w:rsidRPr="00E72972" w:rsidRDefault="00CD24C1" w:rsidP="0015741A">
      <w:pPr>
        <w:rPr>
          <w:rFonts w:cs="Times New Roman"/>
        </w:rPr>
      </w:pPr>
      <w:r w:rsidRPr="00E72972">
        <w:rPr>
          <w:rFonts w:cs="Times New Roman"/>
        </w:rPr>
        <w:t>Mora C, McKenzie T, Gaw IM, Dean JM, von Hammerstein H, Knudson TA, Setter RO, Smith CZ, Webster KM, Patz JA, Franklin EC (2022) Over half of known human pathogenic diseases can be aggravated by climate change. Nat Clim Change 12(9):869–875. https://doi.org/10.1038/s41558-022-01426-1</w:t>
      </w:r>
    </w:p>
    <w:p w14:paraId="0CB2BF0A" w14:textId="77777777" w:rsidR="00231DA3" w:rsidRPr="00E72972" w:rsidRDefault="00CD24C1" w:rsidP="0015741A">
      <w:pPr>
        <w:rPr>
          <w:rFonts w:cs="Times New Roman"/>
        </w:rPr>
      </w:pPr>
      <w:r w:rsidRPr="00E72972">
        <w:rPr>
          <w:rFonts w:cs="Times New Roman"/>
        </w:rPr>
        <w:t>Morano KA, Grant CM, Moye-Rowley WS (2011) The Response to Heat Shock and Oxidative Stress in Saccharomyces cerevisiae. Genetics 190(4):1157–1195. https://doi.org/10.1534/genetics.111.128033</w:t>
      </w:r>
    </w:p>
    <w:p w14:paraId="40578AF2" w14:textId="77777777" w:rsidR="00231DA3" w:rsidRPr="00E72972" w:rsidRDefault="00CD24C1" w:rsidP="0015741A">
      <w:pPr>
        <w:rPr>
          <w:rFonts w:cs="Times New Roman"/>
        </w:rPr>
      </w:pPr>
      <w:r w:rsidRPr="00E72972">
        <w:rPr>
          <w:rFonts w:cs="Times New Roman"/>
        </w:rPr>
        <w:t>Moreno-Sabater A, Normand A, Bidaud A, Crémer G, Foulet F, Brun S, Bonnal C, Aït-Ammar N, Jabet A, Ayachi A, Piarroux R, Botterel F, Houzé S, Désoubeaux G, Hennequin C, Dannaoui É (2022) Terbinafine Resistance in Dermatophytes: A French Multicenter Prospective Study. J Fungi 8(3):220. https://doi.org/10.3390/jof8030220</w:t>
      </w:r>
    </w:p>
    <w:p w14:paraId="797A351C" w14:textId="77777777" w:rsidR="00231DA3" w:rsidRPr="00E72972" w:rsidRDefault="00CD24C1" w:rsidP="0015741A">
      <w:pPr>
        <w:rPr>
          <w:rFonts w:cs="Times New Roman"/>
        </w:rPr>
      </w:pPr>
      <w:r w:rsidRPr="00E72972">
        <w:rPr>
          <w:rFonts w:cs="Times New Roman"/>
        </w:rPr>
        <w:t>Neblett Fanfair R, Benedict K, Bos J, Bennett S, Lo Y, Adebanjo T, Etienne KA, Deák E, Derado G, Shieh W, Drew CP, Zaki S, Sugerman D, Gade L, Thompson EH, Sutton DA, Engelthaler DM, Schupp JM, Brandt ME, Harris JR, Lockhart SR, Turabelidze G, Park BJ (2012) Necrotizing Cutaneous Mucormycosis after a Tornado in Joplin, Missouri, in 2011. N Engl J Med 367(23):2214–2225. https://doi.org/10.1056/nejmoa1204781</w:t>
      </w:r>
    </w:p>
    <w:p w14:paraId="60547326" w14:textId="77777777" w:rsidR="00231DA3" w:rsidRPr="00E72972" w:rsidRDefault="00CD24C1" w:rsidP="0015741A">
      <w:pPr>
        <w:rPr>
          <w:rFonts w:cs="Times New Roman"/>
        </w:rPr>
      </w:pPr>
      <w:r w:rsidRPr="00E72972">
        <w:rPr>
          <w:rFonts w:cs="Times New Roman"/>
        </w:rPr>
        <w:t>Nicholls SM, MacCallum DM, Kaffarnik F, Selway L, Peck SC, Brown AJP (2010) Activation of the heat shock transcription factor Hsf1 is essential for the full virulence of the fungal pathogen Candida albicans. Fungal Genet Biol 48(3):297–305. https://doi.org/10.1016/j.fgb.2010.08.010</w:t>
      </w:r>
    </w:p>
    <w:p w14:paraId="22D25BF0" w14:textId="77777777" w:rsidR="00231DA3" w:rsidRPr="00E72972" w:rsidRDefault="00CD24C1" w:rsidP="0015741A">
      <w:pPr>
        <w:rPr>
          <w:rFonts w:cs="Times New Roman"/>
        </w:rPr>
      </w:pPr>
      <w:r w:rsidRPr="00E72972">
        <w:rPr>
          <w:rFonts w:cs="Times New Roman"/>
        </w:rPr>
        <w:t>Nnadi NE, Carter D (2021) Climate change and the emergence of fungal pathogens. PLoS Pathog 17(4):e1009503. https://doi.org/10.1371/journal.ppat.1009503</w:t>
      </w:r>
    </w:p>
    <w:p w14:paraId="7B1DC593" w14:textId="77777777" w:rsidR="00231DA3" w:rsidRPr="00E72972" w:rsidRDefault="00CD24C1" w:rsidP="0015741A">
      <w:pPr>
        <w:rPr>
          <w:rFonts w:cs="Times New Roman"/>
        </w:rPr>
      </w:pPr>
      <w:r w:rsidRPr="00E72972">
        <w:rPr>
          <w:rFonts w:cs="Times New Roman"/>
        </w:rPr>
        <w:t>Protsiv M, Ley C, Lankester J, Hastie T, Parsonnet J (2020) Decreasing human body temperature in the United States since the Industrial Revolution. eLife 9. https://doi.org/10.7554/elife.49555</w:t>
      </w:r>
    </w:p>
    <w:p w14:paraId="40318BDE" w14:textId="77777777" w:rsidR="00231DA3" w:rsidRPr="00E72972" w:rsidRDefault="00CD24C1" w:rsidP="0015741A">
      <w:pPr>
        <w:rPr>
          <w:rFonts w:cs="Times New Roman"/>
        </w:rPr>
      </w:pPr>
      <w:r w:rsidRPr="00E72972">
        <w:rPr>
          <w:rFonts w:cs="Times New Roman"/>
        </w:rPr>
        <w:t>Rao CY, Riggs MA, Chew GL, Muilenberg ML, Thorne PS, Van Sickle D, Dunn KH, Brown C (2007) Characterization of Airborne Molds, Endotoxins, and Glucans in Homes in New Orleans after Hurricanes Katrina and Rita. Appl Environ Microbiol 73(5):1630–1634. https://doi.org/10.1128/aem.01973-06</w:t>
      </w:r>
    </w:p>
    <w:p w14:paraId="47CF9A0A" w14:textId="77777777" w:rsidR="00231DA3" w:rsidRPr="00E72972" w:rsidRDefault="00CD24C1" w:rsidP="0015741A">
      <w:pPr>
        <w:rPr>
          <w:rFonts w:cs="Times New Roman"/>
        </w:rPr>
      </w:pPr>
      <w:r w:rsidRPr="00E72972">
        <w:rPr>
          <w:rFonts w:cs="Times New Roman"/>
        </w:rPr>
        <w:t>Rhodes J, Abdolrasouli A, Dunne K, Sewell TR, Zhang Y, Ballard E, Brackin AP, van Rhijn N, Chown H, Tsitsopoulou A, Posso R, Chotirmall SH, McElvaney NG, Murphy PG, Talento AF, Renwick JAA, Dyer PS, Székely A, Bowyer P, Bromley M, Johnson EM, White PL, Warris A, Barton R, Schelenz S, Rogers TR, Armstrong-James D, Fisher MC (2022) Population genomics confirms acquisition of drug-resistant Aspergillus fumigatus infection by humans from the environment. Nat Microbiol 7(5):663–674. https://doi.org/10.1038/s4156</w:t>
      </w:r>
      <w:r w:rsidRPr="00E72972">
        <w:rPr>
          <w:rFonts w:cs="Times New Roman"/>
        </w:rPr>
        <w:t>4-022-01091-2</w:t>
      </w:r>
    </w:p>
    <w:p w14:paraId="02555C09" w14:textId="77777777" w:rsidR="00231DA3" w:rsidRPr="00E72972" w:rsidRDefault="00CD24C1" w:rsidP="0015741A">
      <w:pPr>
        <w:rPr>
          <w:rFonts w:cs="Times New Roman"/>
        </w:rPr>
      </w:pPr>
      <w:r w:rsidRPr="00E72972">
        <w:rPr>
          <w:rFonts w:cs="Times New Roman"/>
        </w:rPr>
        <w:t>Robert V, Casadevall A (2009) Vertebrate Endothermy Restricts Most Fungi as Potential Pathogens. J Infect Dis 200(10):1623–1626. https://doi.org/10.1086/644642</w:t>
      </w:r>
    </w:p>
    <w:p w14:paraId="1FB8760D" w14:textId="77777777" w:rsidR="00231DA3" w:rsidRPr="00E72972" w:rsidRDefault="00CD24C1" w:rsidP="0015741A">
      <w:pPr>
        <w:rPr>
          <w:rFonts w:cs="Times New Roman"/>
          <w:lang w:val="it-IT"/>
        </w:rPr>
      </w:pPr>
      <w:r w:rsidRPr="00E72972">
        <w:rPr>
          <w:rFonts w:cs="Times New Roman"/>
        </w:rPr>
        <w:t xml:space="preserve">Rodrigues AM, Teixeira MDM, de Hoog S, Schubach TMP, Pereira SA, Fernandes GF, Bezerra LML, Felipe MSS, Camargo ZPD (2013) Phylogenetic Analysis Reveals a High Prevalence of Sporothrix brasiliensis in Feline Sporotrichosis Outbreaks. </w:t>
      </w:r>
      <w:r w:rsidRPr="00E72972">
        <w:rPr>
          <w:rFonts w:cs="Times New Roman"/>
          <w:lang w:val="it-IT"/>
        </w:rPr>
        <w:t>PLoS Negl Trop Dis 7(6):e2281. https://doi.org/10.1371/journal.pntd.0002281</w:t>
      </w:r>
    </w:p>
    <w:p w14:paraId="02958DB9" w14:textId="77777777" w:rsidR="00231DA3" w:rsidRPr="00E72972" w:rsidRDefault="00CD24C1" w:rsidP="0015741A">
      <w:pPr>
        <w:rPr>
          <w:rFonts w:cs="Times New Roman"/>
        </w:rPr>
      </w:pPr>
      <w:r w:rsidRPr="00E72972">
        <w:rPr>
          <w:rFonts w:cs="Times New Roman"/>
        </w:rPr>
        <w:t>Rohr JR, Raffel TR (2010) Linking global climate and temperature variability to widespread amphibian declines putatively caused by disease. Proc Natl Acad Sci U S A 107(18):8269–8274. https://doi.org/10.1073/pnas.0912883107</w:t>
      </w:r>
    </w:p>
    <w:p w14:paraId="3E6A90C7" w14:textId="77777777" w:rsidR="00231DA3" w:rsidRPr="00E72972" w:rsidRDefault="00CD24C1" w:rsidP="0015741A">
      <w:pPr>
        <w:rPr>
          <w:rFonts w:cs="Times New Roman"/>
        </w:rPr>
      </w:pPr>
      <w:r w:rsidRPr="00E72972">
        <w:rPr>
          <w:rFonts w:cs="Times New Roman"/>
        </w:rPr>
        <w:t>Rokas A (2022) Evolution of the human pathogenic lifestyle in fungi. Nat Microbiol 7(5):607–619. https://doi.org/10.1038/s41564-022-01112-0</w:t>
      </w:r>
    </w:p>
    <w:p w14:paraId="19410055" w14:textId="77777777" w:rsidR="00231DA3" w:rsidRPr="00E72972" w:rsidRDefault="00CD24C1" w:rsidP="0015741A">
      <w:pPr>
        <w:rPr>
          <w:rFonts w:cs="Times New Roman"/>
        </w:rPr>
      </w:pPr>
      <w:r w:rsidRPr="00E72972">
        <w:rPr>
          <w:rFonts w:cs="Times New Roman"/>
        </w:rPr>
        <w:t>Rossow J, Queiroz-Telles F, Cáceres DH, Beer KD, Jackson BR, Brunelli JGP, Gremião IDF, Pereira SA (2020) A One Health Approach to Combatting Sporothrix brasiliensis: Narrative Review of an Emerging Zoonotic Fungal Pathogen in South America. J Fungi 6(4):247. https://doi.org/10.3390/jof6040247</w:t>
      </w:r>
    </w:p>
    <w:p w14:paraId="6DB685C8" w14:textId="77777777" w:rsidR="00231DA3" w:rsidRPr="00E72972" w:rsidRDefault="00CD24C1" w:rsidP="0015741A">
      <w:pPr>
        <w:rPr>
          <w:rFonts w:cs="Times New Roman"/>
        </w:rPr>
      </w:pPr>
      <w:r w:rsidRPr="00E72972">
        <w:rPr>
          <w:rFonts w:cs="Times New Roman"/>
        </w:rPr>
        <w:t>Scheele BC, Pasmans F, Skerratt LF, Berger L, Martel A, Beukema W, Acevedo AA, Burrowes PA, Carvalho T, Catenazzi A, De la Riva I, Fisher MC, Flechas SV, Foster CN, Frías-Álvarez P, Garner TWJ, Gratwicke B, Guayasamin JM, Hirschfeld M, Kolby JE, Kosch TA, La Marca E, Lindenmayer DB, Lips KR, Longo AV, Maneyro R, McDonald CA, Mendelson JR, Palacios-Rodríguez P, Parra-Olea G, Richards-Zawacki CL, Rödel M, Rovito SM, Azat C, Toledo LF, Voyles J, Weldon C, Whitfield SM, Wilkinson M, Zamudio KR, Canessa S (2019)</w:t>
      </w:r>
      <w:r w:rsidRPr="00E72972">
        <w:rPr>
          <w:rFonts w:cs="Times New Roman"/>
        </w:rPr>
        <w:t xml:space="preserve"> Amphibian fungal panzootic causes catastrophic and ongoing loss of biodiversity. Science 363(6434):1459–1463. https://doi.org/10.1126/science.aav0379</w:t>
      </w:r>
    </w:p>
    <w:p w14:paraId="0E373FBF" w14:textId="77777777" w:rsidR="00231DA3" w:rsidRPr="00E72972" w:rsidRDefault="00CD24C1" w:rsidP="0015741A">
      <w:pPr>
        <w:rPr>
          <w:rFonts w:cs="Times New Roman"/>
        </w:rPr>
      </w:pPr>
      <w:r w:rsidRPr="00E72972">
        <w:rPr>
          <w:rFonts w:cs="Times New Roman"/>
        </w:rPr>
        <w:t>Schelenz S, Hagen F, Rhodes J, Abdolrasouli A, Chowdhary A, Hall AJ, Ryan L, Shackleton J, Trimlett R, Meis JF, Armstrong-James D, Fisher MC (2016) First hospital outbreak of the globally emerging Candida auris in a European hospital. Antimicrob Resist Infect Control 5(1):35. https://doi.org/10.1186/s13756-016-0132-5</w:t>
      </w:r>
    </w:p>
    <w:p w14:paraId="7895400D" w14:textId="77777777" w:rsidR="00231DA3" w:rsidRPr="00E72972" w:rsidRDefault="00CD24C1" w:rsidP="0015741A">
      <w:pPr>
        <w:rPr>
          <w:rFonts w:cs="Times New Roman"/>
        </w:rPr>
      </w:pPr>
      <w:r w:rsidRPr="00E72972">
        <w:rPr>
          <w:rFonts w:cs="Times New Roman"/>
        </w:rPr>
        <w:t>Seidel D, Wurster S, Jenks JD, Sati H, Gangneux J, Egger M, Alastruey-Izquierdo A, Ford N, Chowdhary A, Sprute R, Cornely OA, Thompson GR, Hoenigl M, Kontoyiannis DP (2024) Impact of climate change and natural disasters on fungal infections. Lancet Microbe 5(6):e594–e605. https://doi.org/10.1016/s2666-5247(24)00039-9</w:t>
      </w:r>
    </w:p>
    <w:p w14:paraId="10C71F5F" w14:textId="77777777" w:rsidR="00231DA3" w:rsidRPr="00E72972" w:rsidRDefault="00CD24C1" w:rsidP="0015741A">
      <w:pPr>
        <w:rPr>
          <w:rFonts w:cs="Times New Roman"/>
        </w:rPr>
      </w:pPr>
      <w:r w:rsidRPr="00E72972">
        <w:rPr>
          <w:rFonts w:cs="Times New Roman"/>
        </w:rPr>
        <w:t>Selmecki A, Forche A, Berman J (2006) Aneuploidy and Isochromosome Formation in Drug-Resistant Candida albicans. Science 313(5785):367–370. https://doi.org/10.1126/science.1128242</w:t>
      </w:r>
    </w:p>
    <w:p w14:paraId="420B41AC" w14:textId="77777777" w:rsidR="00231DA3" w:rsidRPr="00E72972" w:rsidRDefault="00CD24C1" w:rsidP="0015741A">
      <w:pPr>
        <w:rPr>
          <w:rFonts w:cs="Times New Roman"/>
        </w:rPr>
      </w:pPr>
      <w:r w:rsidRPr="00E72972">
        <w:rPr>
          <w:rFonts w:cs="Times New Roman"/>
        </w:rPr>
        <w:t>Singh BK, Delgado-Baquerizo M, Egidi E, Guirado E, Leach JE, Liu H, Trivedi P (2023) Climate change impacts on plant pathogens, food security and paths forward. Nat Rev Microbiol 21(10):640–656. https://doi.org/10.1038/s41579-023-00900-7</w:t>
      </w:r>
    </w:p>
    <w:p w14:paraId="44E34C3C" w14:textId="77777777" w:rsidR="00231DA3" w:rsidRPr="00E72972" w:rsidRDefault="00CD24C1" w:rsidP="0015741A">
      <w:pPr>
        <w:rPr>
          <w:rFonts w:cs="Times New Roman"/>
        </w:rPr>
      </w:pPr>
      <w:r w:rsidRPr="00E72972">
        <w:rPr>
          <w:rFonts w:cs="Times New Roman"/>
        </w:rPr>
        <w:t>Smith DFQ, Casadevall A (2022) Disaster Microbiology—a New Field of Study. mBio 13(4):e0168022. https://doi.org/10.1128/mbio.01680-22</w:t>
      </w:r>
    </w:p>
    <w:p w14:paraId="5EF07116" w14:textId="77777777" w:rsidR="00231DA3" w:rsidRPr="00E72972" w:rsidRDefault="00CD24C1" w:rsidP="0015741A">
      <w:pPr>
        <w:rPr>
          <w:rFonts w:cs="Times New Roman"/>
          <w:lang w:val="it-IT"/>
        </w:rPr>
      </w:pPr>
      <w:r w:rsidRPr="00E72972">
        <w:rPr>
          <w:rFonts w:cs="Times New Roman"/>
        </w:rPr>
        <w:t xml:space="preserve">Smith DFQ, Casadevall A (2023) Disaster mycology. </w:t>
      </w:r>
      <w:r w:rsidRPr="00E72972">
        <w:rPr>
          <w:rFonts w:cs="Times New Roman"/>
          <w:lang w:val="it-IT"/>
        </w:rPr>
        <w:t>Biomedica 43(Sp. 1):267–277. https://doi.org/10.7705/biomedica.6943</w:t>
      </w:r>
    </w:p>
    <w:p w14:paraId="492F4A49" w14:textId="77777777" w:rsidR="00231DA3" w:rsidRPr="00E72972" w:rsidRDefault="00CD24C1" w:rsidP="0015741A">
      <w:pPr>
        <w:rPr>
          <w:rFonts w:cs="Times New Roman"/>
        </w:rPr>
      </w:pPr>
      <w:r w:rsidRPr="00E72972">
        <w:rPr>
          <w:rFonts w:cs="Times New Roman"/>
        </w:rPr>
        <w:t>Smith DFQ, Kulkarni M, Bencomo A, Faiez TS, Hardwick JM, Casadevall A (2025) Environmental fungi from cool and warm neighborhoods in the heat island of Baltimore City show differences in thermal susceptibility and pigmentation. ISME Commun 5(1):ycaf177. https://doi.org/10.1093/ismeco/ycaf177</w:t>
      </w:r>
    </w:p>
    <w:p w14:paraId="36419E93" w14:textId="77777777" w:rsidR="00231DA3" w:rsidRPr="00E72972" w:rsidRDefault="00CD24C1" w:rsidP="0015741A">
      <w:pPr>
        <w:rPr>
          <w:rFonts w:cs="Times New Roman"/>
        </w:rPr>
      </w:pPr>
      <w:r w:rsidRPr="00E72972">
        <w:rPr>
          <w:rFonts w:cs="Times New Roman"/>
        </w:rPr>
        <w:t>Smith DJ, Williams S, Group EMSP, Benedict K, Jackson BR, Toda M, Group EMSP, Adame G, Rothfeldt L, Cooksey GS, Rios K, Austin C, Steppig M, Tubach S, Christophe N, Lunquest K, Reik R, Ireland M, Power DJ, Bridges D, Cronquist L, Cibulskas K, Cieslak PR, Warren K, Gosciminski M, Ortbahn D, Osborn B, Oltean HN, Gibbons-Burgener S (2022) Surveillance for Coccidioidomycosis, Histoplasmosis, and Blastomycosis — United States, 2019. MMWR Surveill Summ 71(7):1–14. https://doi.org/10.15585/mmwr.ss7107a1</w:t>
      </w:r>
    </w:p>
    <w:p w14:paraId="0E6D2EE5" w14:textId="77777777" w:rsidR="00231DA3" w:rsidRPr="00E72972" w:rsidRDefault="00CD24C1" w:rsidP="0015741A">
      <w:pPr>
        <w:rPr>
          <w:rFonts w:cs="Times New Roman"/>
        </w:rPr>
      </w:pPr>
      <w:r w:rsidRPr="00E72972">
        <w:rPr>
          <w:rFonts w:cs="Times New Roman"/>
        </w:rPr>
        <w:t>Snelders E, Camps SMT, Karawajczyk A, Schaftenaar G, Kema GHJ, van der Lee HA, Klaassen CHW, Melchers WJG, Verweij PE (2012) Triazole Fungicides Can Induce Cross-Resistance to Medical Triazoles in Aspergillus fumigatus. PLoS One 7(3):e31801. https://doi.org/10.1371/journal.pone.0031801</w:t>
      </w:r>
    </w:p>
    <w:p w14:paraId="0DACB13B" w14:textId="77777777" w:rsidR="00231DA3" w:rsidRPr="00E72972" w:rsidRDefault="00CD24C1" w:rsidP="0015741A">
      <w:pPr>
        <w:rPr>
          <w:rFonts w:cs="Times New Roman"/>
        </w:rPr>
      </w:pPr>
      <w:r w:rsidRPr="00E72972">
        <w:rPr>
          <w:rFonts w:cs="Times New Roman"/>
        </w:rPr>
        <w:t>Steenwyk JL, Soghigian J, Perfect JR, Gibbons JG (2016) Copy number variation contributes to cryptic genetic variation in outbreak lineages of Cryptococcus gattii from the North American Pacific Northwest. BMC Genomics 17(1):700. https://doi.org/10.1186/s12864-016-3044-0</w:t>
      </w:r>
    </w:p>
    <w:p w14:paraId="3517D417" w14:textId="77777777" w:rsidR="00231DA3" w:rsidRPr="00E72972" w:rsidRDefault="00CD24C1" w:rsidP="0015741A">
      <w:pPr>
        <w:rPr>
          <w:rFonts w:cs="Times New Roman"/>
        </w:rPr>
      </w:pPr>
      <w:r w:rsidRPr="00E72972">
        <w:rPr>
          <w:rFonts w:cs="Times New Roman"/>
        </w:rPr>
        <w:t>Steinbach WJ, Reedy JL, Cramer RA, Perfect JR, Heitman J (2007) Harnessing calcineurin as a novel anti-infective agent against invasive fungal infections. Nat Rev Microbiol 5(6):418–430. https://doi.org/10.1038/nrmicro1680</w:t>
      </w:r>
    </w:p>
    <w:p w14:paraId="6E303DE9" w14:textId="77777777" w:rsidR="00231DA3" w:rsidRPr="00E72972" w:rsidRDefault="00CD24C1" w:rsidP="0015741A">
      <w:pPr>
        <w:rPr>
          <w:rFonts w:cs="Times New Roman"/>
        </w:rPr>
      </w:pPr>
      <w:r w:rsidRPr="00E72972">
        <w:rPr>
          <w:rFonts w:cs="Times New Roman"/>
        </w:rPr>
        <w:t>Stevenson LA, Alford RA, Bell SC, Roznik EA, Berger L, Pike DA (2013) Variation in Thermal Performance of a Widespread Pathogen, the Amphibian Chytrid Fungus Batrachochytrium dendrobatidis. PLoS One 8(9):e73830. https://doi.org/10.1371/journal.pone.0073830</w:t>
      </w:r>
    </w:p>
    <w:p w14:paraId="4BC3FF64" w14:textId="77777777" w:rsidR="00231DA3" w:rsidRPr="00E72972" w:rsidRDefault="00CD24C1" w:rsidP="0015741A">
      <w:pPr>
        <w:rPr>
          <w:rFonts w:cs="Times New Roman"/>
        </w:rPr>
      </w:pPr>
      <w:r w:rsidRPr="00E72972">
        <w:rPr>
          <w:rFonts w:cs="Times New Roman"/>
        </w:rPr>
        <w:t>Toda M, Williams S, Jackson BR, Wurster S, Serpa JA, Nigo M, Grimes CZ, Atmar RL, Chiller T, Ostrosky-Zeichner L, Kontoyiannis DP (2023) Invasive Mold Infections Following Hurricane Harvey—Houston, Texas. Open Forum Infect Dis 10(3):ofad093. https://doi.org/10.1093/ofid/ofad093</w:t>
      </w:r>
    </w:p>
    <w:p w14:paraId="392980F6" w14:textId="77777777" w:rsidR="00231DA3" w:rsidRPr="00E72972" w:rsidRDefault="00CD24C1" w:rsidP="0015741A">
      <w:pPr>
        <w:rPr>
          <w:rFonts w:cs="Times New Roman"/>
        </w:rPr>
      </w:pPr>
      <w:r w:rsidRPr="00E72972">
        <w:rPr>
          <w:rFonts w:cs="Times New Roman"/>
        </w:rPr>
        <w:t>Tong D, Wang JXL, Gill TE, Lei H, Wang B (2017) Intensified dust storm activity and Valley fever infection in the southwestern United States. Geophys Res Lett 44(9):4304–4312. https://doi.org/10.1002/2017gl073524</w:t>
      </w:r>
    </w:p>
    <w:p w14:paraId="08452AD9" w14:textId="77777777" w:rsidR="00231DA3" w:rsidRPr="00E72972" w:rsidRDefault="00CD24C1" w:rsidP="0015741A">
      <w:pPr>
        <w:rPr>
          <w:rFonts w:cs="Times New Roman"/>
        </w:rPr>
      </w:pPr>
      <w:r w:rsidRPr="00E72972">
        <w:rPr>
          <w:rFonts w:cs="Times New Roman"/>
        </w:rPr>
        <w:t>Uhrlaß S, Verma SB, Gräser Y, Rezaei-Matehkolaei A, Hatami M, Schaller M, Nenoff P (2022) Trichophyton indotineae—An Emerging Pathogen Causing Recalcitrant Dermatophytoses in India and Worldwide—A Multidimensional Perspective. J Fungi 8(7):757. https://doi.org/10.3390/jof8070757</w:t>
      </w:r>
    </w:p>
    <w:p w14:paraId="60897343" w14:textId="77777777" w:rsidR="00231DA3" w:rsidRPr="00E72972" w:rsidRDefault="00CD24C1" w:rsidP="0015741A">
      <w:pPr>
        <w:rPr>
          <w:rFonts w:cs="Times New Roman"/>
        </w:rPr>
      </w:pPr>
      <w:r w:rsidRPr="00E72972">
        <w:rPr>
          <w:rFonts w:cs="Times New Roman"/>
        </w:rPr>
        <w:t>van Rhijn N, Rhodes J (2025) Evolution of antifungal resistance in the environment. Nat Microbiol 10(8):1804–1815. https://doi.org/10.1038/s41564-025-02055-y</w:t>
      </w:r>
    </w:p>
    <w:p w14:paraId="1417C688" w14:textId="77777777" w:rsidR="00231DA3" w:rsidRPr="00E72972" w:rsidRDefault="00CD24C1" w:rsidP="0015741A">
      <w:pPr>
        <w:rPr>
          <w:rFonts w:cs="Times New Roman"/>
        </w:rPr>
      </w:pPr>
      <w:r w:rsidRPr="00E72972">
        <w:rPr>
          <w:rFonts w:cs="Times New Roman"/>
        </w:rPr>
        <w:t>Verweij PE, Snelders E, Kema GHJ, Mellado E, Melchers WJG (2009) Azole resistance in Aspergillus fumigatus: a side-effect of environmental fungicide use?. Lancet Infect Dis 9(12):789–795. https://doi.org/10.1016/s1473-3099(09)70265-8</w:t>
      </w:r>
    </w:p>
    <w:p w14:paraId="6F28062D" w14:textId="77777777" w:rsidR="00231DA3" w:rsidRPr="00E72972" w:rsidRDefault="00CD24C1" w:rsidP="0015741A">
      <w:pPr>
        <w:rPr>
          <w:rFonts w:cs="Times New Roman"/>
        </w:rPr>
      </w:pPr>
      <w:r w:rsidRPr="00E72972">
        <w:rPr>
          <w:rFonts w:cs="Times New Roman"/>
        </w:rPr>
        <w:t>Verweij PE, Chowdhary A, Melchers WJG, Meis JF (2015) Azole Resistance in Aspergillus fumigatus : Can We Retain the Clinical Use of Mold-Active Antifungal Azoles?. Clin Infect Dis 62(3):362–368. https://doi.org/10.1093/cid/civ885</w:t>
      </w:r>
    </w:p>
    <w:p w14:paraId="6D81E415" w14:textId="77777777" w:rsidR="00231DA3" w:rsidRPr="00E72972" w:rsidRDefault="00CD24C1" w:rsidP="0015741A">
      <w:pPr>
        <w:rPr>
          <w:rFonts w:cs="Times New Roman"/>
        </w:rPr>
      </w:pPr>
      <w:r w:rsidRPr="00E72972">
        <w:rPr>
          <w:rFonts w:cs="Times New Roman"/>
        </w:rPr>
        <w:t>Wilken JA, Sondermeyer GL, Shusterman D, McNary J, Vugia DJ, McDowell A, Borenstein P, Gilliss D, Ancock B, Prudhomme JC, Gold DT, Windham GC, Lee L, Materna BL (2015) Coccidioidomycosis among Workers Constructing Solar Power Farms, California, USA, 2011–2014. Emerg Infect Dis 21(11):1997–2005. https://doi.org/10.3201/eid2111.150129</w:t>
      </w:r>
    </w:p>
    <w:p w14:paraId="2B17DDA9" w14:textId="77777777" w:rsidR="00231DA3" w:rsidRPr="00E72972" w:rsidRDefault="00CD24C1" w:rsidP="0015741A">
      <w:pPr>
        <w:rPr>
          <w:rFonts w:cs="Times New Roman"/>
        </w:rPr>
      </w:pPr>
      <w:r w:rsidRPr="00E72972">
        <w:rPr>
          <w:rFonts w:cs="Times New Roman"/>
        </w:rPr>
        <w:t>Wu R, Trubl G, Taş N, Jansson J (2022) Permafrost as a potential pathogen reservoir. One Earth 5(4):351–360. https://doi.org/10.1016/j.oneear.2022.03.010</w:t>
      </w:r>
    </w:p>
    <w:p w14:paraId="4D9F62C0" w14:textId="77777777" w:rsidR="00231DA3" w:rsidRPr="00E72972" w:rsidRDefault="00CD24C1" w:rsidP="0015741A">
      <w:pPr>
        <w:rPr>
          <w:rFonts w:cs="Times New Roman"/>
        </w:rPr>
      </w:pPr>
      <w:r w:rsidRPr="00E72972">
        <w:rPr>
          <w:rFonts w:cs="Times New Roman"/>
        </w:rPr>
        <w:t>Zingales V, Taroncher M, Martino PA, Ruiz M, Caloni F (2022) Climate Change and Effects on Molds and Mycotoxins. Toxins 14(7):445. https://doi.org/10.3390/toxins14070445</w:t>
      </w:r>
    </w:p>
    <w:p w14:paraId="769C4F17" w14:textId="77777777" w:rsidR="00231DA3" w:rsidRPr="00E72972" w:rsidRDefault="00CD24C1" w:rsidP="0015741A">
      <w:pPr>
        <w:pStyle w:val="Heading1"/>
        <w:rPr>
          <w:rFonts w:ascii="Times New Roman" w:hAnsi="Times New Roman" w:cs="Times New Roman"/>
        </w:rPr>
      </w:pPr>
      <w:r w:rsidRPr="00E72972">
        <w:rPr>
          <w:rFonts w:ascii="Times New Roman" w:hAnsi="Times New Roman" w:cs="Times New Roman"/>
        </w:rPr>
        <w:t>References requiring author verification</w:t>
      </w:r>
    </w:p>
    <w:p w14:paraId="65932269" w14:textId="77777777" w:rsidR="00231DA3" w:rsidRPr="00583D17" w:rsidRDefault="00CD24C1" w:rsidP="0015741A">
      <w:pPr>
        <w:rPr>
          <w:rFonts w:cs="Times New Roman"/>
          <w:highlight w:val="yellow"/>
        </w:rPr>
      </w:pPr>
      <w:r w:rsidRPr="00583D17">
        <w:rPr>
          <w:rFonts w:cs="Times New Roman"/>
          <w:highlight w:val="yellow"/>
        </w:rPr>
        <w:t>The following two sources are cited in the source presentation and are load-bearing for the chapter's argument, but could not be resolved to verified bibliographic records during drafting (OpenAlex; Crossref unavailable). They are marked [VERIFY] at every point of use in the draft and must be completed or removed before submission.</w:t>
      </w:r>
    </w:p>
    <w:p w14:paraId="589BF620" w14:textId="77777777" w:rsidR="00231DA3" w:rsidRPr="00583D17" w:rsidRDefault="00CD24C1" w:rsidP="0015741A">
      <w:pPr>
        <w:pStyle w:val="ListNumber"/>
        <w:rPr>
          <w:rFonts w:cs="Times New Roman"/>
          <w:highlight w:val="yellow"/>
        </w:rPr>
      </w:pPr>
      <w:r w:rsidRPr="00583D17">
        <w:rPr>
          <w:rFonts w:cs="Times New Roman"/>
          <w:highlight w:val="yellow"/>
        </w:rPr>
        <w:t>Wurster S, et al. (2020) [Tornadic shear stress and calcineurin/Hsp90-dependent hypervirulence</w:t>
      </w:r>
    </w:p>
    <w:p w14:paraId="723E1D9C" w14:textId="77777777" w:rsidR="00231DA3" w:rsidRPr="00583D17" w:rsidRDefault="00CD24C1" w:rsidP="0015741A">
      <w:pPr>
        <w:rPr>
          <w:rFonts w:cs="Times New Roman"/>
          <w:highlight w:val="yellow"/>
        </w:rPr>
      </w:pPr>
      <w:r w:rsidRPr="00583D17">
        <w:rPr>
          <w:rFonts w:cs="Times New Roman"/>
          <w:highlight w:val="yellow"/>
        </w:rPr>
        <w:t>in Mucorales]. mBio — volume, pages and DOI to be supplied by the authors.</w:t>
      </w:r>
    </w:p>
    <w:p w14:paraId="5402F0C4" w14:textId="77777777" w:rsidR="00231DA3" w:rsidRPr="00583D17" w:rsidRDefault="00CD24C1" w:rsidP="0015741A">
      <w:pPr>
        <w:pStyle w:val="ListNumber"/>
        <w:rPr>
          <w:rFonts w:cs="Times New Roman"/>
          <w:highlight w:val="yellow"/>
        </w:rPr>
      </w:pPr>
      <w:r w:rsidRPr="00583D17">
        <w:rPr>
          <w:rFonts w:cs="Times New Roman"/>
          <w:highlight w:val="yellow"/>
        </w:rPr>
        <w:t>Money NP (2024) [Sceptical assessment of climate change as a driver of pathogenic fungi].</w:t>
      </w:r>
    </w:p>
    <w:p w14:paraId="0FDB7C3A" w14:textId="77777777" w:rsidR="00231DA3" w:rsidRPr="00E72972" w:rsidRDefault="00CD24C1" w:rsidP="0015741A">
      <w:pPr>
        <w:rPr>
          <w:rFonts w:cs="Times New Roman"/>
        </w:rPr>
      </w:pPr>
      <w:r w:rsidRPr="00583D17">
        <w:rPr>
          <w:rFonts w:cs="Times New Roman"/>
          <w:highlight w:val="yellow"/>
        </w:rPr>
        <w:t>Fungal Biology — title, volume, pages and DOI to be supplied by the authors.</w:t>
      </w:r>
    </w:p>
    <w:p w14:paraId="72397B8F" w14:textId="77777777" w:rsidR="00231DA3" w:rsidRPr="00E72972" w:rsidRDefault="00CD24C1" w:rsidP="0015741A">
      <w:pPr>
        <w:pStyle w:val="Heading1"/>
        <w:rPr>
          <w:rFonts w:ascii="Times New Roman" w:hAnsi="Times New Roman" w:cs="Times New Roman"/>
        </w:rPr>
      </w:pPr>
      <w:r w:rsidRPr="00E72972">
        <w:rPr>
          <w:rFonts w:ascii="Times New Roman" w:hAnsi="Times New Roman" w:cs="Times New Roman"/>
        </w:rPr>
        <w:t>Index terms (to be marked with the MS Word indexing function)</w:t>
      </w:r>
    </w:p>
    <w:p w14:paraId="22460986" w14:textId="0A539480" w:rsidR="00897241" w:rsidRDefault="00CD24C1" w:rsidP="0015741A">
      <w:pPr>
        <w:rPr>
          <w:rFonts w:cs="Times New Roman"/>
        </w:rPr>
      </w:pPr>
      <w:r w:rsidRPr="00E72972">
        <w:rPr>
          <w:rFonts w:cs="Times New Roman"/>
        </w:rPr>
        <w:t xml:space="preserve">thermal adaptation; thermotolerance; thermal exclusion zone; endothermy; heat shock protein 90; heat shock factor; calcineurin; cyclosporine A; transposable element; epimutation; aneuploidy; oxidative stress; stress priming; melanin; </w:t>
      </w:r>
      <w:r w:rsidRPr="00E72972">
        <w:rPr>
          <w:rFonts w:cs="Times New Roman"/>
          <w:i/>
        </w:rPr>
        <w:t>Candida auris</w:t>
      </w:r>
      <w:r w:rsidRPr="00E72972">
        <w:rPr>
          <w:rFonts w:cs="Times New Roman"/>
        </w:rPr>
        <w:t xml:space="preserve">; </w:t>
      </w:r>
      <w:r w:rsidRPr="00E72972">
        <w:rPr>
          <w:rFonts w:cs="Times New Roman"/>
          <w:i/>
        </w:rPr>
        <w:t>Cryptococcus gattii</w:t>
      </w:r>
      <w:r w:rsidRPr="00E72972">
        <w:rPr>
          <w:rFonts w:cs="Times New Roman"/>
        </w:rPr>
        <w:t xml:space="preserve">; </w:t>
      </w:r>
      <w:r w:rsidRPr="00E72972">
        <w:rPr>
          <w:rFonts w:cs="Times New Roman"/>
          <w:i/>
        </w:rPr>
        <w:t>Cryptococcus deneoformans</w:t>
      </w:r>
      <w:r w:rsidRPr="00E72972">
        <w:rPr>
          <w:rFonts w:cs="Times New Roman"/>
        </w:rPr>
        <w:t xml:space="preserve">; </w:t>
      </w:r>
      <w:r w:rsidRPr="00E72972">
        <w:rPr>
          <w:rFonts w:cs="Times New Roman"/>
          <w:i/>
        </w:rPr>
        <w:t>Trichophyton indotineae</w:t>
      </w:r>
      <w:r w:rsidRPr="00E72972">
        <w:rPr>
          <w:rFonts w:cs="Times New Roman"/>
        </w:rPr>
        <w:t xml:space="preserve">; </w:t>
      </w:r>
      <w:r w:rsidRPr="00E72972">
        <w:rPr>
          <w:rFonts w:cs="Times New Roman"/>
          <w:i/>
        </w:rPr>
        <w:t>Coccidioides</w:t>
      </w:r>
      <w:r w:rsidRPr="00E72972">
        <w:rPr>
          <w:rFonts w:cs="Times New Roman"/>
        </w:rPr>
        <w:t xml:space="preserve">; Mucorales; </w:t>
      </w:r>
      <w:r w:rsidRPr="00E72972">
        <w:rPr>
          <w:rFonts w:cs="Times New Roman"/>
          <w:i/>
        </w:rPr>
        <w:t>Rhizopus arrhizus</w:t>
      </w:r>
      <w:r w:rsidRPr="00E72972">
        <w:rPr>
          <w:rFonts w:cs="Times New Roman"/>
        </w:rPr>
        <w:t xml:space="preserve">; </w:t>
      </w:r>
      <w:r w:rsidRPr="00E72972">
        <w:rPr>
          <w:rFonts w:cs="Times New Roman"/>
          <w:i/>
        </w:rPr>
        <w:t>Rhodosporidiobolus fluvialis</w:t>
      </w:r>
      <w:r w:rsidRPr="00E72972">
        <w:rPr>
          <w:rFonts w:cs="Times New Roman"/>
        </w:rPr>
        <w:t xml:space="preserve">; </w:t>
      </w:r>
      <w:r w:rsidRPr="00E72972">
        <w:rPr>
          <w:rFonts w:cs="Times New Roman"/>
          <w:i/>
        </w:rPr>
        <w:t>Aspergillus fumigatus</w:t>
      </w:r>
      <w:r w:rsidRPr="00E72972">
        <w:rPr>
          <w:rFonts w:cs="Times New Roman"/>
        </w:rPr>
        <w:t xml:space="preserve">; </w:t>
      </w:r>
      <w:r w:rsidRPr="00E72972">
        <w:rPr>
          <w:rFonts w:cs="Times New Roman"/>
          <w:i/>
        </w:rPr>
        <w:t>Sporothrix brasiliensis</w:t>
      </w:r>
      <w:r w:rsidRPr="00E72972">
        <w:rPr>
          <w:rFonts w:cs="Times New Roman"/>
        </w:rPr>
        <w:t xml:space="preserve">; </w:t>
      </w:r>
      <w:r w:rsidRPr="00E72972">
        <w:rPr>
          <w:rFonts w:cs="Times New Roman"/>
          <w:i/>
        </w:rPr>
        <w:t>Batrachochytrium dendrobatidis</w:t>
      </w:r>
      <w:r w:rsidRPr="00E72972">
        <w:rPr>
          <w:rFonts w:cs="Times New Roman"/>
        </w:rPr>
        <w:t xml:space="preserve">; </w:t>
      </w:r>
      <w:r w:rsidRPr="00E72972">
        <w:rPr>
          <w:rFonts w:cs="Times New Roman"/>
          <w:i/>
        </w:rPr>
        <w:t>Pseudogymnoascus destructans</w:t>
      </w:r>
      <w:r w:rsidRPr="00E72972">
        <w:rPr>
          <w:rFonts w:cs="Times New Roman"/>
        </w:rPr>
        <w:t xml:space="preserve">; azole resistance; terbinafine resistance; antifungal resistance; disaster microbiology; pyroaerobiology; tornadic shear stress; urban heat island; microplastic; plastiphily; permafrost; chytridiomycosis; white-nose syndrome; mycotoxin; aflatoxin; One Health; </w:t>
      </w:r>
      <w:r w:rsidRPr="00E72972">
        <w:rPr>
          <w:rFonts w:cs="Times New Roman"/>
          <w:i/>
        </w:rPr>
        <w:t>Drosophila melanogaster</w:t>
      </w:r>
      <w:r w:rsidRPr="00E72972">
        <w:rPr>
          <w:rFonts w:cs="Times New Roman"/>
        </w:rPr>
        <w:t xml:space="preserve"> model; reconstructed human epidermis; climate change; global warming.</w:t>
      </w:r>
    </w:p>
    <w:p w14:paraId="43749BA3" w14:textId="77777777" w:rsidR="00897241" w:rsidRDefault="00897241">
      <w:pPr>
        <w:spacing w:after="200"/>
        <w:rPr>
          <w:rFonts w:cs="Times New Roman"/>
        </w:rPr>
      </w:pPr>
      <w:r>
        <w:rPr>
          <w:rFonts w:cs="Times New Roman"/>
        </w:rPr>
        <w:br w:type="page"/>
      </w:r>
    </w:p>
    <w:p w14:paraId="0E3C93EF" w14:textId="77777777" w:rsidR="00897241" w:rsidRDefault="00897241">
      <w:pPr>
        <w:spacing w:after="200"/>
        <w:rPr>
          <w:rFonts w:cs="Times New Roman"/>
        </w:rPr>
      </w:pPr>
      <w:r>
        <w:rPr>
          <w:rFonts w:cs="Times New Roman"/>
        </w:rPr>
        <w:br w:type="page"/>
      </w:r>
    </w:p>
    <w:p w14:paraId="41080A6C" w14:textId="77777777" w:rsidR="00897241" w:rsidRDefault="00897241" w:rsidP="0015741A">
      <w:pPr>
        <w:rPr>
          <w:rFonts w:cs="Times New Roman"/>
        </w:rPr>
      </w:pPr>
    </w:p>
    <w:p w14:paraId="392DC35E" w14:textId="77777777" w:rsidR="00897241" w:rsidRDefault="00897241" w:rsidP="0015741A">
      <w:pPr>
        <w:rPr>
          <w:rFonts w:cs="Times New Roman"/>
        </w:rPr>
      </w:pPr>
    </w:p>
    <w:p w14:paraId="17BB5FB6" w14:textId="680DD3B3" w:rsidR="00897241" w:rsidRDefault="00897241" w:rsidP="0015741A">
      <w:pPr>
        <w:rPr>
          <w:rFonts w:cs="Times New Roman"/>
        </w:rPr>
      </w:pPr>
      <w:r>
        <w:rPr>
          <w:rFonts w:cs="Times New Roman"/>
          <w:noProof/>
        </w:rPr>
        <w:drawing>
          <wp:inline distT="0" distB="0" distL="0" distR="0" wp14:anchorId="48ADEDE3" wp14:editId="6E3DA4F0">
            <wp:extent cx="5972175" cy="4114800"/>
            <wp:effectExtent l="0" t="0" r="9525" b="0"/>
            <wp:docPr id="1643193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72175" cy="4114800"/>
                    </a:xfrm>
                    <a:prstGeom prst="rect">
                      <a:avLst/>
                    </a:prstGeom>
                    <a:noFill/>
                    <a:ln>
                      <a:noFill/>
                    </a:ln>
                  </pic:spPr>
                </pic:pic>
              </a:graphicData>
            </a:graphic>
          </wp:inline>
        </w:drawing>
      </w:r>
    </w:p>
    <w:p w14:paraId="757F7582" w14:textId="77777777" w:rsidR="00897241" w:rsidRDefault="00897241">
      <w:pPr>
        <w:spacing w:after="200"/>
        <w:rPr>
          <w:rFonts w:cs="Times New Roman"/>
        </w:rPr>
      </w:pPr>
      <w:r>
        <w:rPr>
          <w:rFonts w:cs="Times New Roman"/>
        </w:rPr>
        <w:br w:type="page"/>
      </w:r>
    </w:p>
    <w:p w14:paraId="1D693473" w14:textId="352511FE" w:rsidR="00231DA3" w:rsidRDefault="00897241" w:rsidP="0015741A">
      <w:pPr>
        <w:rPr>
          <w:rFonts w:cs="Times New Roman"/>
        </w:rPr>
      </w:pPr>
      <w:r>
        <w:rPr>
          <w:rFonts w:cs="Times New Roman"/>
          <w:noProof/>
        </w:rPr>
        <w:drawing>
          <wp:inline distT="0" distB="0" distL="0" distR="0" wp14:anchorId="187CBBF3" wp14:editId="2474EFED">
            <wp:extent cx="4676775" cy="6115050"/>
            <wp:effectExtent l="0" t="0" r="9525" b="0"/>
            <wp:docPr id="2474985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76775" cy="6115050"/>
                    </a:xfrm>
                    <a:prstGeom prst="rect">
                      <a:avLst/>
                    </a:prstGeom>
                    <a:noFill/>
                    <a:ln>
                      <a:noFill/>
                    </a:ln>
                  </pic:spPr>
                </pic:pic>
              </a:graphicData>
            </a:graphic>
          </wp:inline>
        </w:drawing>
      </w:r>
    </w:p>
    <w:p w14:paraId="7E9D4670" w14:textId="77777777" w:rsidR="000E1B2A" w:rsidRDefault="000E1B2A" w:rsidP="0015741A">
      <w:pPr>
        <w:rPr>
          <w:rFonts w:cs="Times New Roman"/>
        </w:rPr>
      </w:pPr>
    </w:p>
    <w:p w14:paraId="22DA438F" w14:textId="2A5E7A60" w:rsidR="000E1B2A" w:rsidRDefault="000E1B2A">
      <w:pPr>
        <w:spacing w:after="200"/>
        <w:rPr>
          <w:rFonts w:cs="Times New Roman"/>
        </w:rPr>
      </w:pPr>
      <w:r>
        <w:rPr>
          <w:rFonts w:cs="Times New Roman"/>
        </w:rPr>
        <w:br w:type="page"/>
      </w:r>
    </w:p>
    <w:p w14:paraId="05897BE9" w14:textId="4E39F5CB" w:rsidR="000E1B2A" w:rsidRDefault="000E1B2A" w:rsidP="0015741A">
      <w:pPr>
        <w:rPr>
          <w:rFonts w:cs="Times New Roman"/>
        </w:rPr>
      </w:pPr>
      <w:r>
        <w:rPr>
          <w:rFonts w:cs="Times New Roman"/>
          <w:noProof/>
        </w:rPr>
        <w:drawing>
          <wp:inline distT="0" distB="0" distL="0" distR="0" wp14:anchorId="66A39F5E" wp14:editId="697AEF06">
            <wp:extent cx="5972175" cy="4972050"/>
            <wp:effectExtent l="0" t="0" r="9525" b="0"/>
            <wp:docPr id="20622939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72175" cy="4972050"/>
                    </a:xfrm>
                    <a:prstGeom prst="rect">
                      <a:avLst/>
                    </a:prstGeom>
                    <a:noFill/>
                    <a:ln>
                      <a:noFill/>
                    </a:ln>
                  </pic:spPr>
                </pic:pic>
              </a:graphicData>
            </a:graphic>
          </wp:inline>
        </w:drawing>
      </w:r>
    </w:p>
    <w:p w14:paraId="209759C5" w14:textId="77777777" w:rsidR="000E1B2A" w:rsidRDefault="000E1B2A">
      <w:pPr>
        <w:spacing w:after="200"/>
        <w:rPr>
          <w:rFonts w:cs="Times New Roman"/>
        </w:rPr>
      </w:pPr>
      <w:r>
        <w:rPr>
          <w:rFonts w:cs="Times New Roman"/>
        </w:rPr>
        <w:br w:type="page"/>
      </w:r>
    </w:p>
    <w:p w14:paraId="3B8DE93F" w14:textId="61930B67" w:rsidR="000E1B2A" w:rsidRDefault="000E1B2A" w:rsidP="0015741A">
      <w:pPr>
        <w:rPr>
          <w:rFonts w:cs="Times New Roman"/>
        </w:rPr>
      </w:pPr>
      <w:r>
        <w:rPr>
          <w:rFonts w:cs="Times New Roman"/>
          <w:noProof/>
        </w:rPr>
        <w:drawing>
          <wp:inline distT="0" distB="0" distL="0" distR="0" wp14:anchorId="4540ED94" wp14:editId="45FADB10">
            <wp:extent cx="5972175" cy="6000750"/>
            <wp:effectExtent l="0" t="0" r="9525" b="0"/>
            <wp:docPr id="8787650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2175" cy="6000750"/>
                    </a:xfrm>
                    <a:prstGeom prst="rect">
                      <a:avLst/>
                    </a:prstGeom>
                    <a:noFill/>
                    <a:ln>
                      <a:noFill/>
                    </a:ln>
                  </pic:spPr>
                </pic:pic>
              </a:graphicData>
            </a:graphic>
          </wp:inline>
        </w:drawing>
      </w:r>
    </w:p>
    <w:p w14:paraId="61296627" w14:textId="77777777" w:rsidR="000E1B2A" w:rsidRDefault="000E1B2A">
      <w:pPr>
        <w:spacing w:after="200"/>
        <w:rPr>
          <w:rFonts w:cs="Times New Roman"/>
        </w:rPr>
      </w:pPr>
      <w:r>
        <w:rPr>
          <w:rFonts w:cs="Times New Roman"/>
        </w:rPr>
        <w:br w:type="page"/>
      </w:r>
    </w:p>
    <w:p w14:paraId="5E00D909" w14:textId="451460D8" w:rsidR="000E1B2A" w:rsidRPr="00E72972" w:rsidRDefault="000E1B2A" w:rsidP="0015741A">
      <w:pPr>
        <w:rPr>
          <w:rFonts w:cs="Times New Roman"/>
        </w:rPr>
      </w:pPr>
      <w:r>
        <w:rPr>
          <w:rFonts w:cs="Times New Roman"/>
          <w:noProof/>
        </w:rPr>
        <w:drawing>
          <wp:inline distT="0" distB="0" distL="0" distR="0" wp14:anchorId="5EBB140B" wp14:editId="322EB64C">
            <wp:extent cx="5972175" cy="3962400"/>
            <wp:effectExtent l="0" t="0" r="9525" b="0"/>
            <wp:docPr id="7667385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2175" cy="3962400"/>
                    </a:xfrm>
                    <a:prstGeom prst="rect">
                      <a:avLst/>
                    </a:prstGeom>
                    <a:noFill/>
                    <a:ln>
                      <a:noFill/>
                    </a:ln>
                  </pic:spPr>
                </pic:pic>
              </a:graphicData>
            </a:graphic>
          </wp:inline>
        </w:drawing>
      </w:r>
    </w:p>
    <w:sectPr w:rsidR="000E1B2A" w:rsidRPr="00E72972"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A1F3FBE"/>
    <w:multiLevelType w:val="hybridMultilevel"/>
    <w:tmpl w:val="522E21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9032112">
    <w:abstractNumId w:val="8"/>
  </w:num>
  <w:num w:numId="2" w16cid:durableId="1567649348">
    <w:abstractNumId w:val="6"/>
  </w:num>
  <w:num w:numId="3" w16cid:durableId="1170372644">
    <w:abstractNumId w:val="5"/>
  </w:num>
  <w:num w:numId="4" w16cid:durableId="1365132006">
    <w:abstractNumId w:val="4"/>
  </w:num>
  <w:num w:numId="5" w16cid:durableId="1303192530">
    <w:abstractNumId w:val="7"/>
  </w:num>
  <w:num w:numId="6" w16cid:durableId="1251768814">
    <w:abstractNumId w:val="3"/>
  </w:num>
  <w:num w:numId="7" w16cid:durableId="1385982493">
    <w:abstractNumId w:val="2"/>
  </w:num>
  <w:num w:numId="8" w16cid:durableId="1606110270">
    <w:abstractNumId w:val="1"/>
  </w:num>
  <w:num w:numId="9" w16cid:durableId="130094846">
    <w:abstractNumId w:val="0"/>
  </w:num>
  <w:num w:numId="10" w16cid:durableId="2093316086">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F6E"/>
    <w:rsid w:val="00021CDA"/>
    <w:rsid w:val="00034616"/>
    <w:rsid w:val="0006063C"/>
    <w:rsid w:val="000D3E92"/>
    <w:rsid w:val="000E1B2A"/>
    <w:rsid w:val="0015074B"/>
    <w:rsid w:val="0015741A"/>
    <w:rsid w:val="00231DA3"/>
    <w:rsid w:val="00250075"/>
    <w:rsid w:val="0029639D"/>
    <w:rsid w:val="00326F90"/>
    <w:rsid w:val="00335ADB"/>
    <w:rsid w:val="003B506A"/>
    <w:rsid w:val="004C1225"/>
    <w:rsid w:val="00517696"/>
    <w:rsid w:val="005350CB"/>
    <w:rsid w:val="00583D17"/>
    <w:rsid w:val="00897241"/>
    <w:rsid w:val="00AA1D8D"/>
    <w:rsid w:val="00B47730"/>
    <w:rsid w:val="00B832A4"/>
    <w:rsid w:val="00CB0664"/>
    <w:rsid w:val="00CD24C1"/>
    <w:rsid w:val="00D548EB"/>
    <w:rsid w:val="00E72972"/>
    <w:rsid w:val="00E77F14"/>
    <w:rsid w:val="00F41D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511CDF3-CCBD-44F6-A138-7D852629A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15741A"/>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4C1225"/>
    <w:pPr>
      <w:keepNext/>
      <w:keepLines/>
      <w:spacing w:before="200" w:after="0"/>
      <w:outlineLvl w:val="1"/>
    </w:pPr>
    <w:rPr>
      <w:rFonts w:eastAsiaTheme="majorEastAsia" w:cstheme="majorBidi"/>
      <w:bCs/>
      <w:color w:val="000000" w:themeColor="text1"/>
      <w:sz w:val="26"/>
      <w:szCs w:val="26"/>
    </w:rPr>
  </w:style>
  <w:style w:type="paragraph" w:styleId="Heading3">
    <w:name w:val="heading 3"/>
    <w:basedOn w:val="Normal"/>
    <w:next w:val="Normal"/>
    <w:link w:val="Heading3Char"/>
    <w:uiPriority w:val="9"/>
    <w:unhideWhenUsed/>
    <w:qFormat/>
    <w:rsid w:val="004C1225"/>
    <w:pPr>
      <w:keepNext/>
      <w:keepLines/>
      <w:spacing w:before="200" w:after="0"/>
      <w:outlineLvl w:val="2"/>
    </w:pPr>
    <w:rPr>
      <w:rFonts w:eastAsiaTheme="majorEastAsia" w:cstheme="majorBidi"/>
      <w:bCs/>
      <w:i/>
      <w:color w:val="000000" w:themeColor="tex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15741A"/>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4C1225"/>
    <w:rPr>
      <w:rFonts w:ascii="Times New Roman" w:eastAsiaTheme="majorEastAsia" w:hAnsi="Times New Roman" w:cstheme="majorBidi"/>
      <w:bCs/>
      <w:color w:val="000000" w:themeColor="text1"/>
      <w:sz w:val="26"/>
      <w:szCs w:val="26"/>
    </w:rPr>
  </w:style>
  <w:style w:type="character" w:customStyle="1" w:styleId="Heading3Char">
    <w:name w:val="Heading 3 Char"/>
    <w:basedOn w:val="DefaultParagraphFont"/>
    <w:link w:val="Heading3"/>
    <w:uiPriority w:val="9"/>
    <w:rsid w:val="004C1225"/>
    <w:rPr>
      <w:rFonts w:ascii="Times New Roman" w:eastAsiaTheme="majorEastAsia" w:hAnsi="Times New Roman" w:cstheme="majorBidi"/>
      <w:bCs/>
      <w:i/>
      <w:color w:val="000000" w:themeColor="text1"/>
    </w:rPr>
  </w:style>
  <w:style w:type="paragraph" w:styleId="Title">
    <w:name w:val="Title"/>
    <w:basedOn w:val="Normal"/>
    <w:next w:val="Normal"/>
    <w:link w:val="TitleChar"/>
    <w:uiPriority w:val="10"/>
    <w:qFormat/>
    <w:rsid w:val="00517696"/>
    <w:pPr>
      <w:pBdr>
        <w:bottom w:val="single" w:sz="8" w:space="4" w:color="4F81BD" w:themeColor="accent1"/>
      </w:pBdr>
      <w:spacing w:after="300" w:line="240" w:lineRule="auto"/>
      <w:contextualSpacing/>
    </w:pPr>
    <w:rPr>
      <w:rFonts w:eastAsiaTheme="majorEastAsia" w:cstheme="majorBidi"/>
      <w:b/>
      <w:color w:val="000000" w:themeColor="text1"/>
      <w:spacing w:val="5"/>
      <w:kern w:val="28"/>
      <w:sz w:val="36"/>
      <w:szCs w:val="52"/>
    </w:rPr>
  </w:style>
  <w:style w:type="character" w:customStyle="1" w:styleId="TitleChar">
    <w:name w:val="Title Char"/>
    <w:basedOn w:val="DefaultParagraphFont"/>
    <w:link w:val="Title"/>
    <w:uiPriority w:val="10"/>
    <w:rsid w:val="00517696"/>
    <w:rPr>
      <w:rFonts w:ascii="Times New Roman" w:eastAsiaTheme="majorEastAsia" w:hAnsi="Times New Roman" w:cstheme="majorBidi"/>
      <w:b/>
      <w:color w:val="000000" w:themeColor="text1"/>
      <w:spacing w:val="5"/>
      <w:kern w:val="28"/>
      <w:sz w:val="36"/>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14797</Words>
  <Characters>84347</Characters>
  <Application>Microsoft Office Word</Application>
  <DocSecurity>0</DocSecurity>
  <Lines>702</Lines>
  <Paragraphs>197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98947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Russell Edward Lewis</cp:lastModifiedBy>
  <cp:revision>2</cp:revision>
  <dcterms:created xsi:type="dcterms:W3CDTF">2026-09-14T10:49:00Z</dcterms:created>
  <dcterms:modified xsi:type="dcterms:W3CDTF">2026-09-14T10:49:00Z</dcterms:modified>
  <cp:category/>
</cp:coreProperties>
</file>