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8.png" ContentType="image/png"/>
  <Override PartName="/word/media/rId27.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Phenotypic and Genotypic Adaptation of Fungi to a Warming and Destabilized Planet</w:t>
      </w:r>
    </w:p>
    <w:p>
      <w:pPr>
        <w:pStyle w:val="AbstractTitle"/>
      </w:pPr>
      <w:r>
        <w:t xml:space="preserve">Abstract</w:t>
      </w:r>
    </w:p>
    <w:p>
      <w:pPr>
        <w:pStyle w:val="Abstract"/>
      </w:pPr>
      <w:r>
        <w:t xml:space="preserve">Global warming is changing the conditions in which both humans and fungi live and evolve. These changes may be long-term, in the case of increasing temperature, humidity and changes in atmospheric composition, or acute due to geo-meteological disturbances such as tornadoes, floods, wildfires, dust storms and earthquakes. Long-term changes mainly favour selection of fungi suited to the new conditions, while acute events can disperse fungi beyong typical ecological niches and cause infection in compromised or injured hosts. The combined stresses associated with these events may also trigger fungal responses that increase their ability to cause disease.</w:t>
      </w:r>
    </w:p>
    <w:p>
      <w:pPr>
        <w:pStyle w:val="Abstract"/>
      </w:pPr>
      <w:r>
        <w:t xml:space="preserve">This chapter reviews experimental evidence for how fungi respond to environmental pressures and distinguishes established findings from proposed explanations. Three findings are central: growth at higher temperatures can increase virulence and tolerance to oxidative stress in Mucorales through calcineurin signalling; host temperatures can trigger genetic changes, including the movement of transposable elements in</w:t>
      </w:r>
      <w:r>
        <w:t xml:space="preserve"> </w:t>
      </w:r>
      <w:r>
        <w:rPr>
          <w:i/>
          <w:iCs/>
        </w:rPr>
        <w:t xml:space="preserve">Cryptococcus</w:t>
      </w:r>
      <w:r>
        <w:t xml:space="preserve"> </w:t>
      </w:r>
      <w:r>
        <w:t xml:space="preserve">and the emergence of pan-resistant, highly virulent mutants in</w:t>
      </w:r>
      <w:r>
        <w:t xml:space="preserve"> </w:t>
      </w:r>
      <w:r>
        <w:rPr>
          <w:i/>
          <w:iCs/>
        </w:rPr>
        <w:t xml:space="preserve">Rhodosporidiobolus</w:t>
      </w:r>
      <w:r>
        <w:t xml:space="preserve">; and physical stresses such as extreme shear can temporarily increase virulence through some of the same cellular pathways involved in heat adaptation.</w:t>
      </w:r>
    </w:p>
    <w:p>
      <w:pPr>
        <w:pStyle w:val="Abstract"/>
      </w:pPr>
      <w:r>
        <w:t xml:space="preserve">These findings do not establish that climate change will cause a human fungal pandemic. Mammalian body temperatures still prevent many fungi from growing, and heat tolerance alone is a poor predictor of whether a fungus can cause disease. Recent examples of emerging fungal threats such as</w:t>
      </w:r>
      <w:r>
        <w:t xml:space="preserve"> </w:t>
      </w:r>
      <w:r>
        <w:rPr>
          <w:i/>
          <w:iCs/>
        </w:rPr>
        <w:t xml:space="preserve">Candida auris</w:t>
      </w:r>
      <w:r>
        <w:t xml:space="preserve">, azole-resistant</w:t>
      </w:r>
      <w:r>
        <w:t xml:space="preserve"> </w:t>
      </w:r>
      <w:r>
        <w:rPr>
          <w:i/>
          <w:iCs/>
        </w:rPr>
        <w:t xml:space="preserve">Aspergillus fumigatus</w:t>
      </w:r>
      <w:r>
        <w:t xml:space="preserve"> </w:t>
      </w:r>
      <w:r>
        <w:t xml:space="preserve">and terbinafine-resistant</w:t>
      </w:r>
      <w:r>
        <w:t xml:space="preserve"> </w:t>
      </w:r>
      <w:r>
        <w:rPr>
          <w:i/>
          <w:iCs/>
        </w:rPr>
        <w:t xml:space="preserve">Trichophyton indotineae</w:t>
      </w:r>
      <w:r>
        <w:t xml:space="preserve"> </w:t>
      </w:r>
      <w:r>
        <w:t xml:space="preserve">reflect pressures from agricultural and clinical antifungal use, healthcare practices and poverty.</w:t>
      </w:r>
    </w:p>
    <w:p>
      <w:pPr>
        <w:pStyle w:val="Abstract"/>
      </w:pPr>
      <w:r>
        <w:t xml:space="preserve">We propose a framework for assessing the strength of the evidence, testable criteria for identifying climate’s role, and research priorities focused on improving study design for evaluating phenotypic and genotypic adaption of fungi to climate change</w:t>
      </w:r>
    </w:p>
    <w:bookmarkStart w:id="16" w:name="sec-1"/>
    <w:p>
      <w:pPr>
        <w:pStyle w:val="Heading1"/>
      </w:pPr>
      <w:r>
        <w:t xml:space="preserve">1. Introduction: Fungi in a changing environment</w:t>
      </w:r>
    </w:p>
    <w:bookmarkStart w:id="9" w:name="sec-1-1"/>
    <w:p>
      <w:pPr>
        <w:pStyle w:val="Heading2"/>
      </w:pPr>
      <w:r>
        <w:t xml:space="preserve">1.1 The fungal kingdom and environment</w:t>
      </w:r>
    </w:p>
    <w:p>
      <w:pPr>
        <w:pStyle w:val="FirstParagraph"/>
      </w:pPr>
      <w:r>
        <w:t xml:space="preserve">Fungi are a diverse group with a long evolutionary history, and most live in soil, water, decaying matter or in association with plants. Conservative estimates place global fungal diversity between 2.2 and 3.8 million species, of which fewer than 150,000 have been formally described</w:t>
      </w:r>
      <w:r>
        <w:t xml:space="preserve"> </w:t>
      </w:r>
      <w:r>
        <w:t xml:space="preserve">(</w:t>
      </w:r>
      <w:hyperlink w:anchor="ref-hawksworth2017">
        <w:r>
          <w:rPr>
            <w:rStyle w:val="Hyperlink"/>
          </w:rPr>
          <w:t xml:space="preserve">Hawksworth and Lücking 2017</w:t>
        </w:r>
      </w:hyperlink>
      <w:r>
        <w:t xml:space="preserve">)</w:t>
      </w:r>
      <w:r>
        <w:t xml:space="preserve">. Of that vast pool, only a few hundred species have been implicated in human disease, and yet the clinical burden of fungal disease is substantial. Current global estimates attribute roughly 6.5 million invasive fungal infections and 3.8 million deaths annually to fungal disease, a figure that has risen sharply as estimation methods have improved</w:t>
      </w:r>
      <w:r>
        <w:t xml:space="preserve"> </w:t>
      </w:r>
      <w:r>
        <w:t xml:space="preserve">(</w:t>
      </w:r>
      <w:hyperlink w:anchor="ref-denning2024">
        <w:r>
          <w:rPr>
            <w:rStyle w:val="Hyperlink"/>
          </w:rPr>
          <w:t xml:space="preserve">Denning 2024</w:t>
        </w:r>
      </w:hyperlink>
      <w:r>
        <w:t xml:space="preserve">)</w:t>
      </w:r>
      <w:r>
        <w:t xml:space="preserve">.</w:t>
      </w:r>
    </w:p>
    <w:p>
      <w:pPr>
        <w:pStyle w:val="BodyText"/>
      </w:pPr>
      <w:r>
        <w:t xml:space="preserve">Fungi play a major role in moving carbon and nutrients through land ecosystems. Mycorrhizal fungi, which live in association with plant roots, are estimated to receive carbon equivalent to about 13 billion tonnes of CO₂ from plants each year</w:t>
      </w:r>
      <w:r>
        <w:t xml:space="preserve"> </w:t>
      </w:r>
      <w:r>
        <w:t xml:space="preserve">(</w:t>
      </w:r>
      <w:hyperlink w:anchor="ref-hawkins2023">
        <w:r>
          <w:rPr>
            <w:rStyle w:val="Hyperlink"/>
          </w:rPr>
          <w:t xml:space="preserve">Hawkins et al. 2023</w:t>
        </w:r>
      </w:hyperlink>
      <w:r>
        <w:t xml:space="preserve">)</w:t>
      </w:r>
      <w:r>
        <w:t xml:space="preserve">. Researchers have therefore argued that fungal responses to environmental change matter for the planet as a whole</w:t>
      </w:r>
      <w:r>
        <w:t xml:space="preserve"> </w:t>
      </w:r>
      <w:r>
        <w:t xml:space="preserve">(</w:t>
      </w:r>
      <w:hyperlink w:anchor="ref-case2025">
        <w:r>
          <w:rPr>
            <w:rStyle w:val="Hyperlink"/>
          </w:rPr>
          <w:t xml:space="preserve">Case et al. 2025</w:t>
        </w:r>
      </w:hyperlink>
      <w:r>
        <w:t xml:space="preserve">)</w:t>
      </w:r>
      <w:r>
        <w:t xml:space="preserve">. Most fungi support ecosystem functions, but some can cause opportunistic infections. This chapter asks whether human-driven environmental change could increase the number of fungi capable of causing disease or make existing fungal pathogens more harmful.</w:t>
      </w:r>
    </w:p>
    <w:p>
      <w:pPr>
        <w:pStyle w:val="BodyText"/>
      </w:pPr>
      <w:r>
        <w:t xml:space="preserve">Only recently have researchers gained the tools to study this question directly. For much of the twentieth century, studies of fungal adaptation focused on resistance to agricultural fungicides or laboratory evolution in the yeast</w:t>
      </w:r>
      <w:r>
        <w:t xml:space="preserve"> </w:t>
      </w:r>
      <w:r>
        <w:rPr>
          <w:i/>
          <w:iCs/>
        </w:rPr>
        <w:t xml:space="preserve">Saccharomyces</w:t>
      </w:r>
      <w:r>
        <w:t xml:space="preserve">. Three developments have broadened this work: affordable whole-genome sequencing of fungi collected from the environment, infection models using invertebrates and tissues, and detailed climate data that can be linked to where and when fungi were collected. Together, these tools allow researchers to investigate how fungi adapt in natural settings and how those changes affect their ability to cause disease</w:t>
      </w:r>
      <w:r>
        <w:t xml:space="preserve"> </w:t>
      </w:r>
      <w:r>
        <w:t xml:space="preserve">(</w:t>
      </w:r>
      <w:hyperlink w:anchor="ref-nnadi2021">
        <w:r>
          <w:rPr>
            <w:rStyle w:val="Hyperlink"/>
          </w:rPr>
          <w:t xml:space="preserve">Nnadi and Carter 2021</w:t>
        </w:r>
      </w:hyperlink>
      <w:r>
        <w:t xml:space="preserve">;</w:t>
      </w:r>
      <w:r>
        <w:t xml:space="preserve"> </w:t>
      </w:r>
      <w:hyperlink w:anchor="ref-seidel2024">
        <w:r>
          <w:rPr>
            <w:rStyle w:val="Hyperlink"/>
          </w:rPr>
          <w:t xml:space="preserve">Seidel et al. 2024</w:t>
        </w:r>
      </w:hyperlink>
      <w:r>
        <w:t xml:space="preserve">)</w:t>
      </w:r>
      <w:r>
        <w:t xml:space="preserve">.</w:t>
      </w:r>
    </w:p>
    <w:bookmarkEnd w:id="9"/>
    <w:bookmarkStart w:id="14" w:name="sec-1-2"/>
    <w:p>
      <w:pPr>
        <w:pStyle w:val="Heading2"/>
      </w:pPr>
      <w:r>
        <w:t xml:space="preserve">1.2 Two axes of change: Chronic warming and acute disturbance</w:t>
      </w:r>
    </w:p>
    <w:p>
      <w:pPr>
        <w:pStyle w:val="FirstParagraph"/>
      </w:pPr>
      <w:r>
        <w:t xml:space="preserve">Distinguishing between two types of climate pressure is essential to to analysis of climate effects (</w:t>
      </w:r>
      <w:hyperlink w:anchor="fig-framework">
        <w:r>
          <w:rPr>
            <w:rStyle w:val="Hyperlink"/>
          </w:rPr>
          <w:t xml:space="preserve">Fig.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 w:name="fig-framework"/>
          <w:p>
            <w:pPr>
              <w:pStyle w:val="Compact"/>
              <w:jc w:val="center"/>
            </w:pPr>
            <w:r>
              <w:drawing>
                <wp:inline>
                  <wp:extent cx="5334000" cy="3053055"/>
                  <wp:effectExtent b="0" l="0" r="0" t="0"/>
                  <wp:docPr descr="" title="" id="11" name="Picture"/>
                  <a:graphic>
                    <a:graphicData uri="http://schemas.openxmlformats.org/drawingml/2006/picture">
                      <pic:pic>
                        <pic:nvPicPr>
                          <pic:cNvPr descr="figures/fig1-redrawn.png" id="12" name="Picture"/>
                          <pic:cNvPicPr>
                            <a:picLocks noChangeArrowheads="1" noChangeAspect="1"/>
                          </pic:cNvPicPr>
                        </pic:nvPicPr>
                        <pic:blipFill>
                          <a:blip r:embed="rId10"/>
                          <a:stretch>
                            <a:fillRect/>
                          </a:stretch>
                        </pic:blipFill>
                        <pic:spPr bwMode="auto">
                          <a:xfrm>
                            <a:off x="0" y="0"/>
                            <a:ext cx="5334000" cy="305305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Two axes of climate pressure on the fungal kingdom. Chronic drivers (rising mean temperature, aridification, elevated CO</w:t>
            </w:r>
            <w:r>
              <w:rPr>
                <w:vertAlign w:val="subscript"/>
              </w:rPr>
              <w:t xml:space="preserve">2</w:t>
            </w:r>
            <w:r>
              <w:t xml:space="preserve"> </w:t>
            </w:r>
            <w:r>
              <w:t xml:space="preserve">and UV, glacial retreat and permafrost thaw, sea-level rise) and acute drivers (tornadoes and cyclones, floods, wildfires, dust storms, earthquakes and tsunamis) act on fungal populations through three mediating processes—selection, dispersal and niche change—that lead to increased exposure, expanded geographic range, increased virulence or resistance of adapted lineages, and increased host susceptibility. A socioeconomic gradient of poverty, conflict, migration and health inequality modifies every link.</w:t>
            </w:r>
          </w:p>
          <w:bookmarkEnd w:id="13"/>
        </w:tc>
      </w:tr>
    </w:tbl>
    <w:p>
      <w:pPr>
        <w:pStyle w:val="BodyText"/>
      </w:pPr>
      <w:r>
        <w:t xml:space="preserve">The chronic axis comprises slow, directional change: rising mean surface temperature, shifts in aridity and humidity regimes, elevated atmospheric CO₂, altered ultraviolet exposure, glacial retreat and permafrost thaw, and sea-level rise with coastal submersion. These act principally as</w:t>
      </w:r>
      <w:r>
        <w:t xml:space="preserve"> </w:t>
      </w:r>
      <w:r>
        <w:rPr>
          <w:i/>
          <w:iCs/>
        </w:rPr>
        <w:t xml:space="preserve">selective</w:t>
      </w:r>
      <w:r>
        <w:t xml:space="preserve"> </w:t>
      </w:r>
      <w:r>
        <w:t xml:space="preserve">pressures. They change which genotypes in an environmental population are favoured, over timescales of many fungal generations, and they change the geographic envelope within which a species can complete its life cycle.</w:t>
      </w:r>
    </w:p>
    <w:p>
      <w:pPr>
        <w:pStyle w:val="BodyText"/>
      </w:pPr>
      <w:r>
        <w:t xml:space="preserve">The acute axis comprises discrete, high-energy events: tornadoes and tropical cyclones, extreme rainfall and flooding, wildfires, dust storms, earthquakes and tsunamis. These act principally through</w:t>
      </w:r>
      <w:r>
        <w:t xml:space="preserve"> </w:t>
      </w:r>
      <w:r>
        <w:rPr>
          <w:i/>
          <w:iCs/>
        </w:rPr>
        <w:t xml:space="preserve">dispersal</w:t>
      </w:r>
      <w:r>
        <w:t xml:space="preserve">, through contact with</w:t>
      </w:r>
      <w:r>
        <w:t xml:space="preserve"> </w:t>
      </w:r>
      <w:r>
        <w:rPr>
          <w:i/>
          <w:iCs/>
        </w:rPr>
        <w:t xml:space="preserve">injured hosts and displacement</w:t>
      </w:r>
      <w:r>
        <w:t xml:space="preserve">, and through the delivery of intense, combinatorial physical stress to fungal cells — shear, desiccation, heat, oxidative challenge — over minutes to days rather than decades. The recognition that this second axis constitutes a coherent field of study in its own right, distinct from classical environmental mycology, is the contribution of</w:t>
      </w:r>
      <w:r>
        <w:t xml:space="preserve"> </w:t>
      </w:r>
      <w:r>
        <w:t xml:space="preserve">“disaster microbiology”</w:t>
      </w:r>
      <w:r>
        <w:t xml:space="preserve"> </w:t>
      </w:r>
      <w:r>
        <w:t xml:space="preserve">(</w:t>
      </w:r>
      <w:hyperlink w:anchor="ref-smithcasadevall2022">
        <w:r>
          <w:rPr>
            <w:rStyle w:val="Hyperlink"/>
          </w:rPr>
          <w:t xml:space="preserve">Smith and Casadevall 2022</w:t>
        </w:r>
      </w:hyperlink>
      <w:r>
        <w:t xml:space="preserve">;</w:t>
      </w:r>
      <w:r>
        <w:t xml:space="preserve"> </w:t>
      </w:r>
      <w:hyperlink w:anchor="ref-smith2023">
        <w:r>
          <w:rPr>
            <w:rStyle w:val="Hyperlink"/>
          </w:rPr>
          <w:t xml:space="preserve">Smith and Casadevall 2023</w:t>
        </w:r>
      </w:hyperlink>
      <w:r>
        <w:t xml:space="preserve">)</w:t>
      </w:r>
      <w:r>
        <w:t xml:space="preserve">.</w:t>
      </w:r>
    </w:p>
    <w:p>
      <w:pPr>
        <w:pStyle w:val="BodyText"/>
      </w:pPr>
      <w:r>
        <w:t xml:space="preserve">Both axes are modified throughout by a socioeconomic gradient. Poverty, armed conflict, forced migration, urban crowding and unequal access to diagnostics and antifungals determine who is exposed, who is susceptible, and who is treated . Socioeconomic factors can play a larger role in fungal diseases than any single biological variable discussed in this chapter</w:t>
      </w:r>
      <w:r>
        <w:t xml:space="preserve"> </w:t>
      </w:r>
      <w:r>
        <w:t xml:space="preserve">(</w:t>
      </w:r>
      <w:hyperlink w:anchor="ref-jenks2023">
        <w:r>
          <w:rPr>
            <w:rStyle w:val="Hyperlink"/>
          </w:rPr>
          <w:t xml:space="preserve">Jenks et al. 2023</w:t>
        </w:r>
      </w:hyperlink>
      <w:r>
        <w:t xml:space="preserve">)</w:t>
      </w:r>
      <w:r>
        <w:t xml:space="preserve">.</w:t>
      </w:r>
    </w:p>
    <w:bookmarkEnd w:id="14"/>
    <w:bookmarkStart w:id="15" w:name="sec-1-3"/>
    <w:p>
      <w:pPr>
        <w:pStyle w:val="Heading2"/>
      </w:pPr>
      <w:r>
        <w:t xml:space="preserve">1.3 Scope of this chapter</w:t>
      </w:r>
    </w:p>
    <w:p>
      <w:pPr>
        <w:pStyle w:val="FirstParagraph"/>
      </w:pPr>
      <w:r>
        <w:t xml:space="preserve">We restrict the chapter to fungal adaptation and its consequences.</w:t>
      </w:r>
      <w:r>
        <w:t xml:space="preserve"> </w:t>
      </w:r>
      <w:hyperlink w:anchor="sec-2">
        <w:r>
          <w:rPr>
            <w:rStyle w:val="Hyperlink"/>
          </w:rPr>
          <w:t xml:space="preserve">Sect. 2</w:t>
        </w:r>
      </w:hyperlink>
      <w:r>
        <w:t xml:space="preserve"> </w:t>
      </w:r>
      <w:r>
        <w:t xml:space="preserve">sets out the thermal restriction hypothesis, the quantitative argument on which most climate–mycology reasoning rests, and its principal weakness.</w:t>
      </w:r>
      <w:r>
        <w:t xml:space="preserve"> </w:t>
      </w:r>
      <w:hyperlink w:anchor="sec-3">
        <w:r>
          <w:rPr>
            <w:rStyle w:val="Hyperlink"/>
          </w:rPr>
          <w:t xml:space="preserve">Sect. 3</w:t>
        </w:r>
      </w:hyperlink>
      <w:r>
        <w:t xml:space="preserve"> </w:t>
      </w:r>
      <w:r>
        <w:t xml:space="preserve">and</w:t>
      </w:r>
      <w:r>
        <w:t xml:space="preserve"> </w:t>
      </w:r>
      <w:hyperlink w:anchor="sec-4">
        <w:r>
          <w:rPr>
            <w:rStyle w:val="Hyperlink"/>
          </w:rPr>
          <w:t xml:space="preserve">Sect. 4</w:t>
        </w:r>
      </w:hyperlink>
      <w:r>
        <w:t xml:space="preserve"> </w:t>
      </w:r>
      <w:r>
        <w:t xml:space="preserve">separate phenotypic (plastic, reversible) from genotypic (heritable) adaptation.</w:t>
      </w:r>
      <w:r>
        <w:t xml:space="preserve"> </w:t>
      </w:r>
      <w:hyperlink w:anchor="sec-5">
        <w:r>
          <w:rPr>
            <w:rStyle w:val="Hyperlink"/>
          </w:rPr>
          <w:t xml:space="preserve">Sect. 5</w:t>
        </w:r>
      </w:hyperlink>
      <w:r>
        <w:t xml:space="preserve"> </w:t>
      </w:r>
      <w:r>
        <w:t xml:space="preserve">tests the framework against six sentinel emergences, grading the strength of climate attribution in each.</w:t>
      </w:r>
      <w:r>
        <w:t xml:space="preserve"> </w:t>
      </w:r>
      <w:hyperlink w:anchor="sec-6">
        <w:r>
          <w:rPr>
            <w:rStyle w:val="Hyperlink"/>
          </w:rPr>
          <w:t xml:space="preserve">Sect. 6</w:t>
        </w:r>
      </w:hyperlink>
      <w:r>
        <w:t xml:space="preserve"> </w:t>
      </w:r>
      <w:r>
        <w:t xml:space="preserve">treats anthropogenic co-drivers that are often mislabelled as climate effects.</w:t>
      </w:r>
      <w:r>
        <w:t xml:space="preserve"> </w:t>
      </w:r>
      <w:hyperlink w:anchor="sec-7">
        <w:r>
          <w:rPr>
            <w:rStyle w:val="Hyperlink"/>
          </w:rPr>
          <w:t xml:space="preserve">Sect. 7</w:t>
        </w:r>
      </w:hyperlink>
      <w:r>
        <w:t xml:space="preserve"> </w:t>
      </w:r>
      <w:r>
        <w:t xml:space="preserve">develops the disaster axis.</w:t>
      </w:r>
      <w:r>
        <w:t xml:space="preserve"> </w:t>
      </w:r>
      <w:hyperlink w:anchor="sec-8">
        <w:r>
          <w:rPr>
            <w:rStyle w:val="Hyperlink"/>
          </w:rPr>
          <w:t xml:space="preserve">Sect. 8</w:t>
        </w:r>
      </w:hyperlink>
      <w:r>
        <w:t xml:space="preserve"> </w:t>
      </w:r>
      <w:r>
        <w:t xml:space="preserve">places human mycoses in the broader One Health context of plant, crop and wildlife disease, where climate-driven fungal mortality is already demonstrable.</w:t>
      </w:r>
      <w:r>
        <w:t xml:space="preserve"> </w:t>
      </w:r>
      <w:hyperlink w:anchor="sec-9">
        <w:r>
          <w:rPr>
            <w:rStyle w:val="Hyperlink"/>
          </w:rPr>
          <w:t xml:space="preserve">Sect. 9</w:t>
        </w:r>
      </w:hyperlink>
      <w:r>
        <w:t xml:space="preserve"> </w:t>
      </w:r>
      <w:r>
        <w:t xml:space="preserve">addresses the pandemic question with explicit criteria, and</w:t>
      </w:r>
      <w:r>
        <w:t xml:space="preserve"> </w:t>
      </w:r>
      <w:hyperlink w:anchor="sec-10">
        <w:r>
          <w:rPr>
            <w:rStyle w:val="Hyperlink"/>
          </w:rPr>
          <w:t xml:space="preserve">Sect. 10</w:t>
        </w:r>
      </w:hyperlink>
      <w:r>
        <w:t xml:space="preserve"> </w:t>
      </w:r>
      <w:r>
        <w:t xml:space="preserve">proposes a research and response agenda. Clinical management and the antifungal development pipeline are outside our scope; both are reviewed elsewhere</w:t>
      </w:r>
      <w:r>
        <w:t xml:space="preserve"> </w:t>
      </w:r>
      <w:r>
        <w:t xml:space="preserve">(</w:t>
      </w:r>
      <w:hyperlink w:anchor="ref-lax2024">
        <w:r>
          <w:rPr>
            <w:rStyle w:val="Hyperlink"/>
          </w:rPr>
          <w:t xml:space="preserve">Lax et al. 2024</w:t>
        </w:r>
      </w:hyperlink>
      <w:r>
        <w:t xml:space="preserve">)</w:t>
      </w:r>
      <w:r>
        <w:t xml:space="preserve">.</w:t>
      </w:r>
    </w:p>
    <w:bookmarkEnd w:id="15"/>
    <w:bookmarkEnd w:id="16"/>
    <w:bookmarkStart w:id="26" w:name="sec-2"/>
    <w:p>
      <w:pPr>
        <w:pStyle w:val="Heading1"/>
      </w:pPr>
      <w:r>
        <w:t xml:space="preserve">2. The Thermal Restriction Hypothesis</w:t>
      </w:r>
    </w:p>
    <w:bookmarkStart w:id="17" w:name="sec-2-1"/>
    <w:p>
      <w:pPr>
        <w:pStyle w:val="Heading2"/>
      </w:pPr>
      <w:r>
        <w:t xml:space="preserve">2.1 Endothermy as a barrier to fungal infection</w:t>
      </w:r>
    </w:p>
    <w:p>
      <w:pPr>
        <w:pStyle w:val="FirstParagraph"/>
      </w:pPr>
      <w:r>
        <w:t xml:space="preserve">A leading explanation for why relatively few fungi infect mammals is that mammalian bodies are too warm for most fungi to grow. Evidence comes from a survey of fungi held in culture collections: as temperature increased, fewer species could grow. Above roughly 30 °C, each additional degree prevented a substantial further share of species from growing</w:t>
      </w:r>
      <w:r>
        <w:t xml:space="preserve"> </w:t>
      </w:r>
      <w:r>
        <w:t xml:space="preserve">(</w:t>
      </w:r>
      <w:hyperlink w:anchor="ref-robert2009">
        <w:r>
          <w:rPr>
            <w:rStyle w:val="Hyperlink"/>
          </w:rPr>
          <w:t xml:space="preserve">Robert and Casadevall 2009</w:t>
        </w:r>
      </w:hyperlink>
      <w:r>
        <w:t xml:space="preserve">)</w:t>
      </w:r>
      <w:r>
        <w:t xml:space="preserve">. Models balancing the energy needed to maintain a warm body against protection from fungal infection found an optimum close to actual mammalian body temperatures. This suggests that protection from fungi may have helped drive the evolution of warm-bloodedness</w:t>
      </w:r>
      <w:r>
        <w:t xml:space="preserve"> </w:t>
      </w:r>
      <w:r>
        <w:t xml:space="preserve">(</w:t>
      </w:r>
      <w:hyperlink w:anchor="ref-bergman2010">
        <w:r>
          <w:rPr>
            <w:rStyle w:val="Hyperlink"/>
          </w:rPr>
          <w:t xml:space="preserve">Bergman and Casadevall 2010</w:t>
        </w:r>
      </w:hyperlink>
      <w:r>
        <w:t xml:space="preserve">)</w:t>
      </w:r>
      <w:r>
        <w:t xml:space="preserve">. A related hypothesis proposes that this protection helped mammals diversify after the Cretaceous–Paleogene mass extinction, when fungi are thought to have been abundant. This idea has prompted further research, but remains unproven</w:t>
      </w:r>
      <w:r>
        <w:t xml:space="preserve"> </w:t>
      </w:r>
      <w:r>
        <w:t xml:space="preserve">(</w:t>
      </w:r>
      <w:hyperlink w:anchor="ref-casadevall2012">
        <w:r>
          <w:rPr>
            <w:rStyle w:val="Hyperlink"/>
          </w:rPr>
          <w:t xml:space="preserve">Casadevall 2012</w:t>
        </w:r>
      </w:hyperlink>
      <w:r>
        <w:t xml:space="preserve">)</w:t>
      </w:r>
      <w:r>
        <w:t xml:space="preserve">.</w:t>
      </w:r>
    </w:p>
    <w:p>
      <w:pPr>
        <w:pStyle w:val="BodyText"/>
      </w:pPr>
      <w:r>
        <w:t xml:space="preserve">This framework makes a clear, testable prediction: sustained environmental warming should favour fungi that tolerate higher temperatures. Over time, more fungal species could become able to grow at mammalian body temperatures, increasing the number that could potentially cause infections, particularly in vulnerable hosts</w:t>
      </w:r>
      <w:r>
        <w:t xml:space="preserve"> </w:t>
      </w:r>
      <w:r>
        <w:t xml:space="preserve">(</w:t>
      </w:r>
      <w:hyperlink w:anchor="ref-garciasolache2010">
        <w:r>
          <w:rPr>
            <w:rStyle w:val="Hyperlink"/>
          </w:rPr>
          <w:t xml:space="preserve">Garcia-Solache and Casadevall 2010</w:t>
        </w:r>
      </w:hyperlink>
      <w:r>
        <w:t xml:space="preserve">;</w:t>
      </w:r>
      <w:r>
        <w:t xml:space="preserve"> </w:t>
      </w:r>
      <w:hyperlink w:anchor="ref-casadevall2020">
        <w:r>
          <w:rPr>
            <w:rStyle w:val="Hyperlink"/>
          </w:rPr>
          <w:t xml:space="preserve">Casadevall 2020</w:t>
        </w:r>
      </w:hyperlink>
      <w:r>
        <w:t xml:space="preserve">)</w:t>
      </w:r>
      <w:r>
        <w:t xml:space="preserve">.</w:t>
      </w:r>
    </w:p>
    <w:bookmarkEnd w:id="17"/>
    <w:bookmarkStart w:id="22" w:name="sec-2-2"/>
    <w:p>
      <w:pPr>
        <w:pStyle w:val="Heading2"/>
      </w:pPr>
      <w:r>
        <w:t xml:space="preserve">2.2 The narrowing thermal exclusion zone</w:t>
      </w:r>
    </w:p>
    <w:p>
      <w:pPr>
        <w:pStyle w:val="FirstParagraph"/>
      </w:pPr>
      <w:r>
        <w:t xml:space="preserve">Two trends are narrowing this temperature gap (</w:t>
      </w:r>
      <w:hyperlink w:anchor="fig-thermal">
        <w:r>
          <w:rPr>
            <w:rStyle w:val="Hyperlink"/>
          </w:rPr>
          <w:t xml:space="preserve">Fig. 2</w:t>
        </w:r>
      </w:hyperlink>
      <w:r>
        <w:t xml:space="preserve">). The environment is warming, while human core temperature has fallen. A study of three groups covering more than 150 years of US records found that average body temperature fell steadily by about 0.03 °C per decade of birth. The modern average is now close to 36.6 °C, below the traditional value of 37.0 °C</w:t>
      </w:r>
      <w:r>
        <w:t xml:space="preserve"> </w:t>
      </w:r>
      <w:r>
        <w:t xml:space="preserve">(</w:t>
      </w:r>
      <w:hyperlink w:anchor="ref-protsiv2020">
        <w:r>
          <w:rPr>
            <w:rStyle w:val="Hyperlink"/>
          </w:rPr>
          <w:t xml:space="preserve">Protsiv et al. 2020</w:t>
        </w:r>
      </w:hyperlink>
      <w:r>
        <w:t xml:space="preserve">)</w:t>
      </w:r>
      <w:r>
        <w:t xml:space="preserve">. The gap is therefore shrinking from both sides.</w:t>
      </w:r>
    </w:p>
    <w:tbl>
      <w:tblPr>
        <w:tblStyle w:val="Table"/>
        <w:tblW w:type="pct" w:w="5000"/>
        <w:tblLayout w:type="fixed"/>
        <w:tblLook w:firstRow="0" w:lastRow="0" w:firstColumn="0" w:lastColumn="0" w:noHBand="0" w:noVBand="0" w:val="0000"/>
      </w:tblPr>
      <w:tblGrid>
        <w:gridCol w:w="7920"/>
      </w:tblGrid>
      <w:tr>
        <w:tc>
          <w:tcPr/>
          <w:bookmarkStart w:id="21" w:name="fig-thermal"/>
          <w:p>
            <w:pPr>
              <w:pStyle w:val="Compact"/>
              <w:jc w:val="center"/>
            </w:pPr>
            <w:r>
              <w:drawing>
                <wp:inline>
                  <wp:extent cx="5334000" cy="6983841"/>
                  <wp:effectExtent b="0" l="0" r="0" t="0"/>
                  <wp:docPr descr="" title="" id="19" name="Picture"/>
                  <a:graphic>
                    <a:graphicData uri="http://schemas.openxmlformats.org/drawingml/2006/picture">
                      <pic:pic>
                        <pic:nvPicPr>
                          <pic:cNvPr descr="figures/fig2-nejm.png" id="20" name="Picture"/>
                          <pic:cNvPicPr>
                            <a:picLocks noChangeArrowheads="1" noChangeAspect="1"/>
                          </pic:cNvPicPr>
                        </pic:nvPicPr>
                        <pic:blipFill>
                          <a:blip r:embed="rId18"/>
                          <a:stretch>
                            <a:fillRect/>
                          </a:stretch>
                        </pic:blipFill>
                        <pic:spPr bwMode="auto">
                          <a:xfrm>
                            <a:off x="0" y="0"/>
                            <a:ext cx="5334000" cy="698384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thermal exclusion zone and its narrowing. (</w:t>
            </w:r>
            <w:r>
              <w:rPr>
                <w:b/>
                <w:bCs/>
              </w:rPr>
              <w:t xml:space="preserve">A</w:t>
            </w:r>
            <w:r>
              <w:t xml:space="preserve">) Total growth range (light grey) and optimum range (dark grey) for selected human, emerging, environmental and wildlife-pathogenic fungi, plotted against modern (solid line) and 1860s (dashed line) human core temperature and avian body temperature (dotted band). The hatched region marks the thermal exclusion zone between typical environmental optima and mammalian core temperature. (</w:t>
            </w:r>
            <w:r>
              <w:rPr>
                <w:b/>
                <w:bCs/>
              </w:rPr>
              <w:t xml:space="preserve">B</w:t>
            </w:r>
            <w:r>
              <w:t xml:space="preserve">) Schematic of the two converging trends: rising environmental temperature and a fall in human core temperature of approximately 0.03 °C per birth decade since the 1860s</w:t>
            </w:r>
            <w:r>
              <w:t xml:space="preserve"> </w:t>
            </w:r>
            <w:r>
              <w:t xml:space="preserve">(</w:t>
            </w:r>
            <w:hyperlink w:anchor="ref-protsiv2020">
              <w:r>
                <w:rPr>
                  <w:rStyle w:val="Hyperlink"/>
                </w:rPr>
                <w:t xml:space="preserve">Protsiv et al. 2020</w:t>
              </w:r>
            </w:hyperlink>
            <w:r>
              <w:t xml:space="preserve">)</w:t>
            </w:r>
            <w:r>
              <w:t xml:space="preserve">. Growth ranges are approximate and compiled from the literature; the environmental trend is schematic and not derived from a time series.</w:t>
            </w:r>
          </w:p>
          <w:bookmarkEnd w:id="21"/>
        </w:tc>
      </w:tr>
    </w:tbl>
    <w:p>
      <w:pPr>
        <w:pStyle w:val="BodyText"/>
      </w:pPr>
      <w:r>
        <w:t xml:space="preserve">The size of the temperature gap matters. Most soil fungi grow best at temperatures roughly 10–20 °C below mammalian core temperature, making it unlikely that this thermal barrier will be bridged anytime soon for most fungi. Warming could, however, increase heat tolerance among fungi that already tolerate relatively high temperatures-i.e. fungi at the tail of the temperature spectrum closest to mammalian core temperatures. Because fungi capable of infecting mammals come from this group, even small changes could matter, despite little noticible change in the majority of</w:t>
      </w:r>
      <w:r>
        <w:t xml:space="preserve"> </w:t>
      </w:r>
      <w:r>
        <w:t xml:space="preserve">“cooler”</w:t>
      </w:r>
      <w:r>
        <w:t xml:space="preserve"> </w:t>
      </w:r>
      <w:r>
        <w:t xml:space="preserve">environmental fungi.</w:t>
      </w:r>
    </w:p>
    <w:bookmarkEnd w:id="22"/>
    <w:bookmarkStart w:id="23" w:name="sec-2-3"/>
    <w:p>
      <w:pPr>
        <w:pStyle w:val="Heading2"/>
      </w:pPr>
      <w:r>
        <w:t xml:space="preserve">2.3 Thermal adaptation and pathogenicity</w:t>
      </w:r>
    </w:p>
    <w:p>
      <w:pPr>
        <w:pStyle w:val="FirstParagraph"/>
      </w:pPr>
      <w:r>
        <w:t xml:space="preserve">Growth at host temperature is necessary for pathogenicity, but it is only one of many requirements. A fungal lineage must also survive attack by the host’s innate immune system, extract nutrients from host tissue, tolerate host pH and hypoxia, and reach susceptible hosts through some route of exposure or transmission. Comparative genomic work on fungi, in which human pathogenicity has evolved repeatedly and independently, shows that it emerges from combinations of traits -i.e. thermotolerance, cell-wall remodelling, changes is secondary metabolism, nutrient scavenging and stress-response architecture. These combinations emerge along many different evolutionary trajectories rather than a single pathway</w:t>
      </w:r>
      <w:r>
        <w:t xml:space="preserve">(</w:t>
      </w:r>
      <w:hyperlink w:anchor="ref-rokas2022">
        <w:r>
          <w:rPr>
            <w:rStyle w:val="Hyperlink"/>
          </w:rPr>
          <w:t xml:space="preserve">Rokas 2022</w:t>
        </w:r>
      </w:hyperlink>
      <w:r>
        <w:t xml:space="preserve">)</w:t>
      </w:r>
      <w:r>
        <w:t xml:space="preserve">. Therefore, environmental warming could enlarge over time the pool of candidate organisms from which opportunistic pathogens may be selected.</w:t>
      </w:r>
    </w:p>
    <w:bookmarkEnd w:id="23"/>
    <w:bookmarkStart w:id="25" w:name="sec-2-4"/>
    <w:p>
      <w:pPr>
        <w:pStyle w:val="Heading2"/>
      </w:pPr>
      <w:r>
        <w:t xml:space="preserve">2.4 The specificity problem</w:t>
      </w:r>
    </w:p>
    <w:p>
      <w:pPr>
        <w:pStyle w:val="FirstParagraph"/>
      </w:pPr>
      <w:r>
        <w:t xml:space="preserve">The strongest objection to the thermal restriction argument is the lack of specificity as a barrier for pathogenicity. Tens of thousands of fungal species already grow at 37 °C without ever causing human disease. Thermatolerance is therefore an essential, but not exclusive identifier of pathogenicity. Therefore, it would be illogical to accept that growing thermotolerance alone in environmental fungal will lead to new human pathogens</w:t>
      </w:r>
      <w:r>
        <w:t xml:space="preserve"> </w:t>
      </w:r>
      <w:r>
        <w:t xml:space="preserve">(</w:t>
      </w:r>
      <w:hyperlink w:anchor="ref-Money2024">
        <w:r>
          <w:rPr>
            <w:rStyle w:val="Hyperlink"/>
          </w:rPr>
          <w:t xml:space="preserve">Money 2024</w:t>
        </w:r>
      </w:hyperlink>
      <w:r>
        <w:t xml:space="preserve">)</w:t>
      </w:r>
      <w:r>
        <w:t xml:space="preserve">. The counterargument is that growth at mammalian body temperature tells us which fungi to focus on, not what will happen. It is a screening tool, not a measure of risk. Second, the useful climate question is not how many species can now grow at 37 °C, but whether heat stress selects more dangerous genotypes of environmental fungi that are drug-resistant, unusually virulent, or better able to evade the mammalian host immune system. The mechanistic basis of this question can be tested experimentally; and is the focus of</w:t>
      </w:r>
      <w:r>
        <w:t xml:space="preserve"> </w:t>
      </w:r>
      <w:hyperlink w:anchor="sec-3">
        <w:r>
          <w:rPr>
            <w:rStyle w:val="Hyperlink"/>
          </w:rPr>
          <w:t xml:space="preserve">Sect. 3</w:t>
        </w:r>
      </w:hyperlink>
      <w:r>
        <w:t xml:space="preserve"> </w:t>
      </w:r>
      <w:r>
        <w:t xml:space="preserve">and</w:t>
      </w:r>
      <w:r>
        <w:t xml:space="preserve"> </w:t>
      </w:r>
      <w:hyperlink w:anchor="sec-4">
        <w:r>
          <w:rPr>
            <w:rStyle w:val="Hyperlink"/>
          </w:rPr>
          <w:t xml:space="preserve">Sect. 4</w:t>
        </w:r>
      </w:hyperlink>
      <w:r>
        <w:t xml:space="preserve">,.</w:t>
      </w:r>
      <w:r>
        <w:t xml:space="preserve"> </w:t>
      </w:r>
      <w:hyperlink w:anchor="tbl-mechanisms">
        <w:r>
          <w:rPr>
            <w:rStyle w:val="Hyperlink"/>
          </w:rPr>
          <w:t xml:space="preserve">Table 1</w:t>
        </w:r>
      </w:hyperlink>
      <w:r>
        <w:t xml:space="preserve"> </w:t>
      </w:r>
      <w:r>
        <w:t xml:space="preserve">grades the evidence for each mechanism considered there. A second objection concerns attribution. Most published links between climate and fungal disease are correlations drawn from data collected for other purposes. Such data cannot separate climate from everything else that changed alongside it: better diagnostics, more surveillance, wider antifungal use, altered land use, a more susceptible population. We return to this in</w:t>
      </w:r>
      <w:r>
        <w:t xml:space="preserve"> </w:t>
      </w:r>
      <w:hyperlink w:anchor="sec-4-6">
        <w:r>
          <w:rPr>
            <w:rStyle w:val="Hyperlink"/>
          </w:rPr>
          <w:t xml:space="preserve">Sect. 4.6</w:t>
        </w:r>
      </w:hyperlink>
      <w:r>
        <w:t xml:space="preserve"> </w:t>
      </w:r>
      <w:r>
        <w:t xml:space="preserve">and apply it to each case study in</w:t>
      </w:r>
      <w:r>
        <w:t xml:space="preserve"> </w:t>
      </w:r>
      <w:hyperlink w:anchor="sec-5">
        <w:r>
          <w:rPr>
            <w:rStyle w:val="Hyperlink"/>
          </w:rPr>
          <w:t xml:space="preserve">Sect.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tbl-mechanisms"/>
          <w:p>
            <w:pPr>
              <w:jc w:val="center"/>
            </w:pPr>
            <w:pPr>
              <w:jc w:val="left"/>
              <w:spacing w:before="200"/>
              <w:pStyle w:val="ImageCaption"/>
            </w:pPr>
            <w:r>
              <w:t xml:space="preserve">Table 1: Mechanisms of fungal thermal and physical-stress adaptation, with evidence grade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rPr>
                      <w:b/>
                      <w:bCs/>
                    </w:rPr>
                    <w:t xml:space="preserve">Mechanism</w:t>
                  </w:r>
                </w:p>
              </w:tc>
              <w:tc>
                <w:tcPr/>
                <w:p>
                  <w:pPr>
                    <w:pStyle w:val="Compact"/>
                    <w:jc w:val="left"/>
                    <w:jc w:val="center"/>
                  </w:pPr>
                  <w:r>
                    <w:rPr>
                      <w:b/>
                      <w:bCs/>
                    </w:rPr>
                    <w:t xml:space="preserve">Principal organisms</w:t>
                  </w:r>
                </w:p>
              </w:tc>
              <w:tc>
                <w:tcPr/>
                <w:p>
                  <w:pPr>
                    <w:pStyle w:val="Compact"/>
                    <w:jc w:val="left"/>
                    <w:jc w:val="center"/>
                  </w:pPr>
                  <w:r>
                    <w:rPr>
                      <w:b/>
                      <w:bCs/>
                    </w:rPr>
                    <w:t xml:space="preserve">Experimental system</w:t>
                  </w:r>
                </w:p>
              </w:tc>
              <w:tc>
                <w:tcPr/>
                <w:p>
                  <w:pPr>
                    <w:pStyle w:val="Compact"/>
                    <w:jc w:val="left"/>
                    <w:jc w:val="center"/>
                  </w:pPr>
                  <w:r>
                    <w:rPr>
                      <w:b/>
                      <w:bCs/>
                    </w:rPr>
                    <w:t xml:space="preserve">Evidence grade</w:t>
                  </w:r>
                </w:p>
              </w:tc>
              <w:tc>
                <w:tcPr/>
                <w:p>
                  <w:pPr>
                    <w:pStyle w:val="Compact"/>
                    <w:jc w:val="left"/>
                    <w:jc w:val="center"/>
                  </w:pPr>
                  <w:r>
                    <w:rPr>
                      <w:b/>
                      <w:bCs/>
                    </w:rPr>
                    <w:t xml:space="preserve">Key references</w:t>
                  </w:r>
                </w:p>
              </w:tc>
            </w:tr>
            <w:tr>
              <w:tc>
                <w:tcPr/>
                <w:p>
                  <w:pPr>
                    <w:pStyle w:val="Compact"/>
                    <w:jc w:val="left"/>
                    <w:jc w:val="center"/>
                  </w:pPr>
                  <w:r>
                    <w:t xml:space="preserve">Heat-shock response (Hsf1, Hsp90, Hsp104, trehalose)</w:t>
                  </w:r>
                </w:p>
              </w:tc>
              <w:tc>
                <w:tcPr/>
                <w:p>
                  <w:pPr>
                    <w:pStyle w:val="Compact"/>
                    <w:jc w:val="left"/>
                    <w:jc w:val="center"/>
                  </w:pPr>
                  <w:r>
                    <w:rPr>
                      <w:i/>
                      <w:iCs/>
                    </w:rPr>
                    <w:t xml:space="preserve">Candida albicans</w:t>
                  </w:r>
                  <w:r>
                    <w:t xml:space="preserve">,</w:t>
                  </w:r>
                  <w:r>
                    <w:t xml:space="preserve"> </w:t>
                  </w:r>
                  <w:r>
                    <w:rPr>
                      <w:i/>
                      <w:iCs/>
                    </w:rPr>
                    <w:t xml:space="preserve">Saccharomyces cerevisiae</w:t>
                  </w:r>
                  <w:r>
                    <w:t xml:space="preserve">,</w:t>
                  </w:r>
                  <w:r>
                    <w:t xml:space="preserve"> </w:t>
                  </w:r>
                  <w:r>
                    <w:rPr>
                      <w:i/>
                      <w:iCs/>
                    </w:rPr>
                    <w:t xml:space="preserve">C. auris</w:t>
                  </w:r>
                </w:p>
              </w:tc>
              <w:tc>
                <w:tcPr/>
                <w:p>
                  <w:pPr>
                    <w:pStyle w:val="Compact"/>
                    <w:jc w:val="left"/>
                    <w:jc w:val="center"/>
                  </w:pPr>
                  <w:r>
                    <w:t xml:space="preserve">Genetics, murine virulence</w:t>
                  </w:r>
                </w:p>
              </w:tc>
              <w:tc>
                <w:tcPr/>
                <w:p>
                  <w:pPr>
                    <w:pStyle w:val="Compact"/>
                    <w:jc w:val="left"/>
                    <w:jc w:val="center"/>
                  </w:pPr>
                  <w:r>
                    <w:t xml:space="preserve">Established</w:t>
                  </w:r>
                </w:p>
              </w:tc>
              <w:tc>
                <w:tcPr/>
                <w:p>
                  <w:pPr>
                    <w:pStyle w:val="Compact"/>
                    <w:jc w:val="left"/>
                    <w:jc w:val="center"/>
                  </w:pPr>
                  <w:r>
                    <w:t xml:space="preserve">(</w:t>
                  </w:r>
                  <w:hyperlink w:anchor="ref-nicholls2010">
                    <w:r>
                      <w:rPr>
                        <w:rStyle w:val="Hyperlink"/>
                      </w:rPr>
                      <w:t xml:space="preserve">Nicholls et al. 2010</w:t>
                    </w:r>
                  </w:hyperlink>
                  <w:r>
                    <w:t xml:space="preserve">;</w:t>
                  </w:r>
                  <w:r>
                    <w:t xml:space="preserve"> </w:t>
                  </w:r>
                  <w:hyperlink w:anchor="ref-morano2011">
                    <w:r>
                      <w:rPr>
                        <w:rStyle w:val="Hyperlink"/>
                      </w:rPr>
                      <w:t xml:space="preserve">Morano et al. 2011</w:t>
                    </w:r>
                  </w:hyperlink>
                  <w:r>
                    <w:t xml:space="preserve">)</w:t>
                  </w:r>
                </w:p>
              </w:tc>
            </w:tr>
            <w:tr>
              <w:tc>
                <w:tcPr/>
                <w:p>
                  <w:pPr>
                    <w:pStyle w:val="Compact"/>
                    <w:jc w:val="left"/>
                    <w:jc w:val="center"/>
                  </w:pPr>
                  <w:r>
                    <w:t xml:space="preserve">Hsp90 as a capacitor releasing cryptic variation</w:t>
                  </w:r>
                </w:p>
              </w:tc>
              <w:tc>
                <w:tcPr/>
                <w:p>
                  <w:pPr>
                    <w:pStyle w:val="Compact"/>
                    <w:jc w:val="left"/>
                    <w:jc w:val="center"/>
                  </w:pPr>
                  <w:r>
                    <w:rPr>
                      <w:i/>
                      <w:iCs/>
                    </w:rPr>
                    <w:t xml:space="preserve">C. albicans</w:t>
                  </w:r>
                  <w:r>
                    <w:t xml:space="preserve">,</w:t>
                  </w:r>
                  <w:r>
                    <w:t xml:space="preserve"> </w:t>
                  </w:r>
                  <w:r>
                    <w:rPr>
                      <w:i/>
                      <w:iCs/>
                    </w:rPr>
                    <w:t xml:space="preserve">A. fumigatus</w:t>
                  </w:r>
                </w:p>
              </w:tc>
              <w:tc>
                <w:tcPr/>
                <w:p>
                  <w:pPr>
                    <w:pStyle w:val="Compact"/>
                    <w:jc w:val="left"/>
                    <w:jc w:val="center"/>
                  </w:pPr>
                  <w:r>
                    <w:t xml:space="preserve">Drug-resistance evolution in vitro</w:t>
                  </w:r>
                </w:p>
              </w:tc>
              <w:tc>
                <w:tcPr/>
                <w:p>
                  <w:pPr>
                    <w:pStyle w:val="Compact"/>
                    <w:jc w:val="left"/>
                    <w:jc w:val="center"/>
                  </w:pPr>
                  <w:r>
                    <w:t xml:space="preserve">Established (mechanism); emerging (climate relevance)</w:t>
                  </w:r>
                </w:p>
              </w:tc>
              <w:tc>
                <w:tcPr/>
                <w:p>
                  <w:pPr>
                    <w:pStyle w:val="Compact"/>
                    <w:jc w:val="left"/>
                    <w:jc w:val="center"/>
                  </w:pPr>
                  <w:r>
                    <w:t xml:space="preserve">(</w:t>
                  </w:r>
                  <w:hyperlink w:anchor="ref-cowen2005">
                    <w:r>
                      <w:rPr>
                        <w:rStyle w:val="Hyperlink"/>
                      </w:rPr>
                      <w:t xml:space="preserve">Cowen and Lindquist 2005</w:t>
                    </w:r>
                  </w:hyperlink>
                  <w:r>
                    <w:t xml:space="preserve">;</w:t>
                  </w:r>
                  <w:r>
                    <w:t xml:space="preserve"> </w:t>
                  </w:r>
                  <w:hyperlink w:anchor="ref-cowen2009">
                    <w:r>
                      <w:rPr>
                        <w:rStyle w:val="Hyperlink"/>
                      </w:rPr>
                      <w:t xml:space="preserve">Cowen et al. 2009</w:t>
                    </w:r>
                  </w:hyperlink>
                  <w:r>
                    <w:t xml:space="preserve">)</w:t>
                  </w:r>
                </w:p>
              </w:tc>
            </w:tr>
            <w:tr>
              <w:tc>
                <w:tcPr/>
                <w:p>
                  <w:pPr>
                    <w:pStyle w:val="Compact"/>
                    <w:jc w:val="left"/>
                    <w:jc w:val="center"/>
                  </w:pPr>
                  <w:r>
                    <w:t xml:space="preserve">Calcineurin–Crz1 signalling in thermal virulence</w:t>
                  </w:r>
                </w:p>
              </w:tc>
              <w:tc>
                <w:tcPr/>
                <w:p>
                  <w:pPr>
                    <w:pStyle w:val="Compact"/>
                    <w:jc w:val="left"/>
                    <w:jc w:val="center"/>
                  </w:pPr>
                  <w:r>
                    <w:t xml:space="preserve">Mucorales,</w:t>
                  </w:r>
                  <w:r>
                    <w:t xml:space="preserve"> </w:t>
                  </w:r>
                  <w:r>
                    <w:rPr>
                      <w:i/>
                      <w:iCs/>
                    </w:rPr>
                    <w:t xml:space="preserve">Cryptococcus</w:t>
                  </w:r>
                  <w:r>
                    <w:t xml:space="preserve">,</w:t>
                  </w:r>
                  <w:r>
                    <w:t xml:space="preserve"> </w:t>
                  </w:r>
                  <w:r>
                    <w:rPr>
                      <w:i/>
                      <w:iCs/>
                    </w:rPr>
                    <w:t xml:space="preserve">Aspergillus</w:t>
                  </w:r>
                </w:p>
              </w:tc>
              <w:tc>
                <w:tcPr/>
                <w:p>
                  <w:pPr>
                    <w:pStyle w:val="Compact"/>
                    <w:jc w:val="left"/>
                    <w:jc w:val="center"/>
                  </w:pPr>
                  <w:r>
                    <w:t xml:space="preserve">Fly and murine models, inhibitor studies</w:t>
                  </w:r>
                </w:p>
              </w:tc>
              <w:tc>
                <w:tcPr/>
                <w:p>
                  <w:pPr>
                    <w:pStyle w:val="Compact"/>
                    <w:jc w:val="left"/>
                    <w:jc w:val="center"/>
                  </w:pPr>
                  <w:r>
                    <w:t xml:space="preserve">Established (pathway); to be verified (thermal-virulence data)</w:t>
                  </w:r>
                </w:p>
              </w:tc>
              <w:tc>
                <w:tcPr/>
                <w:p>
                  <w:pPr>
                    <w:pStyle w:val="Compact"/>
                    <w:jc w:val="left"/>
                    <w:jc w:val="center"/>
                  </w:pPr>
                  <w:r>
                    <w:t xml:space="preserve">(</w:t>
                  </w:r>
                  <w:hyperlink w:anchor="ref-steinbach2007">
                    <w:r>
                      <w:rPr>
                        <w:rStyle w:val="Hyperlink"/>
                      </w:rPr>
                      <w:t xml:space="preserve">Steinbach et al. 2007</w:t>
                    </w:r>
                  </w:hyperlink>
                  <w:r>
                    <w:t xml:space="preserve">;</w:t>
                  </w:r>
                  <w:r>
                    <w:t xml:space="preserve"> </w:t>
                  </w:r>
                  <w:hyperlink w:anchor="ref-juvvadi2016">
                    <w:r>
                      <w:rPr>
                        <w:rStyle w:val="Hyperlink"/>
                      </w:rPr>
                      <w:t xml:space="preserve">Juvvadi et al. 2016</w:t>
                    </w:r>
                  </w:hyperlink>
                  <w:r>
                    <w:t xml:space="preserve">)</w:t>
                  </w:r>
                  <w:r>
                    <w:t xml:space="preserve">; authors’ unpublished/presented data</w:t>
                  </w:r>
                  <w:r>
                    <w:t xml:space="preserve"> </w:t>
                  </w:r>
                  <w:r>
                    <w:rPr>
                      <w:b/>
                      <w:bCs/>
                    </w:rPr>
                    <w:t xml:space="preserve">VERIFY</w:t>
                  </w:r>
                </w:p>
              </w:tc>
            </w:tr>
            <w:tr>
              <w:tc>
                <w:tcPr/>
                <w:p>
                  <w:pPr>
                    <w:pStyle w:val="Compact"/>
                    <w:jc w:val="left"/>
                    <w:jc w:val="center"/>
                  </w:pPr>
                  <w:r>
                    <w:t xml:space="preserve">HOG/stress-activated protein kinase module</w:t>
                  </w:r>
                </w:p>
              </w:tc>
              <w:tc>
                <w:tcPr/>
                <w:p>
                  <w:pPr>
                    <w:pStyle w:val="Compact"/>
                    <w:jc w:val="left"/>
                    <w:jc w:val="center"/>
                  </w:pPr>
                  <w:r>
                    <w:t xml:space="preserve">Multiple human pathogens</w:t>
                  </w:r>
                </w:p>
              </w:tc>
              <w:tc>
                <w:tcPr/>
                <w:p>
                  <w:pPr>
                    <w:pStyle w:val="Compact"/>
                    <w:jc w:val="left"/>
                    <w:jc w:val="center"/>
                  </w:pPr>
                  <w:r>
                    <w:t xml:space="preserve">Genetics, stress assays</w:t>
                  </w:r>
                </w:p>
              </w:tc>
              <w:tc>
                <w:tcPr/>
                <w:p>
                  <w:pPr>
                    <w:pStyle w:val="Compact"/>
                    <w:jc w:val="left"/>
                    <w:jc w:val="center"/>
                  </w:pPr>
                  <w:r>
                    <w:t xml:space="preserve">Established</w:t>
                  </w:r>
                </w:p>
              </w:tc>
              <w:tc>
                <w:tcPr/>
                <w:p>
                  <w:pPr>
                    <w:pStyle w:val="Compact"/>
                    <w:jc w:val="left"/>
                    <w:jc w:val="center"/>
                  </w:pPr>
                  <w:r>
                    <w:t xml:space="preserve">(</w:t>
                  </w:r>
                  <w:hyperlink w:anchor="ref-day2019">
                    <w:r>
                      <w:rPr>
                        <w:rStyle w:val="Hyperlink"/>
                      </w:rPr>
                      <w:t xml:space="preserve">Day and Quinn 2019</w:t>
                    </w:r>
                  </w:hyperlink>
                  <w:r>
                    <w:t xml:space="preserve">)</w:t>
                  </w:r>
                </w:p>
              </w:tc>
            </w:tr>
            <w:tr>
              <w:tc>
                <w:tcPr/>
                <w:p>
                  <w:pPr>
                    <w:pStyle w:val="Compact"/>
                    <w:jc w:val="left"/>
                    <w:jc w:val="center"/>
                  </w:pPr>
                  <w:r>
                    <w:t xml:space="preserve">Oxidative-stress cross-protection after thermal priming</w:t>
                  </w:r>
                </w:p>
              </w:tc>
              <w:tc>
                <w:tcPr/>
                <w:p>
                  <w:pPr>
                    <w:pStyle w:val="Compact"/>
                    <w:jc w:val="left"/>
                    <w:jc w:val="center"/>
                  </w:pPr>
                  <w:r>
                    <w:t xml:space="preserve">Mucorales,</w:t>
                  </w:r>
                  <w:r>
                    <w:t xml:space="preserve"> </w:t>
                  </w:r>
                  <w:r>
                    <w:rPr>
                      <w:i/>
                      <w:iCs/>
                    </w:rPr>
                    <w:t xml:space="preserve">Candida</w:t>
                  </w:r>
                </w:p>
              </w:tc>
              <w:tc>
                <w:tcPr/>
                <w:p>
                  <w:pPr>
                    <w:pStyle w:val="Compact"/>
                    <w:jc w:val="left"/>
                    <w:jc w:val="center"/>
                  </w:pPr>
                  <w:r>
                    <w:t xml:space="preserve">In vitro priming, phagocyte assays</w:t>
                  </w:r>
                </w:p>
              </w:tc>
              <w:tc>
                <w:tcPr/>
                <w:p>
                  <w:pPr>
                    <w:pStyle w:val="Compact"/>
                    <w:jc w:val="left"/>
                    <w:jc w:val="center"/>
                  </w:pPr>
                  <w:r>
                    <w:t xml:space="preserve">Emerging</w:t>
                  </w:r>
                </w:p>
              </w:tc>
              <w:tc>
                <w:tcPr/>
                <w:p>
                  <w:pPr>
                    <w:pStyle w:val="Compact"/>
                    <w:jc w:val="left"/>
                    <w:jc w:val="center"/>
                  </w:pPr>
                  <w:r>
                    <w:t xml:space="preserve">(</w:t>
                  </w:r>
                  <w:hyperlink w:anchor="ref-harish2022">
                    <w:r>
                      <w:rPr>
                        <w:rStyle w:val="Hyperlink"/>
                      </w:rPr>
                      <w:t xml:space="preserve">Harish and Osherov 2022</w:t>
                    </w:r>
                  </w:hyperlink>
                  <w:r>
                    <w:t xml:space="preserve">)</w:t>
                  </w:r>
                  <w:r>
                    <w:t xml:space="preserve">; authors’ presented data</w:t>
                  </w:r>
                  <w:r>
                    <w:t xml:space="preserve"> </w:t>
                  </w:r>
                  <w:r>
                    <w:rPr>
                      <w:b/>
                      <w:bCs/>
                    </w:rPr>
                    <w:t xml:space="preserve">VERIFY</w:t>
                  </w:r>
                </w:p>
              </w:tc>
            </w:tr>
            <w:tr>
              <w:tc>
                <w:tcPr/>
                <w:p>
                  <w:pPr>
                    <w:pStyle w:val="Compact"/>
                    <w:jc w:val="left"/>
                    <w:jc w:val="center"/>
                  </w:pPr>
                  <w:r>
                    <w:t xml:space="preserve">Melanin-mediated thermal and radiation buffering</w:t>
                  </w:r>
                </w:p>
              </w:tc>
              <w:tc>
                <w:tcPr/>
                <w:p>
                  <w:pPr>
                    <w:pStyle w:val="Compact"/>
                    <w:jc w:val="left"/>
                    <w:jc w:val="center"/>
                  </w:pPr>
                  <w:r>
                    <w:rPr>
                      <w:i/>
                      <w:iCs/>
                    </w:rPr>
                    <w:t xml:space="preserve">Cryptococcus</w:t>
                  </w:r>
                  <w:r>
                    <w:t xml:space="preserve">, black yeasts,</w:t>
                  </w:r>
                  <w:r>
                    <w:t xml:space="preserve"> </w:t>
                  </w:r>
                  <w:r>
                    <w:rPr>
                      <w:i/>
                      <w:iCs/>
                    </w:rPr>
                    <w:t xml:space="preserve">Rhodotorula</w:t>
                  </w:r>
                </w:p>
              </w:tc>
              <w:tc>
                <w:tcPr/>
                <w:p>
                  <w:pPr>
                    <w:pStyle w:val="Compact"/>
                    <w:jc w:val="left"/>
                    <w:jc w:val="center"/>
                  </w:pPr>
                  <w:r>
                    <w:t xml:space="preserve">Biophysics, environmental isolates</w:t>
                  </w:r>
                </w:p>
              </w:tc>
              <w:tc>
                <w:tcPr/>
                <w:p>
                  <w:pPr>
                    <w:pStyle w:val="Compact"/>
                    <w:jc w:val="left"/>
                    <w:jc w:val="center"/>
                  </w:pPr>
                  <w:r>
                    <w:t xml:space="preserve">Established (function); emerging (climate selection)</w:t>
                  </w:r>
                </w:p>
              </w:tc>
              <w:tc>
                <w:tcPr/>
                <w:p>
                  <w:pPr>
                    <w:pStyle w:val="Compact"/>
                    <w:jc w:val="left"/>
                    <w:jc w:val="center"/>
                  </w:pPr>
                  <w:r>
                    <w:t xml:space="preserve">(</w:t>
                  </w:r>
                  <w:hyperlink w:anchor="ref-dadachova2007">
                    <w:r>
                      <w:rPr>
                        <w:rStyle w:val="Hyperlink"/>
                      </w:rPr>
                      <w:t xml:space="preserve">Dadachova et al. 2007</w:t>
                    </w:r>
                  </w:hyperlink>
                  <w:r>
                    <w:t xml:space="preserve">;</w:t>
                  </w:r>
                  <w:r>
                    <w:t xml:space="preserve"> </w:t>
                  </w:r>
                  <w:hyperlink w:anchor="ref-cordero2017">
                    <w:r>
                      <w:rPr>
                        <w:rStyle w:val="Hyperlink"/>
                      </w:rPr>
                      <w:t xml:space="preserve">Cordero and Casadevall 2017</w:t>
                    </w:r>
                  </w:hyperlink>
                  <w:r>
                    <w:t xml:space="preserve">;</w:t>
                  </w:r>
                  <w:r>
                    <w:t xml:space="preserve"> </w:t>
                  </w:r>
                  <w:hyperlink w:anchor="ref-smith2025">
                    <w:r>
                      <w:rPr>
                        <w:rStyle w:val="Hyperlink"/>
                      </w:rPr>
                      <w:t xml:space="preserve">Smith et al. 2025</w:t>
                    </w:r>
                  </w:hyperlink>
                  <w:r>
                    <w:t xml:space="preserve">)</w:t>
                  </w:r>
                </w:p>
              </w:tc>
            </w:tr>
            <w:tr>
              <w:tc>
                <w:tcPr/>
                <w:p>
                  <w:pPr>
                    <w:pStyle w:val="Compact"/>
                    <w:jc w:val="left"/>
                    <w:jc w:val="center"/>
                  </w:pPr>
                  <w:r>
                    <w:t xml:space="preserve">Mechanical/shear-stress-induced transient hypervirulence</w:t>
                  </w:r>
                </w:p>
              </w:tc>
              <w:tc>
                <w:tcPr/>
                <w:p>
                  <w:pPr>
                    <w:pStyle w:val="Compact"/>
                    <w:jc w:val="left"/>
                    <w:jc w:val="center"/>
                  </w:pPr>
                  <w:r>
                    <w:t xml:space="preserve">Mucorales</w:t>
                  </w:r>
                </w:p>
              </w:tc>
              <w:tc>
                <w:tcPr/>
                <w:p>
                  <w:pPr>
                    <w:pStyle w:val="Compact"/>
                    <w:jc w:val="left"/>
                    <w:jc w:val="center"/>
                  </w:pPr>
                  <w:r>
                    <w:t xml:space="preserve">Shear challenge + fly model</w:t>
                  </w:r>
                </w:p>
              </w:tc>
              <w:tc>
                <w:tcPr/>
                <w:p>
                  <w:pPr>
                    <w:pStyle w:val="Compact"/>
                    <w:jc w:val="left"/>
                    <w:jc w:val="center"/>
                  </w:pPr>
                  <w:r>
                    <w:t xml:space="preserve">Emerging (single laboratory)</w:t>
                  </w:r>
                </w:p>
              </w:tc>
              <w:tc>
                <w:tcPr/>
                <w:p>
                  <w:pPr>
                    <w:pStyle w:val="Compact"/>
                    <w:jc w:val="left"/>
                    <w:jc w:val="center"/>
                  </w:pPr>
                  <w:r>
                    <w:t xml:space="preserve">(</w:t>
                  </w:r>
                  <w:hyperlink w:anchor="ref-wurster2020">
                    <w:r>
                      <w:rPr>
                        <w:rStyle w:val="Hyperlink"/>
                      </w:rPr>
                      <w:t xml:space="preserve">Wurster et al.</w:t>
                    </w:r>
                    <w:r>
                      <w:rPr>
                        <w:rStyle w:val="Hyperlink"/>
                      </w:rPr>
                      <w:t xml:space="preserve"> </w:t>
                    </w:r>
                    <w:r>
                      <w:rPr>
                        <w:rStyle w:val="Hyperlink"/>
                      </w:rPr>
                      <w:t xml:space="preserve">2020</w:t>
                    </w:r>
                  </w:hyperlink>
                  <w:r>
                    <w:t xml:space="preserve">)</w:t>
                  </w:r>
                  <w:r>
                    <w:t xml:space="preserve"> </w:t>
                  </w:r>
                  <w:r>
                    <w:rPr>
                      <w:b/>
                      <w:bCs/>
                    </w:rPr>
                    <w:t xml:space="preserve">VERIFY</w:t>
                  </w:r>
                </w:p>
              </w:tc>
            </w:tr>
            <w:tr>
              <w:tc>
                <w:tcPr/>
                <w:p>
                  <w:pPr>
                    <w:pStyle w:val="Compact"/>
                    <w:jc w:val="left"/>
                    <w:jc w:val="center"/>
                  </w:pPr>
                  <w:r>
                    <w:t xml:space="preserve">Temperature-stimulated transposon mobilization</w:t>
                  </w:r>
                </w:p>
              </w:tc>
              <w:tc>
                <w:tcPr/>
                <w:p>
                  <w:pPr>
                    <w:pStyle w:val="Compact"/>
                    <w:jc w:val="left"/>
                    <w:jc w:val="center"/>
                  </w:pPr>
                  <w:r>
                    <w:rPr>
                      <w:i/>
                      <w:iCs/>
                    </w:rPr>
                    <w:t xml:space="preserve">Cryptococcus deneoformans</w:t>
                  </w:r>
                </w:p>
              </w:tc>
              <w:tc>
                <w:tcPr/>
                <w:p>
                  <w:pPr>
                    <w:pStyle w:val="Compact"/>
                    <w:jc w:val="left"/>
                    <w:jc w:val="center"/>
                  </w:pPr>
                  <w:r>
                    <w:t xml:space="preserve">Genome-wide mutation accumulation, murine infection</w:t>
                  </w:r>
                </w:p>
              </w:tc>
              <w:tc>
                <w:tcPr/>
                <w:p>
                  <w:pPr>
                    <w:pStyle w:val="Compact"/>
                    <w:jc w:val="left"/>
                    <w:jc w:val="center"/>
                  </w:pPr>
                  <w:r>
                    <w:t xml:space="preserve">Established</w:t>
                  </w:r>
                </w:p>
              </w:tc>
              <w:tc>
                <w:tcPr/>
                <w:p>
                  <w:pPr>
                    <w:pStyle w:val="Compact"/>
                    <w:jc w:val="left"/>
                    <w:jc w:val="center"/>
                  </w:pPr>
                  <w:r>
                    <w:t xml:space="preserve">(</w:t>
                  </w:r>
                  <w:hyperlink w:anchor="ref-gusa2020">
                    <w:r>
                      <w:rPr>
                        <w:rStyle w:val="Hyperlink"/>
                      </w:rPr>
                      <w:t xml:space="preserve">Gusa et al. 2020</w:t>
                    </w:r>
                  </w:hyperlink>
                  <w:r>
                    <w:t xml:space="preserve">,</w:t>
                  </w:r>
                  <w:r>
                    <w:t xml:space="preserve"> </w:t>
                  </w:r>
                  <w:hyperlink w:anchor="ref-gusa2023">
                    <w:r>
                      <w:rPr>
                        <w:rStyle w:val="Hyperlink"/>
                      </w:rPr>
                      <w:t xml:space="preserve">2023</w:t>
                    </w:r>
                  </w:hyperlink>
                  <w:r>
                    <w:t xml:space="preserve">)</w:t>
                  </w:r>
                </w:p>
              </w:tc>
            </w:tr>
            <w:tr>
              <w:tc>
                <w:tcPr/>
                <w:p>
                  <w:pPr>
                    <w:pStyle w:val="Compact"/>
                    <w:jc w:val="left"/>
                    <w:jc w:val="center"/>
                  </w:pPr>
                  <w:r>
                    <w:t xml:space="preserve">Host-temperature-induced point mutagenesis</w:t>
                  </w:r>
                </w:p>
              </w:tc>
              <w:tc>
                <w:tcPr/>
                <w:p>
                  <w:pPr>
                    <w:pStyle w:val="Compact"/>
                    <w:jc w:val="left"/>
                    <w:jc w:val="center"/>
                  </w:pPr>
                  <w:r>
                    <w:rPr>
                      <w:i/>
                      <w:iCs/>
                    </w:rPr>
                    <w:t xml:space="preserve">Rhodosporidiobolus fluvialis</w:t>
                  </w:r>
                </w:p>
              </w:tc>
              <w:tc>
                <w:tcPr/>
                <w:p>
                  <w:pPr>
                    <w:pStyle w:val="Compact"/>
                    <w:jc w:val="left"/>
                    <w:jc w:val="center"/>
                  </w:pPr>
                  <w:r>
                    <w:t xml:space="preserve">Murine passage, in vitro evolution</w:t>
                  </w:r>
                </w:p>
              </w:tc>
              <w:tc>
                <w:tcPr/>
                <w:p>
                  <w:pPr>
                    <w:pStyle w:val="Compact"/>
                    <w:jc w:val="left"/>
                    <w:jc w:val="center"/>
                  </w:pPr>
                  <w:r>
                    <w:t xml:space="preserve">Established mechanism; narrow taxonomic basis</w:t>
                  </w:r>
                </w:p>
              </w:tc>
              <w:tc>
                <w:tcPr/>
                <w:p>
                  <w:pPr>
                    <w:pStyle w:val="Compact"/>
                    <w:jc w:val="left"/>
                    <w:jc w:val="center"/>
                  </w:pPr>
                  <w:r>
                    <w:t xml:space="preserve">(</w:t>
                  </w:r>
                  <w:hyperlink w:anchor="ref-huang2024">
                    <w:r>
                      <w:rPr>
                        <w:rStyle w:val="Hyperlink"/>
                      </w:rPr>
                      <w:t xml:space="preserve">Huang et al. 2024</w:t>
                    </w:r>
                  </w:hyperlink>
                  <w:r>
                    <w:t xml:space="preserve">)</w:t>
                  </w:r>
                </w:p>
              </w:tc>
            </w:tr>
            <w:tr>
              <w:tc>
                <w:tcPr/>
                <w:p>
                  <w:pPr>
                    <w:pStyle w:val="Compact"/>
                    <w:jc w:val="left"/>
                    <w:jc w:val="center"/>
                  </w:pPr>
                  <w:r>
                    <w:t xml:space="preserve">Aneuploidy and copy-number variation under stress</w:t>
                  </w:r>
                </w:p>
              </w:tc>
              <w:tc>
                <w:tcPr/>
                <w:p>
                  <w:pPr>
                    <w:pStyle w:val="Compact"/>
                    <w:jc w:val="left"/>
                    <w:jc w:val="center"/>
                  </w:pPr>
                  <w:r>
                    <w:rPr>
                      <w:i/>
                      <w:iCs/>
                    </w:rPr>
                    <w:t xml:space="preserve">C. albicans</w:t>
                  </w:r>
                  <w:r>
                    <w:t xml:space="preserve">,</w:t>
                  </w:r>
                  <w:r>
                    <w:t xml:space="preserve"> </w:t>
                  </w:r>
                  <w:r>
                    <w:rPr>
                      <w:i/>
                      <w:iCs/>
                    </w:rPr>
                    <w:t xml:space="preserve">C. auris</w:t>
                  </w:r>
                  <w:r>
                    <w:t xml:space="preserve">,</w:t>
                  </w:r>
                  <w:r>
                    <w:t xml:space="preserve"> </w:t>
                  </w:r>
                  <w:r>
                    <w:rPr>
                      <w:i/>
                      <w:iCs/>
                    </w:rPr>
                    <w:t xml:space="preserve">Cryptococcus</w:t>
                  </w:r>
                </w:p>
              </w:tc>
              <w:tc>
                <w:tcPr/>
                <w:p>
                  <w:pPr>
                    <w:pStyle w:val="Compact"/>
                    <w:jc w:val="left"/>
                    <w:jc w:val="center"/>
                  </w:pPr>
                  <w:r>
                    <w:t xml:space="preserve">Comparative genomics, in vitro selection</w:t>
                  </w:r>
                </w:p>
              </w:tc>
              <w:tc>
                <w:tcPr/>
                <w:p>
                  <w:pPr>
                    <w:pStyle w:val="Compact"/>
                    <w:jc w:val="left"/>
                    <w:jc w:val="center"/>
                  </w:pPr>
                  <w:r>
                    <w:t xml:space="preserve">Established</w:t>
                  </w:r>
                </w:p>
              </w:tc>
              <w:tc>
                <w:tcPr/>
                <w:p>
                  <w:pPr>
                    <w:pStyle w:val="Compact"/>
                    <w:jc w:val="left"/>
                    <w:jc w:val="center"/>
                  </w:pPr>
                  <w:r>
                    <w:t xml:space="preserve">(</w:t>
                  </w:r>
                  <w:hyperlink w:anchor="ref-selmecki2006">
                    <w:r>
                      <w:rPr>
                        <w:rStyle w:val="Hyperlink"/>
                      </w:rPr>
                      <w:t xml:space="preserve">Selmecki et al. 2006</w:t>
                    </w:r>
                  </w:hyperlink>
                  <w:r>
                    <w:t xml:space="preserve">;</w:t>
                  </w:r>
                  <w:r>
                    <w:t xml:space="preserve"> </w:t>
                  </w:r>
                  <w:hyperlink w:anchor="ref-bennett2014">
                    <w:r>
                      <w:rPr>
                        <w:rStyle w:val="Hyperlink"/>
                      </w:rPr>
                      <w:t xml:space="preserve">Bennett et al. 2014</w:t>
                    </w:r>
                  </w:hyperlink>
                  <w:r>
                    <w:t xml:space="preserve">;</w:t>
                  </w:r>
                  <w:r>
                    <w:t xml:space="preserve"> </w:t>
                  </w:r>
                  <w:hyperlink w:anchor="ref-steenwyk2016">
                    <w:r>
                      <w:rPr>
                        <w:rStyle w:val="Hyperlink"/>
                      </w:rPr>
                      <w:t xml:space="preserve">Steenwyk et al. 2016</w:t>
                    </w:r>
                  </w:hyperlink>
                  <w:r>
                    <w:t xml:space="preserve">)</w:t>
                  </w:r>
                </w:p>
              </w:tc>
            </w:tr>
            <w:tr>
              <w:tc>
                <w:tcPr/>
                <w:p>
                  <w:pPr>
                    <w:pStyle w:val="Compact"/>
                    <w:jc w:val="left"/>
                    <w:jc w:val="center"/>
                  </w:pPr>
                  <w:r>
                    <w:t xml:space="preserve">RNAi-dependent epimutation</w:t>
                  </w:r>
                </w:p>
              </w:tc>
              <w:tc>
                <w:tcPr/>
                <w:p>
                  <w:pPr>
                    <w:pStyle w:val="Compact"/>
                    <w:jc w:val="left"/>
                    <w:jc w:val="center"/>
                  </w:pPr>
                  <w:r>
                    <w:rPr>
                      <w:i/>
                      <w:iCs/>
                    </w:rPr>
                    <w:t xml:space="preserve">Mucor</w:t>
                  </w:r>
                  <w:r>
                    <w:t xml:space="preserve"> </w:t>
                  </w:r>
                  <w:r>
                    <w:t xml:space="preserve">spp.</w:t>
                  </w:r>
                </w:p>
              </w:tc>
              <w:tc>
                <w:tcPr/>
                <w:p>
                  <w:pPr>
                    <w:pStyle w:val="Compact"/>
                    <w:jc w:val="left"/>
                    <w:jc w:val="center"/>
                  </w:pPr>
                  <w:r>
                    <w:t xml:space="preserve">Drug-selection assays</w:t>
                  </w:r>
                </w:p>
              </w:tc>
              <w:tc>
                <w:tcPr/>
                <w:p>
                  <w:pPr>
                    <w:pStyle w:val="Compact"/>
                    <w:jc w:val="left"/>
                    <w:jc w:val="center"/>
                  </w:pPr>
                  <w:r>
                    <w:t xml:space="preserve">Established (mechanism)</w:t>
                  </w:r>
                </w:p>
              </w:tc>
              <w:tc>
                <w:tcPr/>
                <w:p>
                  <w:pPr>
                    <w:pStyle w:val="Compact"/>
                    <w:jc w:val="left"/>
                    <w:jc w:val="center"/>
                  </w:pPr>
                  <w:r>
                    <w:t xml:space="preserve">(</w:t>
                  </w:r>
                  <w:hyperlink w:anchor="ref-calo2014">
                    <w:r>
                      <w:rPr>
                        <w:rStyle w:val="Hyperlink"/>
                      </w:rPr>
                      <w:t xml:space="preserve">Calo et al. 2014</w:t>
                    </w:r>
                  </w:hyperlink>
                  <w:r>
                    <w:t xml:space="preserve">)</w:t>
                  </w:r>
                </w:p>
              </w:tc>
            </w:tr>
            <w:tr>
              <w:tc>
                <w:tcPr/>
                <w:p>
                  <w:pPr>
                    <w:pStyle w:val="Compact"/>
                    <w:jc w:val="left"/>
                    <w:jc w:val="center"/>
                  </w:pPr>
                  <w:r>
                    <w:t xml:space="preserve">Directed/experimental evolution of thermotolerance</w:t>
                  </w:r>
                </w:p>
              </w:tc>
              <w:tc>
                <w:tcPr/>
                <w:p>
                  <w:pPr>
                    <w:pStyle w:val="Compact"/>
                    <w:jc w:val="left"/>
                    <w:jc w:val="center"/>
                  </w:pPr>
                  <w:r>
                    <w:t xml:space="preserve">Filamentous fungi</w:t>
                  </w:r>
                </w:p>
              </w:tc>
              <w:tc>
                <w:tcPr/>
                <w:p>
                  <w:pPr>
                    <w:pStyle w:val="Compact"/>
                    <w:jc w:val="left"/>
                    <w:jc w:val="center"/>
                  </w:pPr>
                  <w:r>
                    <w:t xml:space="preserve">Continuous culture</w:t>
                  </w:r>
                </w:p>
              </w:tc>
              <w:tc>
                <w:tcPr/>
                <w:p>
                  <w:pPr>
                    <w:pStyle w:val="Compact"/>
                    <w:jc w:val="left"/>
                    <w:jc w:val="center"/>
                  </w:pPr>
                  <w:r>
                    <w:t xml:space="preserve">Established (proof of principle)</w:t>
                  </w:r>
                </w:p>
              </w:tc>
              <w:tc>
                <w:tcPr/>
                <w:p>
                  <w:pPr>
                    <w:pStyle w:val="Compact"/>
                    <w:jc w:val="left"/>
                    <w:jc w:val="center"/>
                  </w:pPr>
                  <w:r>
                    <w:t xml:space="preserve">(</w:t>
                  </w:r>
                  <w:hyperlink w:anchor="ref-decrecy2009">
                    <w:r>
                      <w:rPr>
                        <w:rStyle w:val="Hyperlink"/>
                      </w:rPr>
                      <w:t xml:space="preserve">de Crécy et al.</w:t>
                    </w:r>
                    <w:r>
                      <w:rPr>
                        <w:rStyle w:val="Hyperlink"/>
                      </w:rPr>
                      <w:t xml:space="preserve"> </w:t>
                    </w:r>
                    <w:r>
                      <w:rPr>
                        <w:rStyle w:val="Hyperlink"/>
                      </w:rPr>
                      <w:t xml:space="preserve">2009</w:t>
                    </w:r>
                  </w:hyperlink>
                  <w:r>
                    <w:t xml:space="preserve">)</w:t>
                  </w:r>
                </w:p>
              </w:tc>
            </w:tr>
            <w:tr>
              <w:tc>
                <w:tcPr/>
                <w:p>
                  <w:pPr>
                    <w:pStyle w:val="Compact"/>
                    <w:jc w:val="left"/>
                    <w:jc w:val="center"/>
                  </w:pPr>
                  <w:r>
                    <w:t xml:space="preserve">Environmental thermal selection generating new human pathogens</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Hypothesis</w:t>
                  </w:r>
                </w:p>
              </w:tc>
              <w:tc>
                <w:tcPr/>
                <w:p>
                  <w:pPr>
                    <w:pStyle w:val="Compact"/>
                    <w:jc w:val="left"/>
                    <w:jc w:val="center"/>
                  </w:pPr>
                  <w:r>
                    <w:t xml:space="preserve">(</w:t>
                  </w:r>
                  <w:hyperlink w:anchor="ref-casadevall2019">
                    <w:r>
                      <w:rPr>
                        <w:rStyle w:val="Hyperlink"/>
                      </w:rPr>
                      <w:t xml:space="preserve">Casadevall et al. 2019</w:t>
                    </w:r>
                  </w:hyperlink>
                  <w:r>
                    <w:t xml:space="preserve">;</w:t>
                  </w:r>
                  <w:r>
                    <w:t xml:space="preserve"> </w:t>
                  </w:r>
                  <w:hyperlink w:anchor="ref-seidel2024">
                    <w:r>
                      <w:rPr>
                        <w:rStyle w:val="Hyperlink"/>
                      </w:rPr>
                      <w:t xml:space="preserve">Seidel et al. 2024</w:t>
                    </w:r>
                  </w:hyperlink>
                  <w:r>
                    <w:t xml:space="preserve">)</w:t>
                  </w:r>
                </w:p>
              </w:tc>
            </w:tr>
          </w:tbl>
          <w:bookmarkEnd w:id="24"/>
          <w:p/>
        </w:tc>
      </w:tr>
    </w:tbl>
    <w:bookmarkEnd w:id="25"/>
    <w:bookmarkEnd w:id="26"/>
    <w:bookmarkStart w:id="38" w:name="sec-3"/>
    <w:p>
      <w:pPr>
        <w:pStyle w:val="Heading1"/>
      </w:pPr>
      <w:r>
        <w:t xml:space="preserve">3. Phenotypic Adaptation: Plasticity Under Thermal and Physical Stress</w:t>
      </w:r>
    </w:p>
    <w:p>
      <w:pPr>
        <w:pStyle w:val="FirstParagraph"/>
      </w:pPr>
      <w:r>
        <w:t xml:space="preserve">Phenotypic adaptation to thermal or physical stress, means a change in the properties of a fungal cell or population that occurs without DNA sequence modification that reverses when the inducing stimulus is withdrawn.</w:t>
      </w:r>
      <w:r>
        <w:t xml:space="preserve"> </w:t>
      </w:r>
      <w:hyperlink w:anchor="fig-mechanisms">
        <w:r>
          <w:rPr>
            <w:rStyle w:val="Hyperlink"/>
          </w:rPr>
          <w:t xml:space="preserve">Fig. 3</w:t>
        </w:r>
      </w:hyperlink>
      <w:r>
        <w:t xml:space="preserve"> </w:t>
      </w:r>
      <w:r>
        <w:t xml:space="preserve">summarizes these plastic responses alongside the heritable routes considered in</w:t>
      </w:r>
      <w:r>
        <w:t xml:space="preserve"> </w:t>
      </w:r>
      <w:hyperlink w:anchor="sec-4">
        <w:r>
          <w:rPr>
            <w:rStyle w:val="Hyperlink"/>
          </w:rPr>
          <w:t xml:space="preserve">Sect.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mechanisms"/>
          <w:p>
            <w:pPr>
              <w:pStyle w:val="Compact"/>
              <w:jc w:val="center"/>
            </w:pPr>
            <w:r>
              <w:drawing>
                <wp:inline>
                  <wp:extent cx="5334000" cy="3330809"/>
                  <wp:effectExtent b="0" l="0" r="0" t="0"/>
                  <wp:docPr descr="" title="" id="28" name="Picture"/>
                  <a:graphic>
                    <a:graphicData uri="http://schemas.openxmlformats.org/drawingml/2006/picture">
                      <pic:pic>
                        <pic:nvPicPr>
                          <pic:cNvPr descr="figures/fig3-nejm.png" id="29" name="Picture"/>
                          <pic:cNvPicPr>
                            <a:picLocks noChangeArrowheads="1" noChangeAspect="1"/>
                          </pic:cNvPicPr>
                        </pic:nvPicPr>
                        <pic:blipFill>
                          <a:blip r:embed="rId27"/>
                          <a:stretch>
                            <a:fillRect/>
                          </a:stretch>
                        </pic:blipFill>
                        <pic:spPr bwMode="auto">
                          <a:xfrm>
                            <a:off x="0" y="0"/>
                            <a:ext cx="5334000" cy="333080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Phenotypic and genotypic routes to fungal adaptation under thermal and physical stress. Left: plastic, reversible responses—the Hsf1-driven heat-shock response (Hsp90, Hsp104, trehalose), calcineurin–Crz1 signalling (inhibited by cyclosporine A) and the HOG/SAPK module—that produce morphogenesis, oxidative-stress tolerance, immune evasion and transient hypervirulence. Right: heritable changes—transposable-element mobilization at 37 °C (</w:t>
            </w:r>
            <w:r>
              <w:rPr>
                <w:i/>
                <w:iCs/>
              </w:rPr>
              <w:t xml:space="preserve">Cryptococcus</w:t>
            </w:r>
            <w:r>
              <w:t xml:space="preserve">), temperature-induced point mutagenesis (</w:t>
            </w:r>
            <w:r>
              <w:rPr>
                <w:i/>
                <w:iCs/>
              </w:rPr>
              <w:t xml:space="preserve">Rhodosporidiobolus</w:t>
            </w:r>
            <w:r>
              <w:t xml:space="preserve">), aneuploidy and copy-number variation, and RNAi-dependent epimutation (</w:t>
            </w:r>
            <w:r>
              <w:rPr>
                <w:i/>
                <w:iCs/>
              </w:rPr>
              <w:t xml:space="preserve">Mucor</w:t>
            </w:r>
            <w:r>
              <w:t xml:space="preserve">)—that produce antifungal resistance, hypervirulence and adaptive genotypes. Hsp90 acts as a capacitor that buffers cryptic genetic variation and releases it under thermal stress. Evidence grade: E, established; e, emerging; H, hypothesis; †, established on a narrow taxonomic basis.</w:t>
            </w:r>
          </w:p>
          <w:bookmarkEnd w:id="30"/>
        </w:tc>
      </w:tr>
    </w:tbl>
    <w:bookmarkStart w:id="34" w:name="sec-3-1"/>
    <w:p>
      <w:pPr>
        <w:pStyle w:val="Heading2"/>
      </w:pPr>
      <w:r>
        <w:t xml:space="preserve">3.1 How fungi acquire heat tolerance</w:t>
      </w:r>
    </w:p>
    <w:bookmarkStart w:id="31" w:name="sec-3-1-1"/>
    <w:p>
      <w:pPr>
        <w:pStyle w:val="Heading3"/>
      </w:pPr>
      <w:r>
        <w:t xml:space="preserve">3.1.1 The heat-shock machinery</w:t>
      </w:r>
    </w:p>
    <w:p>
      <w:pPr>
        <w:pStyle w:val="FirstParagraph"/>
      </w:pPr>
      <w:r>
        <w:t xml:space="preserve">The canonical response to increasing temperature is transcriptional reprogramming through heat-shock transcription factors, most prominently Hsf1, with downstream induction of chaperones and accumulation of the compatible solute trehalose</w:t>
      </w:r>
      <w:r>
        <w:t xml:space="preserve"> </w:t>
      </w:r>
      <w:r>
        <w:t xml:space="preserve">(</w:t>
      </w:r>
      <w:hyperlink w:anchor="ref-morano2011">
        <w:r>
          <w:rPr>
            <w:rStyle w:val="Hyperlink"/>
          </w:rPr>
          <w:t xml:space="preserve">Morano et al. 2011</w:t>
        </w:r>
      </w:hyperlink>
      <w:r>
        <w:t xml:space="preserve">)</w:t>
      </w:r>
      <w:r>
        <w:t xml:space="preserve">. In</w:t>
      </w:r>
      <w:r>
        <w:t xml:space="preserve"> </w:t>
      </w:r>
      <w:r>
        <w:rPr>
          <w:i/>
          <w:iCs/>
        </w:rPr>
        <w:t xml:space="preserve">C. albicans</w:t>
      </w:r>
      <w:r>
        <w:t xml:space="preserve">, Hsf1 activation is required not merely for thermal survival but for full virulence, establishing that thermal-stress machinery and pathogenicity are mechanistically coupled</w:t>
      </w:r>
      <w:r>
        <w:t xml:space="preserve"> </w:t>
      </w:r>
      <w:r>
        <w:t xml:space="preserve">(</w:t>
      </w:r>
      <w:hyperlink w:anchor="ref-nicholls2010">
        <w:r>
          <w:rPr>
            <w:rStyle w:val="Hyperlink"/>
          </w:rPr>
          <w:t xml:space="preserve">Nicholls et al. 2010</w:t>
        </w:r>
      </w:hyperlink>
      <w:r>
        <w:t xml:space="preserve">)</w:t>
      </w:r>
      <w:r>
        <w:t xml:space="preserve">. The Hsp90 chaperone occupies a central node: it stabilizes the client proteins on which both stress signalling and drug-target function depend, and its pharmacological or genetic compromise sensitizes fungi to both heat and antifungals</w:t>
      </w:r>
      <w:r>
        <w:t xml:space="preserve"> </w:t>
      </w:r>
      <w:r>
        <w:t xml:space="preserve">(</w:t>
      </w:r>
      <w:hyperlink w:anchor="ref-cowen2009">
        <w:r>
          <w:rPr>
            <w:rStyle w:val="Hyperlink"/>
          </w:rPr>
          <w:t xml:space="preserve">Cowen et al. 2009</w:t>
        </w:r>
      </w:hyperlink>
      <w:r>
        <w:t xml:space="preserve">)</w:t>
      </w:r>
      <w:r>
        <w:t xml:space="preserve">. Hsp90 also constitutes the mechanistic bridge to</w:t>
      </w:r>
      <w:r>
        <w:t xml:space="preserve"> </w:t>
      </w:r>
      <w:hyperlink w:anchor="sec-4">
        <w:r>
          <w:rPr>
            <w:rStyle w:val="Hyperlink"/>
          </w:rPr>
          <w:t xml:space="preserve">Sect. 4</w:t>
        </w:r>
      </w:hyperlink>
      <w:r>
        <w:t xml:space="preserve">, for reasons discussed in 4.5.</w:t>
      </w:r>
    </w:p>
    <w:p>
      <w:pPr>
        <w:pStyle w:val="BodyText"/>
      </w:pPr>
      <w:r>
        <w:t xml:space="preserve">A related concept with direct climate relevance is priming. Sublethal stress exposure can leave a cell better able to survive a subsequent, more severe challenge. In fungi this phenomenon has been documented across thermal, oxidative and cell-wall stresses</w:t>
      </w:r>
      <w:r>
        <w:t xml:space="preserve"> </w:t>
      </w:r>
      <w:r>
        <w:t xml:space="preserve">(</w:t>
      </w:r>
      <w:hyperlink w:anchor="ref-harish2022">
        <w:r>
          <w:rPr>
            <w:rStyle w:val="Hyperlink"/>
          </w:rPr>
          <w:t xml:space="preserve">Harish and Osherov 2022</w:t>
        </w:r>
      </w:hyperlink>
      <w:r>
        <w:t xml:space="preserve">)</w:t>
      </w:r>
      <w:r>
        <w:t xml:space="preserve">. Because climate-associated stresses are rarely delivered alone, priming is likely to be the rule rather than the exception in natural settings, and it complicates any inference from single-stress laboratory experiments to field behavior. Remarkably, fungal pathogens can retain a form of</w:t>
      </w:r>
      <w:r>
        <w:t xml:space="preserve"> </w:t>
      </w:r>
      <w:r>
        <w:t xml:space="preserve">“adaptive memory”</w:t>
      </w:r>
      <w:r>
        <w:t xml:space="preserve">of prior host-associated stress that alters subsequent immune recognition</w:t>
      </w:r>
      <w:r>
        <w:t xml:space="preserve"> </w:t>
      </w:r>
      <w:r>
        <w:t xml:space="preserve">(</w:t>
      </w:r>
      <w:hyperlink w:anchor="ref-brown2018">
        <w:r>
          <w:rPr>
            <w:rStyle w:val="Hyperlink"/>
          </w:rPr>
          <w:t xml:space="preserve">Brown et al. 2018</w:t>
        </w:r>
      </w:hyperlink>
      <w:r>
        <w:t xml:space="preserve">)</w:t>
      </w:r>
      <w:r>
        <w:t xml:space="preserve">.</w:t>
      </w:r>
    </w:p>
    <w:bookmarkEnd w:id="31"/>
    <w:bookmarkStart w:id="32" w:name="sec-3-1-2"/>
    <w:p>
      <w:pPr>
        <w:pStyle w:val="Heading3"/>
      </w:pPr>
      <w:r>
        <w:t xml:space="preserve">3.1.2 Calcineurin signalling and morphogenesis at elevated temperature</w:t>
      </w:r>
    </w:p>
    <w:p>
      <w:pPr>
        <w:pStyle w:val="FirstParagraph"/>
      </w:pPr>
      <w:r>
        <w:t xml:space="preserve">The calcium–calmodulin-dependent protein phosphatase calcineurin is the best-characterized pathway linking thermal stress to fungal virulence. It is required for growth at host temperature, for morphogenesis and for cell-wall integrity across</w:t>
      </w:r>
      <w:r>
        <w:t xml:space="preserve"> </w:t>
      </w:r>
      <w:r>
        <w:rPr>
          <w:i/>
          <w:iCs/>
        </w:rPr>
        <w:t xml:space="preserve">Cryptococcus</w:t>
      </w:r>
      <w:r>
        <w:t xml:space="preserve">,</w:t>
      </w:r>
      <w:r>
        <w:t xml:space="preserve"> </w:t>
      </w:r>
      <w:r>
        <w:rPr>
          <w:i/>
          <w:iCs/>
        </w:rPr>
        <w:t xml:space="preserve">Aspergillus</w:t>
      </w:r>
      <w:r>
        <w:t xml:space="preserve">,</w:t>
      </w:r>
      <w:r>
        <w:t xml:space="preserve"> </w:t>
      </w:r>
      <w:r>
        <w:rPr>
          <w:i/>
          <w:iCs/>
        </w:rPr>
        <w:t xml:space="preserve">Candida</w:t>
      </w:r>
      <w:r>
        <w:t xml:space="preserve"> </w:t>
      </w:r>
      <w:r>
        <w:t xml:space="preserve">and the Mucorales. Inhibition of calcineurin by cyclosporine A or tacrolimus attenuates virulence of yeast and moulds in animal models</w:t>
      </w:r>
      <w:r>
        <w:t xml:space="preserve"> </w:t>
      </w:r>
      <w:r>
        <w:t xml:space="preserve">(</w:t>
      </w:r>
      <w:hyperlink w:anchor="ref-steinbach2007">
        <w:r>
          <w:rPr>
            <w:rStyle w:val="Hyperlink"/>
          </w:rPr>
          <w:t xml:space="preserve">Steinbach et al. 2007</w:t>
        </w:r>
      </w:hyperlink>
      <w:r>
        <w:t xml:space="preserve">;</w:t>
      </w:r>
      <w:r>
        <w:t xml:space="preserve"> </w:t>
      </w:r>
      <w:hyperlink w:anchor="ref-juvvadi2016">
        <w:r>
          <w:rPr>
            <w:rStyle w:val="Hyperlink"/>
          </w:rPr>
          <w:t xml:space="preserve">Juvvadi et al. 2016</w:t>
        </w:r>
      </w:hyperlink>
      <w:r>
        <w:t xml:space="preserve">)</w:t>
      </w:r>
      <w:r>
        <w:t xml:space="preserve">.</w:t>
      </w:r>
    </w:p>
    <w:p>
      <w:pPr>
        <w:pStyle w:val="BodyText"/>
      </w:pPr>
      <w:r>
        <w:t xml:space="preserve">The calcineurin pathway provides the most direct experimental evidence that warming can increase virulence rather in a range of pathogenic fungi than merely facilitating growth rates. I (</w:t>
      </w:r>
      <w:r>
        <w:rPr>
          <w:b/>
          <w:bCs/>
        </w:rPr>
        <w:t xml:space="preserve">Need reference</w:t>
      </w:r>
      <w:r>
        <w:t xml:space="preserve">). Two additional features of the role of calcineurin in enhancing virulence with increased temperatures are relevant. First, the effect is achieved by</w:t>
      </w:r>
      <w:r>
        <w:t xml:space="preserve"> </w:t>
      </w:r>
      <w:r>
        <w:rPr>
          <w:i/>
          <w:iCs/>
        </w:rPr>
        <w:t xml:space="preserve">pre-exposure</w:t>
      </w:r>
      <w:r>
        <w:t xml:space="preserve">, not by selection — the organisms were not evolved. Second, it is reversible, which places it firmly in the phenotypic category despite its magnitude. Recent commentary has framed the convergence of thermotolerant fungi and altered host immunity as an emerging concern deserving systematic study</w:t>
      </w:r>
      <w:r>
        <w:t xml:space="preserve"> </w:t>
      </w:r>
      <w:r>
        <w:t xml:space="preserve">(</w:t>
      </w:r>
      <w:hyperlink w:anchor="ref-lamoth2026">
        <w:r>
          <w:rPr>
            <w:rStyle w:val="Hyperlink"/>
          </w:rPr>
          <w:t xml:space="preserve">Lamoth and Kontoyiannis 2026</w:t>
        </w:r>
      </w:hyperlink>
      <w:r>
        <w:t xml:space="preserve">)</w:t>
      </w:r>
      <w:r>
        <w:t xml:space="preserve">, and has extended the argument to invertebrate-associated cutaneous invasive fungal infection under warming</w:t>
      </w:r>
      <w:r>
        <w:t xml:space="preserve"> </w:t>
      </w:r>
      <w:r>
        <w:t xml:space="preserve">(</w:t>
      </w:r>
      <w:hyperlink w:anchor="ref-kontoyiannis2025">
        <w:r>
          <w:rPr>
            <w:rStyle w:val="Hyperlink"/>
          </w:rPr>
          <w:t xml:space="preserve">Kontoyiannis and Casadevall 2025</w:t>
        </w:r>
      </w:hyperlink>
      <w:r>
        <w:t xml:space="preserve">)</w:t>
      </w:r>
      <w:r>
        <w:t xml:space="preserve">.</w:t>
      </w:r>
    </w:p>
    <w:bookmarkEnd w:id="32"/>
    <w:bookmarkStart w:id="33" w:name="sec-3-1-3"/>
    <w:p>
      <w:pPr>
        <w:pStyle w:val="Heading3"/>
      </w:pPr>
      <w:r>
        <w:t xml:space="preserve">3.1.3 Oxidative-stress cross-protection and immune evasion</w:t>
      </w:r>
    </w:p>
    <w:p>
      <w:pPr>
        <w:pStyle w:val="FirstParagraph"/>
      </w:pPr>
      <w:r>
        <w:t xml:space="preserve">N</w:t>
      </w:r>
      <w:r>
        <w:t xml:space="preserve"> </w:t>
      </w:r>
      <w:r>
        <w:rPr>
          <w:b/>
          <w:bCs/>
        </w:rPr>
        <w:t xml:space="preserve">(Need reference).</w:t>
      </w:r>
      <w:r>
        <w:t xml:space="preserve"> </w:t>
      </w:r>
      <w:r>
        <w:t xml:space="preserve">The stress-activated protein kinase and HOG modules that mediate osmotic and oxidative responses are shared across human-pathogenic fungi and are required for survival within phagocytes</w:t>
      </w:r>
      <w:r>
        <w:t xml:space="preserve"> </w:t>
      </w:r>
      <w:r>
        <w:t xml:space="preserve">(</w:t>
      </w:r>
      <w:hyperlink w:anchor="ref-day2019">
        <w:r>
          <w:rPr>
            <w:rStyle w:val="Hyperlink"/>
          </w:rPr>
          <w:t xml:space="preserve">Day and Quinn 2019</w:t>
        </w:r>
      </w:hyperlink>
      <w:r>
        <w:t xml:space="preserve">)</w:t>
      </w:r>
      <w:r>
        <w:t xml:space="preserve">. The convergence of environmental stress machinery playing a dual role in immune-evasion is, in our view, the single most plausible route by which an environmental change could translate into altered infection potential, and it should be an essential component for future mechanistic studies in this field of fungal adaption to warming temperatures.</w:t>
      </w:r>
    </w:p>
    <w:bookmarkEnd w:id="33"/>
    <w:bookmarkEnd w:id="34"/>
    <w:bookmarkStart w:id="35" w:name="sec-3-2"/>
    <w:p>
      <w:pPr>
        <w:pStyle w:val="Heading2"/>
      </w:pPr>
      <w:r>
        <w:t xml:space="preserve">3.2 Pigmentation, melanin and thermal buffering</w:t>
      </w:r>
    </w:p>
    <w:p>
      <w:pPr>
        <w:pStyle w:val="FirstParagraph"/>
      </w:pPr>
      <w:r>
        <w:t xml:space="preserve">Melanins are multifunctional fungal pigments that absorb radiation, quench free radicals, sequester metals and contribute to cell-wall rigidity. Their roles extend well beyond the virulence functions for which they are best known in</w:t>
      </w:r>
      <w:r>
        <w:t xml:space="preserve"> </w:t>
      </w:r>
      <w:r>
        <w:rPr>
          <w:i/>
          <w:iCs/>
        </w:rPr>
        <w:t xml:space="preserve">Cryptococcus</w:t>
      </w:r>
      <w:r>
        <w:t xml:space="preserve"> </w:t>
      </w:r>
      <w:r>
        <w:t xml:space="preserve">(</w:t>
      </w:r>
      <w:hyperlink w:anchor="ref-cordero2017">
        <w:r>
          <w:rPr>
            <w:rStyle w:val="Hyperlink"/>
          </w:rPr>
          <w:t xml:space="preserve">Cordero and Casadevall 2017</w:t>
        </w:r>
      </w:hyperlink>
      <w:r>
        <w:t xml:space="preserve">)</w:t>
      </w:r>
      <w:r>
        <w:t xml:space="preserve">. Melanized fungi can even derive metabolic benefit from ionizing radiation, a finding that expanded the conception of what fungal pigments do</w:t>
      </w:r>
      <w:r>
        <w:t xml:space="preserve"> </w:t>
      </w:r>
      <w:r>
        <w:t xml:space="preserve">(</w:t>
      </w:r>
      <w:hyperlink w:anchor="ref-dadachova2007">
        <w:r>
          <w:rPr>
            <w:rStyle w:val="Hyperlink"/>
          </w:rPr>
          <w:t xml:space="preserve">Dadachova et al. 2007</w:t>
        </w:r>
      </w:hyperlink>
      <w:r>
        <w:t xml:space="preserve">)</w:t>
      </w:r>
      <w:r>
        <w:t xml:space="preserve">. Because pigmentation modulates absorbed radiant energy, it also modulates cell temperature, which makes it a plausible target of selection under warming.</w:t>
      </w:r>
    </w:p>
    <w:p>
      <w:pPr>
        <w:pStyle w:val="BodyText"/>
      </w:pPr>
      <w:r>
        <w:t xml:space="preserve">The most direct field evidence comes from a paired sampling design in an urban heat island. Fungi isolated from warmer Baltimore neighbourhoods showed greater thermotolerance and lighter pigmentation than those from cooler neighbourhoods, and the opportunistic pathogen</w:t>
      </w:r>
      <w:r>
        <w:t xml:space="preserve"> </w:t>
      </w:r>
      <w:r>
        <w:rPr>
          <w:i/>
          <w:iCs/>
        </w:rPr>
        <w:t xml:space="preserve">Rhodotorula mucilaginosa</w:t>
      </w:r>
      <w:r>
        <w:t xml:space="preserve"> </w:t>
      </w:r>
      <w:r>
        <w:t xml:space="preserve">from warmer areas resisted gradual heat challenge better</w:t>
      </w:r>
      <w:r>
        <w:t xml:space="preserve"> </w:t>
      </w:r>
      <w:r>
        <w:t xml:space="preserve">(</w:t>
      </w:r>
      <w:hyperlink w:anchor="ref-smith2025">
        <w:r>
          <w:rPr>
            <w:rStyle w:val="Hyperlink"/>
          </w:rPr>
          <w:t xml:space="preserve">Smith et al. 2025</w:t>
        </w:r>
      </w:hyperlink>
      <w:r>
        <w:t xml:space="preserve">)</w:t>
      </w:r>
      <w:r>
        <w:t xml:space="preserve">. The lighter pigmentation is consistent with reduced radiant heat absorption being advantageous in a hotter microenvironment. However, it must be acknowledged that cool and warm neighbourhoods in a city differ in tree canopy, sun exposure, pedestrian and animal traffic, impervious surface and socioeconomic history, any of which could drive the observed differences. Treated as a natural experiment with acknowledged confounding, however, this is among the most useful datasets available, and the design deserves replication in other cities and climates.</w:t>
      </w:r>
    </w:p>
    <w:bookmarkEnd w:id="35"/>
    <w:bookmarkStart w:id="36" w:name="sec-3-3"/>
    <w:p>
      <w:pPr>
        <w:pStyle w:val="Heading2"/>
      </w:pPr>
      <w:r>
        <w:t xml:space="preserve">3.3 Mechanical and hydrodynamic stress</w:t>
      </w:r>
    </w:p>
    <w:p>
      <w:pPr>
        <w:pStyle w:val="FirstParagraph"/>
      </w:pPr>
      <w:r>
        <w:t xml:space="preserve">Disaster conditions deliver physical stresses that are absent from conventional laboratory culture. Subjecting Mucorales to a tornadic shear challenge that recapitulates the hydrodynamic forces of a tornado was found to induce a hypervirulent phenotype in a fruit-fly infection model, an effect dependent on calcineurin and Hsp90 signalling and abolished by cyclosporine A or an Hsp90 inhibitor</w:t>
      </w:r>
      <w:r>
        <w:t xml:space="preserve"> </w:t>
      </w:r>
      <w:r>
        <w:t xml:space="preserve">(</w:t>
      </w:r>
      <w:hyperlink w:anchor="ref-wurster2020">
        <w:r>
          <w:rPr>
            <w:rStyle w:val="Hyperlink"/>
          </w:rPr>
          <w:t xml:space="preserve">Wurster et al.</w:t>
        </w:r>
        <w:r>
          <w:rPr>
            <w:rStyle w:val="Hyperlink"/>
          </w:rPr>
          <w:t xml:space="preserve"> </w:t>
        </w:r>
        <w:r>
          <w:rPr>
            <w:rStyle w:val="Hyperlink"/>
          </w:rPr>
          <w:t xml:space="preserve">2020</w:t>
        </w:r>
      </w:hyperlink>
      <w:r>
        <w:t xml:space="preserve">)</w:t>
      </w:r>
      <w:r>
        <w:t xml:space="preserve">. The phenotype is</w:t>
      </w:r>
      <w:r>
        <w:t xml:space="preserve"> </w:t>
      </w:r>
      <w:r>
        <w:rPr>
          <w:i/>
          <w:iCs/>
        </w:rPr>
        <w:t xml:space="preserve">transient</w:t>
      </w:r>
      <w:r>
        <w:t xml:space="preserve">, reverting when the stress is removed, and is therefore plasticity rather than adaptation in the evolutionary sense. It is mediated by the same signalling nodes as thermal adaptation, which suggests a shared stress-integration architecture rather than stress-specific programs. And it provides a mechanistic hypothesis for an otherwise puzzling clinical observation: the clusters of aggressive, necrotizing cutaneous mucormycosis that follow tornadoes (</w:t>
      </w:r>
      <w:hyperlink w:anchor="sec-7-2">
        <w:r>
          <w:rPr>
            <w:rStyle w:val="Hyperlink"/>
          </w:rPr>
          <w:t xml:space="preserve">Sect. 7.2</w:t>
        </w:r>
      </w:hyperlink>
      <w:r>
        <w:t xml:space="preserve">).</w:t>
      </w:r>
    </w:p>
    <w:bookmarkEnd w:id="36"/>
    <w:bookmarkStart w:id="37" w:name="sec-3-4"/>
    <w:p>
      <w:pPr>
        <w:pStyle w:val="Heading2"/>
      </w:pPr>
      <w:r>
        <w:t xml:space="preserve">3.4 Stress cross-talk</w:t>
      </w:r>
    </w:p>
    <w:p>
      <w:pPr>
        <w:pStyle w:val="FirstParagraph"/>
      </w:pPr>
      <w:r>
        <w:t xml:space="preserve">Taken together, the sections above describe a system in which thermal, oxidative, osmotic and mechanical stresses feed into a small number of shared signalling pathways (Hsf1/Hsp90, calcineurin, the HOG/SAPK ) that modulate morphogenesis, cell-wall remodelling, antifungal tolerance and virulence. A practical consequence is that in a warming, destabilized environment, fungi will rarely experience one stress at a time; they will experience heat during drought, shear and desiccation during storms, oxidative and thermal stress during fire. If cross-protection is the norm, single-stress dose–response experiments may systematically</w:t>
      </w:r>
      <w:r>
        <w:t xml:space="preserve"> </w:t>
      </w:r>
      <w:r>
        <w:rPr>
          <w:i/>
          <w:iCs/>
        </w:rPr>
        <w:t xml:space="preserve">underestimate</w:t>
      </w:r>
      <w:r>
        <w:t xml:space="preserve"> </w:t>
      </w:r>
      <w:r>
        <w:t xml:space="preserve">the phenotypic change that field organisms undergo. Multi-stress experimental designs are therefore not a refinement but a requirement discussed in</w:t>
      </w:r>
      <w:r>
        <w:t xml:space="preserve"> </w:t>
      </w:r>
      <w:hyperlink w:anchor="sec-10-1">
        <w:r>
          <w:rPr>
            <w:rStyle w:val="Hyperlink"/>
          </w:rPr>
          <w:t xml:space="preserve">Sect. 10.1</w:t>
        </w:r>
      </w:hyperlink>
      <w:r>
        <w:t xml:space="preserve">.</w:t>
      </w:r>
    </w:p>
    <w:bookmarkEnd w:id="37"/>
    <w:bookmarkEnd w:id="38"/>
    <w:bookmarkStart w:id="46" w:name="sec-4"/>
    <w:p>
      <w:pPr>
        <w:pStyle w:val="Heading1"/>
      </w:pPr>
      <w:r>
        <w:t xml:space="preserve">4. Genotypic Adaptation: Mutagenesis, Genome Plasticity and Epigenetic Priming</w:t>
      </w:r>
    </w:p>
    <w:p>
      <w:pPr>
        <w:pStyle w:val="FirstParagraph"/>
      </w:pPr>
      <w:r>
        <w:t xml:space="preserve">If</w:t>
      </w:r>
      <w:r>
        <w:t xml:space="preserve"> </w:t>
      </w:r>
      <w:hyperlink w:anchor="sec-3">
        <w:r>
          <w:rPr>
            <w:rStyle w:val="Hyperlink"/>
          </w:rPr>
          <w:t xml:space="preserve">Sect. 3</w:t>
        </w:r>
      </w:hyperlink>
      <w:r>
        <w:t xml:space="preserve"> </w:t>
      </w:r>
      <w:r>
        <w:t xml:space="preserve">concerned what a fungus does when it is warmed, this section concerns what warming does to its genome. The distinction is important, as only heritable change can accumulate across generations, respond to selection, and produce lineages that remain altered after conditions normalize.</w:t>
      </w:r>
    </w:p>
    <w:bookmarkStart w:id="39" w:name="sec-4-1"/>
    <w:p>
      <w:pPr>
        <w:pStyle w:val="Heading2"/>
      </w:pPr>
      <w:r>
        <w:t xml:space="preserve">4.1 Temperature-stimulated transposon mobilization</w:t>
      </w:r>
    </w:p>
    <w:p>
      <w:pPr>
        <w:pStyle w:val="FirstParagraph"/>
      </w:pPr>
      <w:r>
        <w:t xml:space="preserve">Their is strong evidence that growth at host temperature can increase mutations in</w:t>
      </w:r>
      <w:r>
        <w:t xml:space="preserve"> </w:t>
      </w:r>
      <w:r>
        <w:rPr>
          <w:i/>
          <w:iCs/>
        </w:rPr>
        <w:t xml:space="preserve">Cryptococcus deneoformans.</w:t>
      </w:r>
      <w:r>
        <w:t xml:space="preserve"> </w:t>
      </w:r>
      <w:r>
        <w:t xml:space="preserve">Transposable-element insertions were more frequent at 37 °C than at 30 °C and caused drug resistance in vitro. Such insertions were also detected during mouse infection</w:t>
      </w:r>
      <w:r>
        <w:t xml:space="preserve"> </w:t>
      </w:r>
      <w:r>
        <w:t xml:space="preserve">(</w:t>
      </w:r>
      <w:hyperlink w:anchor="ref-gusa2020">
        <w:r>
          <w:rPr>
            <w:rStyle w:val="Hyperlink"/>
          </w:rPr>
          <w:t xml:space="preserve">Gusa et al. 2020</w:t>
        </w:r>
      </w:hyperlink>
      <w:r>
        <w:t xml:space="preserve">)</w:t>
      </w:r>
      <w:r>
        <w:t xml:space="preserve">. A later genome-wide study found that the increased mutation burden at 37 °C was driven mainly by two mobile elements, Tcn12 and Cnl1. Tcn12 inserted primarily within genes, whereas Cnl1 accumulated near chromosome ends. The study also detected movements of all three elements examined in isolates recovered from infected mice, confirming that mobilization occurs within a host</w:t>
      </w:r>
      <w:r>
        <w:t xml:space="preserve"> </w:t>
      </w:r>
      <w:r>
        <w:t xml:space="preserve">(</w:t>
      </w:r>
      <w:hyperlink w:anchor="ref-gusa2023">
        <w:r>
          <w:rPr>
            <w:rStyle w:val="Hyperlink"/>
          </w:rPr>
          <w:t xml:space="preserve">Gusa et al. 2023</w:t>
        </w:r>
      </w:hyperlink>
      <w:r>
        <w:t xml:space="preserve">)</w:t>
      </w:r>
      <w:r>
        <w:t xml:space="preserve">. Together, these two studies provide a mechanistically complete account of a climate-relevant mutagenic process. Elevated temperature, whether environmental or host-derived, increased the rate at which a fungal population generates drug-resistant variants.</w:t>
      </w:r>
    </w:p>
    <w:bookmarkEnd w:id="39"/>
    <w:bookmarkStart w:id="40" w:name="sec-4-2"/>
    <w:p>
      <w:pPr>
        <w:pStyle w:val="Heading2"/>
      </w:pPr>
      <w:r>
        <w:t xml:space="preserve">4.2 Host-temperature-induced mutagenesis and pan-antifungal resistance</w:t>
      </w:r>
    </w:p>
    <w:p>
      <w:pPr>
        <w:pStyle w:val="FirstParagraph"/>
      </w:pPr>
      <w:r>
        <w:t xml:space="preserve">An independent line of evidence comes from</w:t>
      </w:r>
      <w:r>
        <w:t xml:space="preserve"> </w:t>
      </w:r>
      <w:r>
        <w:rPr>
          <w:i/>
          <w:iCs/>
        </w:rPr>
        <w:t xml:space="preserve">Rhodosporidiobolus fluvialis</w:t>
      </w:r>
      <w:r>
        <w:t xml:space="preserve">, a yeast from a genus containing species intrinsically resistant to azoles and echinocandins, which was recovered from two human infections. Exposure to mammalian body temperature induced mutagenesis and yielded mutants with markedly enhanced hyphal growth and hypervirulence in mice, and temperature-driven mutagenesis also generated pan-resistant derivatives in related species</w:t>
      </w:r>
      <w:r>
        <w:t xml:space="preserve"> </w:t>
      </w:r>
      <w:r>
        <w:t xml:space="preserve">(</w:t>
      </w:r>
      <w:hyperlink w:anchor="ref-huang2024">
        <w:r>
          <w:rPr>
            <w:rStyle w:val="Hyperlink"/>
          </w:rPr>
          <w:t xml:space="preserve">Huang et al. 2024</w:t>
        </w:r>
      </w:hyperlink>
      <w:r>
        <w:t xml:space="preserve">)</w:t>
      </w:r>
      <w:r>
        <w:t xml:space="preserve">. However, the mechanisms underlying these mutations remain unclear, and it is not known whether similar responses occur in other basidiomycetous yeasts. Heat-exposure experiments combined with comparative genomic analyses across species would help establish how widespread this response is</w:t>
      </w:r>
    </w:p>
    <w:bookmarkEnd w:id="40"/>
    <w:bookmarkStart w:id="41" w:name="sec-4-3"/>
    <w:p>
      <w:pPr>
        <w:pStyle w:val="Heading2"/>
      </w:pPr>
      <w:r>
        <w:t xml:space="preserve">4.3 Aneuploidy, copy-number variation and loss of heterozygosity</w:t>
      </w:r>
    </w:p>
    <w:p>
      <w:pPr>
        <w:pStyle w:val="FirstParagraph"/>
      </w:pPr>
      <w:r>
        <w:t xml:space="preserve">Large-scale genome rearrangement is the classical fungal route to rapid stress adaptation. Fluconazole resistance in</w:t>
      </w:r>
      <w:r>
        <w:t xml:space="preserve"> </w:t>
      </w:r>
      <w:r>
        <w:rPr>
          <w:i/>
          <w:iCs/>
        </w:rPr>
        <w:t xml:space="preserve">C. albicans</w:t>
      </w:r>
      <w:r>
        <w:t xml:space="preserve"> </w:t>
      </w:r>
      <w:r>
        <w:t xml:space="preserve">arises repeatedly through formation of a specific isochromosome carrying resistance-associated genes</w:t>
      </w:r>
      <w:r>
        <w:t xml:space="preserve"> </w:t>
      </w:r>
      <w:r>
        <w:t xml:space="preserve">(</w:t>
      </w:r>
      <w:hyperlink w:anchor="ref-selmecki2006">
        <w:r>
          <w:rPr>
            <w:rStyle w:val="Hyperlink"/>
          </w:rPr>
          <w:t xml:space="preserve">Selmecki et al. 2006</w:t>
        </w:r>
      </w:hyperlink>
      <w:r>
        <w:t xml:space="preserve">)</w:t>
      </w:r>
      <w:r>
        <w:t xml:space="preserve">, and whole-ploidy shifts, aneuploidy and loss of heterozygosity constitute a general toolkit for generating phenotypic diversity quickly and, when conditions change, discarding it again</w:t>
      </w:r>
      <w:r>
        <w:t xml:space="preserve"> </w:t>
      </w:r>
      <w:r>
        <w:t xml:space="preserve">(</w:t>
      </w:r>
      <w:hyperlink w:anchor="ref-bennett2014">
        <w:r>
          <w:rPr>
            <w:rStyle w:val="Hyperlink"/>
          </w:rPr>
          <w:t xml:space="preserve">Bennett et al. 2014</w:t>
        </w:r>
      </w:hyperlink>
      <w:r>
        <w:t xml:space="preserve">)</w:t>
      </w:r>
      <w:r>
        <w:t xml:space="preserve">. In the Pacific Northwest</w:t>
      </w:r>
      <w:r>
        <w:t xml:space="preserve"> </w:t>
      </w:r>
      <w:r>
        <w:rPr>
          <w:i/>
          <w:iCs/>
        </w:rPr>
        <w:t xml:space="preserve">Cryptococcus gattii</w:t>
      </w:r>
      <w:r>
        <w:t xml:space="preserve"> </w:t>
      </w:r>
      <w:r>
        <w:t xml:space="preserve">outbreak lineage, copy-number variation contributes cryptic genetic variation among otherwise near-clonal isolates</w:t>
      </w:r>
      <w:r>
        <w:t xml:space="preserve"> </w:t>
      </w:r>
      <w:r>
        <w:t xml:space="preserve">(</w:t>
      </w:r>
      <w:hyperlink w:anchor="ref-steenwyk2016">
        <w:r>
          <w:rPr>
            <w:rStyle w:val="Hyperlink"/>
          </w:rPr>
          <w:t xml:space="preserve">Steenwyk et al. 2016</w:t>
        </w:r>
      </w:hyperlink>
      <w:r>
        <w:t xml:space="preserve">)</w:t>
      </w:r>
      <w:r>
        <w:t xml:space="preserve">.</w:t>
      </w:r>
    </w:p>
    <w:p>
      <w:pPr>
        <w:pStyle w:val="BodyText"/>
      </w:pPr>
      <w:r>
        <w:t xml:space="preserve">These mechanisms are temperature-relevant in two ways. Chromosome missegregation is itself stress-sensitive, and the aneuploid states that stress generates are frequently cross-protective, conferring tolerance to challenges the population has not yet encountered</w:t>
      </w:r>
      <w:r>
        <w:t xml:space="preserve"> </w:t>
      </w:r>
      <w:r>
        <w:t xml:space="preserve">(</w:t>
      </w:r>
      <w:hyperlink w:anchor="ref-Chen2012a">
        <w:r>
          <w:rPr>
            <w:rStyle w:val="Hyperlink"/>
          </w:rPr>
          <w:t xml:space="preserve">Chen et al. 2012</w:t>
        </w:r>
      </w:hyperlink>
      <w:r>
        <w:t xml:space="preserve">)</w:t>
      </w:r>
      <w:r>
        <w:t xml:space="preserve">. Aneuploidy thus sits at the boundary between the plastic and the heritable: it is inherited, but it is unstable</w:t>
      </w:r>
      <w:r>
        <w:t xml:space="preserve"> </w:t>
      </w:r>
      <w:r>
        <w:t xml:space="preserve">(</w:t>
      </w:r>
      <w:hyperlink w:anchor="ref-Tsai2019a">
        <w:r>
          <w:rPr>
            <w:rStyle w:val="Hyperlink"/>
          </w:rPr>
          <w:t xml:space="preserve">Tsai and Nelliat 2019</w:t>
        </w:r>
      </w:hyperlink>
      <w:r>
        <w:t xml:space="preserve">)</w:t>
      </w:r>
      <w:r>
        <w:t xml:space="preserve">.</w:t>
      </w:r>
    </w:p>
    <w:bookmarkEnd w:id="41"/>
    <w:bookmarkStart w:id="42" w:name="sec-4-4"/>
    <w:p>
      <w:pPr>
        <w:pStyle w:val="Heading2"/>
      </w:pPr>
      <w:r>
        <w:t xml:space="preserve">4.4 Epimutation: Heritable without sequence change</w:t>
      </w:r>
    </w:p>
    <w:p>
      <w:pPr>
        <w:pStyle w:val="FirstParagraph"/>
      </w:pPr>
      <w:r>
        <w:rPr>
          <w:i/>
          <w:iCs/>
        </w:rPr>
        <w:t xml:space="preserve">Mucor circinelloides</w:t>
      </w:r>
      <w:r>
        <w:t xml:space="preserve"> </w:t>
      </w:r>
      <w:r>
        <w:t xml:space="preserve">can become resistant to FK506 through RNA interference (RNAi), which silences the gene encoding the drug’s target without changing its DNA sequence. This silenced state, or epimutation, passes to daughter cells during cell division but can reverse when the drug is removed</w:t>
      </w:r>
      <w:r>
        <w:t xml:space="preserve"> </w:t>
      </w:r>
      <w:r>
        <w:t xml:space="preserve">(</w:t>
      </w:r>
      <w:hyperlink w:anchor="ref-calo2014">
        <w:r>
          <w:rPr>
            <w:rStyle w:val="Hyperlink"/>
          </w:rPr>
          <w:t xml:space="preserve">Calo et al. 2014</w:t>
        </w:r>
      </w:hyperlink>
      <w:r>
        <w:t xml:space="preserve">)</w:t>
      </w:r>
      <w:r>
        <w:t xml:space="preserve">. It is a remarkable demonstration of how fungi can inherit a change in drug resistance without a DNA mutation, which would be missed by DNA sequencing. Whether heat stress can trigger a similar response remains, to our knowledge, untested, but should be a key questions for future research (</w:t>
      </w:r>
      <w:hyperlink w:anchor="sec-10-4">
        <w:r>
          <w:rPr>
            <w:rStyle w:val="Hyperlink"/>
          </w:rPr>
          <w:t xml:space="preserve">Sect. 10.4</w:t>
        </w:r>
      </w:hyperlink>
      <w:r>
        <w:t xml:space="preserve">).</w:t>
      </w:r>
    </w:p>
    <w:bookmarkEnd w:id="42"/>
    <w:bookmarkStart w:id="43" w:name="sec-4-5"/>
    <w:p>
      <w:pPr>
        <w:pStyle w:val="Heading2"/>
      </w:pPr>
      <w:r>
        <w:t xml:space="preserve">4.5 Hsp90 as an evolutionary capacitor</w:t>
      </w:r>
    </w:p>
    <w:p>
      <w:pPr>
        <w:pStyle w:val="FirstParagraph"/>
      </w:pPr>
      <w:r>
        <w:t xml:space="preserve">The mechanistic bridge between heat tolerance and genotypic adaptation is chaperone buffering. Hsp90 stabilizes mutant proteins that would otherwise misfold, allowing standing genetic variation to accumulate in a phenotypically cryptic state; when Hsp90 capacity is exceeded, as would be expected under thermal stress, the genetic variations are uncovered and become available for selection</w:t>
      </w:r>
      <w:r>
        <w:t xml:space="preserve"> </w:t>
      </w:r>
      <w:r>
        <w:t xml:space="preserve">(</w:t>
      </w:r>
      <w:hyperlink w:anchor="ref-Rutherford2007">
        <w:r>
          <w:rPr>
            <w:rStyle w:val="Hyperlink"/>
          </w:rPr>
          <w:t xml:space="preserve">Rutherford et al. 2007</w:t>
        </w:r>
      </w:hyperlink>
      <w:r>
        <w:t xml:space="preserve">)</w:t>
      </w:r>
      <w:r>
        <w:t xml:space="preserve">. In fungi this was shown directly for drug resistance: Hsp90 potentiates the emergence of resistance phenotypes from pre-existing variation in</w:t>
      </w:r>
      <w:r>
        <w:t xml:space="preserve"> </w:t>
      </w:r>
      <w:r>
        <w:rPr>
          <w:i/>
          <w:iCs/>
        </w:rPr>
        <w:t xml:space="preserve">C. albicans</w:t>
      </w:r>
      <w:r>
        <w:t xml:space="preserve"> </w:t>
      </w:r>
      <w:r>
        <w:t xml:space="preserve">and</w:t>
      </w:r>
      <w:r>
        <w:t xml:space="preserve"> </w:t>
      </w:r>
      <w:r>
        <w:rPr>
          <w:i/>
          <w:iCs/>
        </w:rPr>
        <w:t xml:space="preserve">S. cerevisiae</w:t>
      </w:r>
      <w:r>
        <w:t xml:space="preserve"> </w:t>
      </w:r>
      <w:r>
        <w:t xml:space="preserve">(</w:t>
      </w:r>
      <w:hyperlink w:anchor="ref-cowen2005">
        <w:r>
          <w:rPr>
            <w:rStyle w:val="Hyperlink"/>
          </w:rPr>
          <w:t xml:space="preserve">Cowen and Lindquist 2005</w:t>
        </w:r>
      </w:hyperlink>
      <w:r>
        <w:t xml:space="preserve">)</w:t>
      </w:r>
      <w:r>
        <w:t xml:space="preserve">. The climatic implications are obvious. A warming environment does not only generate new mutations, it also unmasks variation already present in populations. We consider this mechanism as</w:t>
      </w:r>
      <w:r>
        <w:t xml:space="preserve"> </w:t>
      </w:r>
      <w:r>
        <w:rPr>
          <w:i/>
          <w:iCs/>
        </w:rPr>
        <w:t xml:space="preserve">established</w:t>
      </w:r>
      <w:r>
        <w:t xml:space="preserve"> </w:t>
      </w:r>
      <w:r>
        <w:t xml:space="preserve">and its climate relevance as</w:t>
      </w:r>
      <w:r>
        <w:t xml:space="preserve"> </w:t>
      </w:r>
      <w:r>
        <w:rPr>
          <w:i/>
          <w:iCs/>
        </w:rPr>
        <w:t xml:space="preserve">emerging</w:t>
      </w:r>
      <w:r>
        <w:t xml:space="preserve">, because the unmasking argument has not yet been demonstrated in environmental fungal populations under field-realistic thermal regimes.</w:t>
      </w:r>
    </w:p>
    <w:bookmarkEnd w:id="43"/>
    <w:bookmarkStart w:id="45" w:name="sec-4-6"/>
    <w:p>
      <w:pPr>
        <w:pStyle w:val="Heading2"/>
      </w:pPr>
      <w:r>
        <w:t xml:space="preserve">4.6 Distinguishing selection from plasticity</w:t>
      </w:r>
    </w:p>
    <w:p>
      <w:pPr>
        <w:pStyle w:val="FirstParagraph"/>
      </w:pPr>
      <w:r>
        <w:t xml:space="preserve">The literature reviewed above supports the concept that thermal stress increases the generation of heritable variation in several fungal genera. However, this is not the same as a climate warming producing human pathogens by selection. The distinction rests on study design, and the requirements for the specific mechanistic of claim (</w:t>
      </w:r>
      <w:hyperlink w:anchor="tbl-claims">
        <w:r>
          <w:rPr>
            <w:rStyle w:val="Hyperlink"/>
          </w:rPr>
          <w:t xml:space="preserve">Table 2</w:t>
        </w:r>
      </w:hyperlink>
      <w:r>
        <w:t xml:space="preserve">).</w:t>
      </w:r>
    </w:p>
    <w:p>
      <w:pPr>
        <w:pStyle w:val="BodyText"/>
      </w:pPr>
      <w:r>
        <w:rPr>
          <w:i/>
          <w:iCs/>
        </w:rPr>
        <w:t xml:space="preserve">Candida auris</w:t>
      </w:r>
      <w:r>
        <w:t xml:space="preserve"> </w:t>
      </w:r>
      <w:r>
        <w:t xml:space="preserve">offers the field’s most heavily studied climate association, and the framework clarifies what that association can and cannot establish. An analysis of 801 clinical</w:t>
      </w:r>
      <w:r>
        <w:t xml:space="preserve"> </w:t>
      </w:r>
      <w:r>
        <w:rPr>
          <w:i/>
          <w:iCs/>
        </w:rPr>
        <w:t xml:space="preserve">C. auris</w:t>
      </w:r>
      <w:r>
        <w:t xml:space="preserve"> </w:t>
      </w:r>
      <w:r>
        <w:t xml:space="preserve">genomes from the New York–New Jersey region used Bayesian hierarchical models to relate resistance determinants and heat-tolerance genes to climatic variables. HSP90 and HSP104 were present in more than 98% of isolates, and the authors reported associations between precipitation and temperature variables and the prevalence of several resistance-associated genes and point mutations</w:t>
      </w:r>
      <w:r>
        <w:t xml:space="preserve"> </w:t>
      </w:r>
      <w:r>
        <w:t xml:space="preserve">(</w:t>
      </w:r>
      <w:hyperlink w:anchor="ref-jara2025">
        <w:r>
          <w:rPr>
            <w:rStyle w:val="Hyperlink"/>
          </w:rPr>
          <w:t xml:space="preserve">Jara et al. 2025</w:t>
        </w:r>
      </w:hyperlink>
      <w:r>
        <w:t xml:space="preserve">)</w:t>
      </w:r>
      <w:r>
        <w:t xml:space="preserve">. The result was nevertheless, only hypothesis-generating. It is also an ecological correlation across clinical isolates whose sampling was determined by healthcare utilization, in a region of intense antifungal exposure, over a period of expanding surveillance. That design cannot separate climatic selection from the many covariates of place and time. Testing the hypothesis properly will require sampling the environment rather than the clinic, longitudinally and along a climatic gradient, with common-garden phenotyping to show that recovered isolates differ heritably in thermal tolerance and not merely in provenance.</w:t>
      </w:r>
    </w:p>
    <w:tbl>
      <w:tblPr>
        <w:tblStyle w:val="Table"/>
        <w:tblW w:type="pct" w:w="5000"/>
        <w:tblLayout w:type="fixed"/>
        <w:tblLook w:firstRow="0" w:lastRow="0" w:firstColumn="0" w:lastColumn="0" w:noHBand="0" w:noVBand="0" w:val="0000"/>
      </w:tblPr>
      <w:tblGrid>
        <w:gridCol w:w="7920"/>
      </w:tblGrid>
      <w:tr>
        <w:tc>
          <w:tcPr/>
          <w:bookmarkStart w:id="44" w:name="tbl-claims"/>
          <w:p>
            <w:pPr>
              <w:jc w:val="center"/>
            </w:pPr>
            <w:pPr>
              <w:jc w:val="left"/>
              <w:spacing w:before="200"/>
              <w:pStyle w:val="ImageCaption"/>
            </w:pPr>
            <w:r>
              <w:t xml:space="preserve">Table 2: How different adaptation claims require different types of evidence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rPr>
                      <w:b/>
                      <w:bCs/>
                    </w:rPr>
                    <w:t xml:space="preserve">Claim</w:t>
                  </w:r>
                </w:p>
              </w:tc>
              <w:tc>
                <w:tcPr/>
                <w:p>
                  <w:pPr>
                    <w:pStyle w:val="Compact"/>
                    <w:jc w:val="left"/>
                    <w:jc w:val="center"/>
                  </w:pPr>
                  <w:r>
                    <w:rPr>
                      <w:b/>
                      <w:bCs/>
                    </w:rPr>
                    <w:t xml:space="preserve">Minimum evidence required</w:t>
                  </w:r>
                </w:p>
              </w:tc>
              <w:tc>
                <w:tcPr/>
                <w:p>
                  <w:pPr>
                    <w:pStyle w:val="Compact"/>
                    <w:jc w:val="left"/>
                    <w:jc w:val="center"/>
                  </w:pPr>
                  <w:r>
                    <w:rPr>
                      <w:b/>
                      <w:bCs/>
                    </w:rPr>
                    <w:t xml:space="preserve">Common substitute in the literature</w:t>
                  </w:r>
                </w:p>
              </w:tc>
              <w:tc>
                <w:tcPr/>
                <w:p>
                  <w:pPr>
                    <w:pStyle w:val="Compact"/>
                    <w:jc w:val="left"/>
                    <w:jc w:val="center"/>
                  </w:pPr>
                  <w:r>
                    <w:rPr>
                      <w:b/>
                      <w:bCs/>
                    </w:rPr>
                    <w:t xml:space="preserve">Status in fungi</w:t>
                  </w:r>
                </w:p>
              </w:tc>
            </w:tr>
            <w:tr>
              <w:tc>
                <w:tcPr/>
                <w:p>
                  <w:pPr>
                    <w:pStyle w:val="Compact"/>
                    <w:jc w:val="left"/>
                    <w:jc w:val="center"/>
                  </w:pPr>
                  <w:r>
                    <w:t xml:space="preserve">Stress induces a phenotype</w:t>
                  </w:r>
                </w:p>
              </w:tc>
              <w:tc>
                <w:tcPr/>
                <w:p>
                  <w:pPr>
                    <w:pStyle w:val="Compact"/>
                    <w:jc w:val="left"/>
                    <w:jc w:val="center"/>
                  </w:pPr>
                  <w:r>
                    <w:t xml:space="preserve">Controlled exposure, reversibility test</w:t>
                  </w:r>
                </w:p>
              </w:tc>
              <w:tc>
                <w:tcPr/>
                <w:p>
                  <w:pPr>
                    <w:pStyle w:val="Compact"/>
                    <w:jc w:val="left"/>
                    <w:jc w:val="center"/>
                  </w:pPr>
                  <w:r>
                    <w:t xml:space="preserve">—</w:t>
                  </w:r>
                </w:p>
              </w:tc>
              <w:tc>
                <w:tcPr/>
                <w:p>
                  <w:pPr>
                    <w:pStyle w:val="Compact"/>
                    <w:jc w:val="left"/>
                    <w:jc w:val="center"/>
                  </w:pPr>
                  <w:r>
                    <w:t xml:space="preserve">Established (</w:t>
                  </w:r>
                  <w:hyperlink w:anchor="sec-3">
                    <w:r>
                      <w:rPr>
                        <w:rStyle w:val="Hyperlink"/>
                      </w:rPr>
                      <w:t xml:space="preserve">Sect. 3</w:t>
                    </w:r>
                  </w:hyperlink>
                  <w:r>
                    <w:t xml:space="preserve">)</w:t>
                  </w:r>
                </w:p>
              </w:tc>
            </w:tr>
            <w:tr>
              <w:tc>
                <w:tcPr/>
                <w:p>
                  <w:pPr>
                    <w:pStyle w:val="Compact"/>
                    <w:jc w:val="left"/>
                    <w:jc w:val="center"/>
                  </w:pPr>
                  <w:r>
                    <w:t xml:space="preserve">Stress is mutagenic</w:t>
                  </w:r>
                </w:p>
              </w:tc>
              <w:tc>
                <w:tcPr/>
                <w:p>
                  <w:pPr>
                    <w:pStyle w:val="Compact"/>
                    <w:jc w:val="left"/>
                    <w:jc w:val="center"/>
                  </w:pPr>
                  <w:r>
                    <w:t xml:space="preserve">Mutation-accumulation lines, sequencing of founders and derivatives</w:t>
                  </w:r>
                </w:p>
              </w:tc>
              <w:tc>
                <w:tcPr/>
                <w:p>
                  <w:pPr>
                    <w:pStyle w:val="Compact"/>
                    <w:jc w:val="left"/>
                    <w:jc w:val="center"/>
                  </w:pPr>
                  <w:r>
                    <w:t xml:space="preserve">Resistant isolates recovered after stress</w:t>
                  </w:r>
                </w:p>
              </w:tc>
              <w:tc>
                <w:tcPr/>
                <w:p>
                  <w:pPr>
                    <w:pStyle w:val="Compact"/>
                    <w:jc w:val="left"/>
                    <w:jc w:val="center"/>
                  </w:pPr>
                  <w:r>
                    <w:t xml:space="preserve">Established for temperature</w:t>
                  </w:r>
                  <w:r>
                    <w:t xml:space="preserve"> </w:t>
                  </w:r>
                  <w:r>
                    <w:t xml:space="preserve">(</w:t>
                  </w:r>
                  <w:hyperlink w:anchor="ref-gusa2023">
                    <w:r>
                      <w:rPr>
                        <w:rStyle w:val="Hyperlink"/>
                      </w:rPr>
                      <w:t xml:space="preserve">Gusa et al. 2023</w:t>
                    </w:r>
                  </w:hyperlink>
                  <w:r>
                    <w:t xml:space="preserve">;</w:t>
                  </w:r>
                  <w:r>
                    <w:t xml:space="preserve"> </w:t>
                  </w:r>
                  <w:hyperlink w:anchor="ref-huang2024">
                    <w:r>
                      <w:rPr>
                        <w:rStyle w:val="Hyperlink"/>
                      </w:rPr>
                      <w:t xml:space="preserve">Huang et al. 2024</w:t>
                    </w:r>
                  </w:hyperlink>
                  <w:r>
                    <w:t xml:space="preserve">)</w:t>
                  </w:r>
                </w:p>
              </w:tc>
            </w:tr>
            <w:tr>
              <w:tc>
                <w:tcPr/>
                <w:p>
                  <w:pPr>
                    <w:pStyle w:val="Compact"/>
                    <w:jc w:val="left"/>
                    <w:jc w:val="center"/>
                  </w:pPr>
                  <w:r>
                    <w:t xml:space="preserve">A population has adapted genetically</w:t>
                  </w:r>
                </w:p>
              </w:tc>
              <w:tc>
                <w:tcPr/>
                <w:p>
                  <w:pPr>
                    <w:pStyle w:val="Compact"/>
                    <w:jc w:val="left"/>
                    <w:jc w:val="center"/>
                  </w:pPr>
                  <w:r>
                    <w:t xml:space="preserve">Common-garden assay of ancestral vs. derived isolates; heritability demonstrated</w:t>
                  </w:r>
                </w:p>
              </w:tc>
              <w:tc>
                <w:tcPr/>
                <w:p>
                  <w:pPr>
                    <w:pStyle w:val="Compact"/>
                    <w:jc w:val="left"/>
                    <w:jc w:val="center"/>
                  </w:pPr>
                  <w:r>
                    <w:t xml:space="preserve">Phenotype differences between field sites</w:t>
                  </w:r>
                </w:p>
              </w:tc>
              <w:tc>
                <w:tcPr/>
                <w:p>
                  <w:pPr>
                    <w:pStyle w:val="Compact"/>
                    <w:jc w:val="left"/>
                    <w:jc w:val="center"/>
                  </w:pPr>
                  <w:r>
                    <w:t xml:space="preserve">Emerging</w:t>
                  </w:r>
                  <w:r>
                    <w:t xml:space="preserve"> </w:t>
                  </w:r>
                  <w:r>
                    <w:t xml:space="preserve">(</w:t>
                  </w:r>
                  <w:hyperlink w:anchor="ref-smith2025">
                    <w:r>
                      <w:rPr>
                        <w:rStyle w:val="Hyperlink"/>
                      </w:rPr>
                      <w:t xml:space="preserve">Smith et al. 2025</w:t>
                    </w:r>
                  </w:hyperlink>
                  <w:r>
                    <w:t xml:space="preserve">)</w:t>
                  </w:r>
                </w:p>
              </w:tc>
            </w:tr>
            <w:tr>
              <w:tc>
                <w:tcPr/>
                <w:p>
                  <w:pPr>
                    <w:pStyle w:val="Compact"/>
                    <w:jc w:val="left"/>
                    <w:jc w:val="center"/>
                  </w:pPr>
                  <w:r>
                    <w:t xml:space="preserve">Climate caused an emergence</w:t>
                  </w:r>
                </w:p>
              </w:tc>
              <w:tc>
                <w:tcPr/>
                <w:p>
                  <w:pPr>
                    <w:pStyle w:val="Compact"/>
                    <w:jc w:val="left"/>
                    <w:jc w:val="center"/>
                  </w:pPr>
                  <w:r>
                    <w:t xml:space="preserve">Environmental sampling along a climatic gradient, time-structured genomes, competing drivers modelled</w:t>
                  </w:r>
                </w:p>
              </w:tc>
              <w:tc>
                <w:tcPr/>
                <w:p>
                  <w:pPr>
                    <w:pStyle w:val="Compact"/>
                    <w:jc w:val="left"/>
                    <w:jc w:val="center"/>
                  </w:pPr>
                  <w:r>
                    <w:t xml:space="preserve">Correlation of clinical incidence with weather</w:t>
                  </w:r>
                </w:p>
              </w:tc>
              <w:tc>
                <w:tcPr/>
                <w:p>
                  <w:pPr>
                    <w:pStyle w:val="Compact"/>
                    <w:jc w:val="left"/>
                    <w:jc w:val="center"/>
                  </w:pPr>
                  <w:r>
                    <w:t xml:space="preserve">Not yet achieved for any human fungal pathogen</w:t>
                  </w:r>
                </w:p>
              </w:tc>
            </w:tr>
            <w:tr>
              <w:tc>
                <w:tcPr/>
                <w:p>
                  <w:pPr>
                    <w:pStyle w:val="Compact"/>
                    <w:jc w:val="left"/>
                    <w:jc w:val="center"/>
                  </w:pPr>
                  <w:r>
                    <w:t xml:space="preserve">Warming will produce new pathogens</w:t>
                  </w:r>
                </w:p>
              </w:tc>
              <w:tc>
                <w:tcPr/>
                <w:p>
                  <w:pPr>
                    <w:pStyle w:val="Compact"/>
                    <w:jc w:val="left"/>
                    <w:jc w:val="center"/>
                  </w:pPr>
                  <w:r>
                    <w:t xml:space="preserve">Prospective environmental surveillance with phenotyping</w:t>
                  </w:r>
                </w:p>
              </w:tc>
              <w:tc>
                <w:tcPr/>
                <w:p>
                  <w:pPr>
                    <w:pStyle w:val="Compact"/>
                    <w:jc w:val="left"/>
                    <w:jc w:val="center"/>
                  </w:pPr>
                  <w:r>
                    <w:t xml:space="preserve">Extrapolation from thermal-tolerance distributions</w:t>
                  </w:r>
                </w:p>
              </w:tc>
              <w:tc>
                <w:tcPr/>
                <w:p>
                  <w:pPr>
                    <w:pStyle w:val="Compact"/>
                    <w:jc w:val="left"/>
                    <w:jc w:val="center"/>
                  </w:pPr>
                  <w:r>
                    <w:t xml:space="preserve">Hypothesis (</w:t>
                  </w:r>
                  <w:hyperlink w:anchor="sec-2-4">
                    <w:r>
                      <w:rPr>
                        <w:rStyle w:val="Hyperlink"/>
                      </w:rPr>
                      <w:t xml:space="preserve">Sect. 2.4</w:t>
                    </w:r>
                  </w:hyperlink>
                  <w:r>
                    <w:t xml:space="preserve">)</w:t>
                  </w:r>
                </w:p>
              </w:tc>
            </w:tr>
          </w:tbl>
          <w:bookmarkEnd w:id="44"/>
          <w:p/>
        </w:tc>
      </w:tr>
    </w:tbl>
    <w:bookmarkEnd w:id="45"/>
    <w:bookmarkEnd w:id="46"/>
    <w:bookmarkStart w:id="58" w:name="sec-5"/>
    <w:p>
      <w:pPr>
        <w:pStyle w:val="Heading1"/>
      </w:pPr>
      <w:r>
        <w:t xml:space="preserve">5. Case Studies in Climate-Associated Emergence</w:t>
      </w:r>
    </w:p>
    <w:p>
      <w:pPr>
        <w:pStyle w:val="FirstParagraph"/>
      </w:pPr>
      <w:r>
        <w:t xml:space="preserve">Six emergence events follow (</w:t>
      </w:r>
      <w:hyperlink w:anchor="fig-timeline">
        <w:r>
          <w:rPr>
            <w:rStyle w:val="Hyperlink"/>
          </w:rPr>
          <w:t xml:space="preserve">Fig. 4</w:t>
        </w:r>
      </w:hyperlink>
      <w:r>
        <w:t xml:space="preserve">). Each is judged on its own evidence, and each subsection closes with a graded verdict on how much of the emergence climate can account for (</w:t>
      </w:r>
      <w:hyperlink w:anchor="tbl-claim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timeline"/>
          <w:p>
            <w:pPr>
              <w:pStyle w:val="Compact"/>
              <w:jc w:val="center"/>
            </w:pPr>
            <w:r>
              <w:drawing>
                <wp:inline>
                  <wp:extent cx="5334000" cy="5241234"/>
                  <wp:effectExtent b="0" l="0" r="0" t="0"/>
                  <wp:docPr descr="" title="" id="48" name="Picture"/>
                  <a:graphic>
                    <a:graphicData uri="http://schemas.openxmlformats.org/drawingml/2006/picture">
                      <pic:pic>
                        <pic:nvPicPr>
                          <pic:cNvPr descr="figures/fig4-nejm.png" id="49" name="Picture"/>
                          <pic:cNvPicPr>
                            <a:picLocks noChangeArrowheads="1" noChangeAspect="1"/>
                          </pic:cNvPicPr>
                        </pic:nvPicPr>
                        <pic:blipFill>
                          <a:blip r:embed="rId47"/>
                          <a:stretch>
                            <a:fillRect/>
                          </a:stretch>
                        </pic:blipFill>
                        <pic:spPr bwMode="auto">
                          <a:xfrm>
                            <a:off x="0" y="0"/>
                            <a:ext cx="5334000" cy="5241234"/>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Timeline of climate-associated fungal emergence and reports in the medical literature. (</w:t>
            </w:r>
            <w:r>
              <w:rPr>
                <w:b/>
                <w:bCs/>
              </w:rPr>
              <w:t xml:space="preserve">A</w:t>
            </w:r>
            <w:r>
              <w:t xml:space="preserve">) Sentinel events, 1964–2025, classified by driver (acute disturbance, chronic warming, drug or other anthropogenic pressure, laboratory mechanism, or unresolved) and by evidence strength (established, emerging or uncertain, hypothesis or projection). (</w:t>
            </w:r>
            <w:r>
              <w:rPr>
                <w:b/>
                <w:bCs/>
              </w:rPr>
              <w:t xml:space="preserve">B</w:t>
            </w:r>
            <w:r>
              <w:t xml:space="preserve">) Annual number of publications on fungi and climate change published in Pubmed, 2000–2025, showing an approximately 26-fold increase (468 to 12,230 works; 2025 is the last complete year in the query).</w:t>
            </w:r>
          </w:p>
          <w:bookmarkEnd w:id="50"/>
        </w:tc>
      </w:tr>
    </w:tbl>
    <w:bookmarkStart w:id="52" w:name="sec-5-1"/>
    <w:p>
      <w:pPr>
        <w:pStyle w:val="Heading2"/>
      </w:pPr>
      <w:r>
        <w:t xml:space="preserve">5.1</w:t>
      </w:r>
      <w:r>
        <w:t xml:space="preserve"> </w:t>
      </w:r>
      <w:r>
        <w:rPr>
          <w:i/>
          <w:iCs/>
        </w:rPr>
        <w:t xml:space="preserve">Candida auris</w:t>
      </w:r>
    </w:p>
    <w:bookmarkStart w:id="51" w:name="sec-5-1-1"/>
    <w:p>
      <w:pPr>
        <w:pStyle w:val="Heading3"/>
      </w:pPr>
      <w:r>
        <w:t xml:space="preserve">5.1.1 A thermotolerant, halotolerant yeast without an obvious reservoir</w:t>
      </w:r>
    </w:p>
    <w:p>
      <w:pPr>
        <w:pStyle w:val="FirstParagraph"/>
      </w:pPr>
      <w:r>
        <w:rPr>
          <w:i/>
          <w:iCs/>
        </w:rPr>
        <w:t xml:space="preserve">C. auris</w:t>
      </w:r>
      <w:r>
        <w:t xml:space="preserve"> </w:t>
      </w:r>
      <w:r>
        <w:t xml:space="preserve">was first described in 2009 and within a decade had been reported from every inhabited continent as a multidrug-resistant, nosocomially transmitted pathogen with a marked capacity to persist on skin and surfaces</w:t>
      </w:r>
      <w:r>
        <w:t xml:space="preserve"> </w:t>
      </w:r>
      <w:r>
        <w:t xml:space="preserve">(</w:t>
      </w:r>
      <w:hyperlink w:anchor="ref-chowdhary2017">
        <w:r>
          <w:rPr>
            <w:rStyle w:val="Hyperlink"/>
          </w:rPr>
          <w:t xml:space="preserve">Chowdhary et al. 2017</w:t>
        </w:r>
      </w:hyperlink>
      <w:r>
        <w:t xml:space="preserve">;</w:t>
      </w:r>
      <w:r>
        <w:t xml:space="preserve"> </w:t>
      </w:r>
      <w:hyperlink w:anchor="ref-forsberg2018">
        <w:r>
          <w:rPr>
            <w:rStyle w:val="Hyperlink"/>
          </w:rPr>
          <w:t xml:space="preserve">Forsberg et al. 2018</w:t>
        </w:r>
      </w:hyperlink>
      <w:r>
        <w:t xml:space="preserve">)</w:t>
      </w:r>
      <w:r>
        <w:t xml:space="preserve">. Its early epidemiology was genuinely anomalous: four (later five) geographically distinct clades emerged near-simultaneously on three continents, with high intra-clade and low inter-clade genetic similarity — a pattern inconsistent with a single point source spread by travel</w:t>
      </w:r>
      <w:r>
        <w:t xml:space="preserve"> </w:t>
      </w:r>
      <w:r>
        <w:t xml:space="preserve">(</w:t>
      </w:r>
      <w:hyperlink w:anchor="ref-lockhart2017">
        <w:r>
          <w:rPr>
            <w:rStyle w:val="Hyperlink"/>
          </w:rPr>
          <w:t xml:space="preserve">Lockhart et al. 2017</w:t>
        </w:r>
      </w:hyperlink>
      <w:r>
        <w:t xml:space="preserve">;</w:t>
      </w:r>
      <w:r>
        <w:t xml:space="preserve"> </w:t>
      </w:r>
      <w:hyperlink w:anchor="ref-chow2020">
        <w:r>
          <w:rPr>
            <w:rStyle w:val="Hyperlink"/>
          </w:rPr>
          <w:t xml:space="preserve">Chow et al. 2020</w:t>
        </w:r>
      </w:hyperlink>
      <w:r>
        <w:t xml:space="preserve">)</w:t>
      </w:r>
      <w:r>
        <w:t xml:space="preserve">. European hospital outbreaks followed quickly</w:t>
      </w:r>
      <w:r>
        <w:t xml:space="preserve"> </w:t>
      </w:r>
      <w:r>
        <w:t xml:space="preserve">(</w:t>
      </w:r>
      <w:hyperlink w:anchor="ref-schelenz2016">
        <w:r>
          <w:rPr>
            <w:rStyle w:val="Hyperlink"/>
          </w:rPr>
          <w:t xml:space="preserve">Schelenz et al. 2016</w:t>
        </w:r>
      </w:hyperlink>
      <w:r>
        <w:t xml:space="preserve">)</w:t>
      </w:r>
      <w:r>
        <w:t xml:space="preserve">.</w:t>
      </w:r>
    </w:p>
    <w:p>
      <w:pPr>
        <w:pStyle w:val="BodyText"/>
      </w:pPr>
      <w:r>
        <w:t xml:space="preserve">The climate hypothesis proposed that</w:t>
      </w:r>
      <w:r>
        <w:t xml:space="preserve"> </w:t>
      </w:r>
      <w:r>
        <w:rPr>
          <w:i/>
          <w:iCs/>
        </w:rPr>
        <w:t xml:space="preserve">C. auris</w:t>
      </w:r>
      <w:r>
        <w:t xml:space="preserve"> </w:t>
      </w:r>
      <w:r>
        <w:t xml:space="preserve">was an environmental yeast of wetland or coastal habitats whose thermotolerance and halotolerance were pre-existing adaptations, and that warming allowed it to cross the thermal barrier into birds and then humans, with avian and possibly chelonian carriage explaining the intercontinental distribution</w:t>
      </w:r>
      <w:r>
        <w:t xml:space="preserve"> </w:t>
      </w:r>
      <w:r>
        <w:t xml:space="preserve">(</w:t>
      </w:r>
      <w:hyperlink w:anchor="ref-casadevall2019">
        <w:r>
          <w:rPr>
            <w:rStyle w:val="Hyperlink"/>
          </w:rPr>
          <w:t xml:space="preserve">Casadevall et al. 2019</w:t>
        </w:r>
      </w:hyperlink>
      <w:r>
        <w:t xml:space="preserve">)</w:t>
      </w:r>
      <w:r>
        <w:t xml:space="preserve">. The hypothesis was notable for stating a falsifiable necessary condition: the organism should exist in the environment independent of human activity.</w:t>
      </w:r>
    </w:p>
    <w:p>
      <w:pPr>
        <w:pStyle w:val="BodyText"/>
      </w:pPr>
      <w:r>
        <w:t xml:space="preserve">A necessary condition for climate-associated emergence was met when</w:t>
      </w:r>
      <w:r>
        <w:t xml:space="preserve"> </w:t>
      </w:r>
      <w:r>
        <w:rPr>
          <w:i/>
          <w:iCs/>
        </w:rPr>
        <w:t xml:space="preserve">C. auris</w:t>
      </w:r>
      <w:r>
        <w:t xml:space="preserve"> </w:t>
      </w:r>
      <w:r>
        <w:t xml:space="preserve">was isolated from salt marsh wetland and sandy beach habitats of the Andaman Islands, including a site with no recorded human activity, and the isolates included both multidrug-susceptible and multidrug-resistant strains clustering with clade I</w:t>
      </w:r>
      <w:r>
        <w:t xml:space="preserve"> </w:t>
      </w:r>
      <w:r>
        <w:t xml:space="preserve">(</w:t>
      </w:r>
      <w:hyperlink w:anchor="ref-arora2021">
        <w:r>
          <w:rPr>
            <w:rStyle w:val="Hyperlink"/>
          </w:rPr>
          <w:t xml:space="preserve">Arora et al. 2021</w:t>
        </w:r>
      </w:hyperlink>
      <w:r>
        <w:t xml:space="preserve">)</w:t>
      </w:r>
      <w:r>
        <w:t xml:space="preserve">. The environmental reservoir is therefore real, and the isolate from the pristine site is difficult to explain by anthropogenic contamination.</w:t>
      </w:r>
    </w:p>
    <w:p>
      <w:pPr>
        <w:pStyle w:val="BodyText"/>
      </w:pPr>
      <w:r>
        <w:t xml:space="preserve">What has not been shown is that warming</w:t>
      </w:r>
      <w:r>
        <w:t xml:space="preserve"> </w:t>
      </w:r>
      <w:r>
        <w:rPr>
          <w:i/>
          <w:iCs/>
        </w:rPr>
        <w:t xml:space="preserve">caused</w:t>
      </w:r>
      <w:r>
        <w:t xml:space="preserve"> </w:t>
      </w:r>
      <w:r>
        <w:t xml:space="preserve">the transition. The alternative and non-mutually-exclusive account — that</w:t>
      </w:r>
      <w:r>
        <w:t xml:space="preserve"> </w:t>
      </w:r>
      <w:r>
        <w:rPr>
          <w:i/>
          <w:iCs/>
        </w:rPr>
        <w:t xml:space="preserve">C. auris</w:t>
      </w:r>
      <w:r>
        <w:t xml:space="preserve"> </w:t>
      </w:r>
      <w:r>
        <w:t xml:space="preserve">was an uncommon environmental yeast that entered an unprecedented global ecological niche, the modern intensive care unit, with its dense population of immunocompromised patients, indwelling devices, azole and echinocandin exposure, and skin-to-skin and surface-mediated transmission — accounts for the epidemiology without invoking climate. The near-simultaneity of clade emergence is equally consistent with simultaneous global expansion of the</w:t>
      </w:r>
      <w:r>
        <w:t xml:space="preserve"> </w:t>
      </w:r>
      <w:r>
        <w:rPr>
          <w:i/>
          <w:iCs/>
        </w:rPr>
        <w:t xml:space="preserve">niche</w:t>
      </w:r>
      <w:r>
        <w:t xml:space="preserve"> </w:t>
      </w:r>
      <w:r>
        <w:t xml:space="preserve">as with simultaneous crossing of a</w:t>
      </w:r>
      <w:r>
        <w:t xml:space="preserve"> </w:t>
      </w:r>
      <w:r>
        <w:rPr>
          <w:i/>
          <w:iCs/>
        </w:rPr>
        <w:t xml:space="preserve">thermal barrier</w:t>
      </w:r>
      <w:r>
        <w:t xml:space="preserve">. Climate-resistome correlations in clinical isolates do not resolve the question for the reasons set out in</w:t>
      </w:r>
      <w:r>
        <w:t xml:space="preserve"> </w:t>
      </w:r>
      <w:hyperlink w:anchor="sec-4-6">
        <w:r>
          <w:rPr>
            <w:rStyle w:val="Hyperlink"/>
          </w:rPr>
          <w:t xml:space="preserve">Sect. 4.6</w:t>
        </w:r>
      </w:hyperlink>
      <w:r>
        <w:t xml:space="preserve">.</w:t>
      </w:r>
    </w:p>
    <w:p>
      <w:pPr>
        <w:pStyle w:val="BodyText"/>
      </w:pPr>
      <w:r>
        <w:t xml:space="preserve">Hence, the environmental reservoir is now established and thermotolerance established. However, climate causation remains a hypothesis with one necessary condition satisfied. The decisive experiment of systematic environmental sampling of coastal wetlands along a latitudinal thermal gradient, with common-garden thermotolerance phenotyping, has not been done but is feasible.</w:t>
      </w:r>
    </w:p>
    <w:bookmarkEnd w:id="51"/>
    <w:bookmarkEnd w:id="52"/>
    <w:bookmarkStart w:id="53" w:name="sec-5-2"/>
    <w:p>
      <w:pPr>
        <w:pStyle w:val="Heading2"/>
      </w:pPr>
      <w:r>
        <w:t xml:space="preserve">5.2</w:t>
      </w:r>
      <w:r>
        <w:t xml:space="preserve"> </w:t>
      </w:r>
      <w:r>
        <w:rPr>
          <w:i/>
          <w:iCs/>
        </w:rPr>
        <w:t xml:space="preserve">Cryptococcus gattii</w:t>
      </w:r>
      <w:r>
        <w:t xml:space="preserve"> </w:t>
      </w:r>
      <w:r>
        <w:t xml:space="preserve">in the Pacific Northwest</w:t>
      </w:r>
    </w:p>
    <w:p>
      <w:pPr>
        <w:pStyle w:val="FirstParagraph"/>
      </w:pPr>
      <w:r>
        <w:t xml:space="preserve">Beginning in 1999,</w:t>
      </w:r>
      <w:r>
        <w:t xml:space="preserve"> </w:t>
      </w:r>
      <w:r>
        <w:rPr>
          <w:i/>
          <w:iCs/>
        </w:rPr>
        <w:t xml:space="preserve">C. gattii</w:t>
      </w:r>
      <w:r>
        <w:t xml:space="preserve"> </w:t>
      </w:r>
      <w:r>
        <w:t xml:space="preserve">caused an unprecedented outbreak on Vancouver Island, eventually involving several hundred human and animal cases, with pneumonia and meningitis occurring in apparently immunocompetent hosts and the organism recoverable from native trees, soil, air and water</w:t>
      </w:r>
      <w:r>
        <w:t xml:space="preserve"> </w:t>
      </w:r>
      <w:r>
        <w:t xml:space="preserve">(</w:t>
      </w:r>
      <w:hyperlink w:anchor="ref-kidd2004">
        <w:r>
          <w:rPr>
            <w:rStyle w:val="Hyperlink"/>
          </w:rPr>
          <w:t xml:space="preserve">Kidd et al. 2004</w:t>
        </w:r>
      </w:hyperlink>
      <w:r>
        <w:t xml:space="preserve">;</w:t>
      </w:r>
      <w:r>
        <w:t xml:space="preserve"> </w:t>
      </w:r>
      <w:hyperlink w:anchor="ref-galanis2010">
        <w:r>
          <w:rPr>
            <w:rStyle w:val="Hyperlink"/>
          </w:rPr>
          <w:t xml:space="preserve">Galanis et al. 2010</w:t>
        </w:r>
      </w:hyperlink>
      <w:r>
        <w:t xml:space="preserve">)</w:t>
      </w:r>
      <w:r>
        <w:t xml:space="preserve">. Molecular epidemiology identified a rare genotype (VGIIa) and subsequent population genomics showed that the outbreak lineages arose from a highly recombinant ancestral population, with clonal expansion following</w:t>
      </w:r>
      <w:r>
        <w:t xml:space="preserve"> </w:t>
      </w:r>
      <w:r>
        <w:t xml:space="preserve">(</w:t>
      </w:r>
      <w:hyperlink w:anchor="ref-billmyre2014">
        <w:r>
          <w:rPr>
            <w:rStyle w:val="Hyperlink"/>
          </w:rPr>
          <w:t xml:space="preserve">Billmyre et al. 2014</w:t>
        </w:r>
      </w:hyperlink>
      <w:r>
        <w:t xml:space="preserve">)</w:t>
      </w:r>
      <w:r>
        <w:t xml:space="preserve">. Copy-number variation contributes additional cryptic variation within these near-clonal lineages</w:t>
      </w:r>
      <w:r>
        <w:t xml:space="preserve"> </w:t>
      </w:r>
      <w:r>
        <w:t xml:space="preserve">(</w:t>
      </w:r>
      <w:hyperlink w:anchor="ref-steenwyk2016">
        <w:r>
          <w:rPr>
            <w:rStyle w:val="Hyperlink"/>
          </w:rPr>
          <w:t xml:space="preserve">Steenwyk et al. 2016</w:t>
        </w:r>
      </w:hyperlink>
      <w:r>
        <w:t xml:space="preserve">)</w:t>
      </w:r>
      <w:r>
        <w:t xml:space="preserve">. The broader geography of the</w:t>
      </w:r>
      <w:r>
        <w:t xml:space="preserve"> </w:t>
      </w:r>
      <w:r>
        <w:rPr>
          <w:i/>
          <w:iCs/>
        </w:rPr>
        <w:t xml:space="preserve">C. neoformans</w:t>
      </w:r>
      <w:r>
        <w:t xml:space="preserve">/</w:t>
      </w:r>
      <w:r>
        <w:rPr>
          <w:i/>
          <w:iCs/>
        </w:rPr>
        <w:t xml:space="preserve">C. gattii</w:t>
      </w:r>
      <w:r>
        <w:t xml:space="preserve"> </w:t>
      </w:r>
      <w:r>
        <w:t xml:space="preserve">species complex has been interpreted in terms of continental drift and long-distance dispersal, on timescales far longer than anthropogenic warming</w:t>
      </w:r>
      <w:r>
        <w:t xml:space="preserve"> </w:t>
      </w:r>
      <w:r>
        <w:t xml:space="preserve">(</w:t>
      </w:r>
      <w:hyperlink w:anchor="ref-kwonchung2014">
        <w:r>
          <w:rPr>
            <w:rStyle w:val="Hyperlink"/>
          </w:rPr>
          <w:t xml:space="preserve">Kwon-Chung et al. 2014</w:t>
        </w:r>
      </w:hyperlink>
      <w:r>
        <w:t xml:space="preserve">;</w:t>
      </w:r>
      <w:r>
        <w:t xml:space="preserve"> </w:t>
      </w:r>
      <w:hyperlink w:anchor="ref-casadevall2017">
        <w:r>
          <w:rPr>
            <w:rStyle w:val="Hyperlink"/>
          </w:rPr>
          <w:t xml:space="preserve">Casadevall et al. 2017</w:t>
        </w:r>
      </w:hyperlink>
      <w:r>
        <w:t xml:space="preserve">)</w:t>
      </w:r>
      <w:r>
        <w:t xml:space="preserve">.</w:t>
      </w:r>
    </w:p>
    <w:p>
      <w:pPr>
        <w:pStyle w:val="BodyText"/>
      </w:pPr>
      <w:r>
        <w:t xml:space="preserve">The hypothesis that the 1964 Great Alaska earthquake and tsunami dispersed the organism into the Pacific Northwest is attractive because it links an acute disturbance to a delayed emergence — the disaster axis operating with a multi-decade lag. However, the genomic dating and recombination structure constrain but do not establish it, and competing explanations (importation with timber or ornamental plants, unrecognized prior endemicity, climatic suitability shifts) have not been excluded.</w:t>
      </w:r>
    </w:p>
    <w:p>
      <w:pPr>
        <w:pStyle w:val="BodyText"/>
      </w:pPr>
      <w:r>
        <w:t xml:space="preserve">In summary, the outbreak and environmental establishment are established facts; climatic or disaster-mediated causation is still just a hypothesis. The</w:t>
      </w:r>
      <w:r>
        <w:t xml:space="preserve"> </w:t>
      </w:r>
      <w:r>
        <w:rPr>
          <w:i/>
          <w:iCs/>
        </w:rPr>
        <w:t xml:space="preserve">Cryptococcus gattii</w:t>
      </w:r>
      <w:r>
        <w:t xml:space="preserve"> </w:t>
      </w:r>
      <w:r>
        <w:t xml:space="preserve">outbreak is illustrative of how a disturbance-dispersal hypothesis could be framed and tested.</w:t>
      </w:r>
    </w:p>
    <w:bookmarkEnd w:id="53"/>
    <w:bookmarkStart w:id="54" w:name="sec-5-3"/>
    <w:p>
      <w:pPr>
        <w:pStyle w:val="Heading2"/>
      </w:pPr>
      <w:r>
        <w:t xml:space="preserve">5.3</w:t>
      </w:r>
      <w:r>
        <w:t xml:space="preserve"> </w:t>
      </w:r>
      <w:r>
        <w:rPr>
          <w:i/>
          <w:iCs/>
        </w:rPr>
        <w:t xml:space="preserve">Trichophyton indotineae</w:t>
      </w:r>
    </w:p>
    <w:p>
      <w:pPr>
        <w:pStyle w:val="FirstParagraph"/>
      </w:pPr>
      <w:r>
        <w:t xml:space="preserve">Formerly reported as</w:t>
      </w:r>
      <w:r>
        <w:t xml:space="preserve"> </w:t>
      </w:r>
      <w:r>
        <w:rPr>
          <w:i/>
          <w:iCs/>
        </w:rPr>
        <w:t xml:space="preserve">T. mentagrophytes</w:t>
      </w:r>
      <w:r>
        <w:t xml:space="preserve"> </w:t>
      </w:r>
      <w:r>
        <w:t xml:space="preserve">ITS genotype VIII and requiring sequence-based identification,</w:t>
      </w:r>
      <w:r>
        <w:t xml:space="preserve"> </w:t>
      </w:r>
      <w:r>
        <w:rPr>
          <w:i/>
          <w:iCs/>
        </w:rPr>
        <w:t xml:space="preserve">T. indotineae</w:t>
      </w:r>
      <w:r>
        <w:t xml:space="preserve"> </w:t>
      </w:r>
      <w:r>
        <w:t xml:space="preserve">causes extensive, inflammatory, recalcitrant dermatophytosis, is frequently terbinafine-resistant through squalene epoxidase mutations, spreads person-to-person, and has disseminated from South Asia worldwide</w:t>
      </w:r>
      <w:r>
        <w:t xml:space="preserve"> </w:t>
      </w:r>
      <w:r>
        <w:t xml:space="preserve">(</w:t>
      </w:r>
      <w:hyperlink w:anchor="ref-uhrla2022">
        <w:r>
          <w:rPr>
            <w:rStyle w:val="Hyperlink"/>
          </w:rPr>
          <w:t xml:space="preserve">Uhrlaß et al. 2022</w:t>
        </w:r>
      </w:hyperlink>
      <w:r>
        <w:t xml:space="preserve">)</w:t>
      </w:r>
      <w:r>
        <w:t xml:space="preserve">. Rising terbinafine resistance has been documented in dermatophyte isolates in Denmark and France, confirming that resistance is not confined to the region of origin</w:t>
      </w:r>
      <w:r>
        <w:t xml:space="preserve"> </w:t>
      </w:r>
      <w:r>
        <w:t xml:space="preserve">(</w:t>
      </w:r>
      <w:hyperlink w:anchor="ref-astvad2022">
        <w:r>
          <w:rPr>
            <w:rStyle w:val="Hyperlink"/>
          </w:rPr>
          <w:t xml:space="preserve">Astvad et al. 2022</w:t>
        </w:r>
      </w:hyperlink>
      <w:r>
        <w:t xml:space="preserve">;</w:t>
      </w:r>
      <w:r>
        <w:t xml:space="preserve"> </w:t>
      </w:r>
      <w:hyperlink w:anchor="ref-morenosabater2022">
        <w:r>
          <w:rPr>
            <w:rStyle w:val="Hyperlink"/>
          </w:rPr>
          <w:t xml:space="preserve">Moreno-Sabater et al. 2022</w:t>
        </w:r>
      </w:hyperlink>
      <w:r>
        <w:t xml:space="preserve">)</w:t>
      </w:r>
      <w:r>
        <w:t xml:space="preserve">.</w:t>
      </w:r>
    </w:p>
    <w:p>
      <w:pPr>
        <w:pStyle w:val="BodyText"/>
      </w:pPr>
      <w:r>
        <w:t xml:space="preserve">The drivers for the spread of this resistant species well characterized and largely</w:t>
      </w:r>
      <w:r>
        <w:t xml:space="preserve"> </w:t>
      </w:r>
      <w:r>
        <w:rPr>
          <w:i/>
          <w:iCs/>
        </w:rPr>
        <w:t xml:space="preserve">not</w:t>
      </w:r>
      <w:r>
        <w:t xml:space="preserve"> </w:t>
      </w:r>
      <w:r>
        <w:t xml:space="preserve">climatic: unregulated over-the-counter combination creams containing potent topical corticosteroids, incomplete treatment courses, and crowded living conditions. Heat and humidity are established risk factors for dermatophytosis in general, and disaster settings combine skin trauma, congregate living, psychological stress and high temperature and humidity in ways that plausibly increase cutaneous fungal infection</w:t>
      </w:r>
      <w:r>
        <w:t xml:space="preserve"> </w:t>
      </w:r>
      <w:r>
        <w:t xml:space="preserve">(</w:t>
      </w:r>
      <w:hyperlink w:anchor="ref-gupta2025">
        <w:r>
          <w:rPr>
            <w:rStyle w:val="Hyperlink"/>
          </w:rPr>
          <w:t xml:space="preserve">Gupta et al. 2025</w:t>
        </w:r>
      </w:hyperlink>
      <w:r>
        <w:t xml:space="preserve">)</w:t>
      </w:r>
      <w:r>
        <w:t xml:space="preserve">. Poverty remains the dominant determinant of the global burden of superficial mycoses.</w:t>
      </w:r>
    </w:p>
    <w:p>
      <w:pPr>
        <w:pStyle w:val="BodyText"/>
      </w:pPr>
      <w:r>
        <w:t xml:space="preserve">While the emergence is established and the principal drivers antifungal selection pressure and healthcare practices have been identified, the climate remains unquantified.</w:t>
      </w:r>
    </w:p>
    <w:bookmarkEnd w:id="54"/>
    <w:bookmarkStart w:id="55" w:name="sec-5-4"/>
    <w:p>
      <w:pPr>
        <w:pStyle w:val="Heading2"/>
      </w:pPr>
      <w:r>
        <w:t xml:space="preserve">5.4</w:t>
      </w:r>
      <w:r>
        <w:t xml:space="preserve"> </w:t>
      </w:r>
      <w:r>
        <w:rPr>
          <w:i/>
          <w:iCs/>
        </w:rPr>
        <w:t xml:space="preserve">Coccidioides</w:t>
      </w:r>
      <w:r>
        <w:t xml:space="preserve"> </w:t>
      </w:r>
      <w:r>
        <w:t xml:space="preserve">spp.</w:t>
      </w:r>
    </w:p>
    <w:p>
      <w:pPr>
        <w:pStyle w:val="FirstParagraph"/>
      </w:pPr>
      <w:r>
        <w:t xml:space="preserve">Coccidioidomycosis provides the strongest epidemiological climate signal of any human mycosis. Incidence tracks precipitation and temperature cycling, with the characteristic pattern of wet winters followed by hot dry summers favouring soil arthroconidium production and aerosolization</w:t>
      </w:r>
      <w:r>
        <w:t xml:space="preserve"> </w:t>
      </w:r>
      <w:r>
        <w:t xml:space="preserve">(</w:t>
      </w:r>
      <w:hyperlink w:anchor="ref-head2022">
        <w:r>
          <w:rPr>
            <w:rStyle w:val="Hyperlink"/>
          </w:rPr>
          <w:t xml:space="preserve">Head et al. 2022</w:t>
        </w:r>
      </w:hyperlink>
      <w:r>
        <w:t xml:space="preserve">)</w:t>
      </w:r>
      <w:r>
        <w:t xml:space="preserve">. Dust-storm frequency in the southwestern United States has increased and correlates with Valley fever incidence</w:t>
      </w:r>
      <w:r>
        <w:t xml:space="preserve"> </w:t>
      </w:r>
      <w:r>
        <w:t xml:space="preserve">(</w:t>
      </w:r>
      <w:hyperlink w:anchor="ref-tong2017">
        <w:r>
          <w:rPr>
            <w:rStyle w:val="Hyperlink"/>
          </w:rPr>
          <w:t xml:space="preserve">Tong et al. 2017</w:t>
        </w:r>
      </w:hyperlink>
      <w:r>
        <w:t xml:space="preserve">)</w:t>
      </w:r>
      <w:r>
        <w:t xml:space="preserve">. Climate-envelope modelling projects substantial northward expansion of the endemic area under warming scenarios</w:t>
      </w:r>
      <w:r>
        <w:t xml:space="preserve"> </w:t>
      </w:r>
      <w:r>
        <w:t xml:space="preserve">(</w:t>
      </w:r>
      <w:hyperlink w:anchor="ref-gorris2019">
        <w:r>
          <w:rPr>
            <w:rStyle w:val="Hyperlink"/>
          </w:rPr>
          <w:t xml:space="preserve">Gorris et al. 2019</w:t>
        </w:r>
      </w:hyperlink>
      <w:r>
        <w:t xml:space="preserve">)</w:t>
      </w:r>
      <w:r>
        <w:t xml:space="preserve">, and surveillance data document rising incidence and recognition of cases outside classical endemic areas</w:t>
      </w:r>
      <w:r>
        <w:t xml:space="preserve"> </w:t>
      </w:r>
      <w:r>
        <w:t xml:space="preserve">(</w:t>
      </w:r>
      <w:hyperlink w:anchor="ref-smith2022">
        <w:r>
          <w:rPr>
            <w:rStyle w:val="Hyperlink"/>
          </w:rPr>
          <w:t xml:space="preserve">Smith et al. 2022</w:t>
        </w:r>
      </w:hyperlink>
      <w:r>
        <w:t xml:space="preserve">;</w:t>
      </w:r>
      <w:r>
        <w:t xml:space="preserve"> </w:t>
      </w:r>
      <w:hyperlink w:anchor="ref-mazi2022">
        <w:r>
          <w:rPr>
            <w:rStyle w:val="Hyperlink"/>
          </w:rPr>
          <w:t xml:space="preserve">Mazi et al. 2022</w:t>
        </w:r>
      </w:hyperlink>
      <w:r>
        <w:t xml:space="preserve">)</w:t>
      </w:r>
      <w:r>
        <w:t xml:space="preserve">. Occupational exposure during soil disturbance is well established: outbreaks among solar-power-farm construction workers demonstrated both the risk and the effectiveness of dust-control measures</w:t>
      </w:r>
      <w:r>
        <w:t xml:space="preserve"> </w:t>
      </w:r>
      <w:r>
        <w:t xml:space="preserve">(</w:t>
      </w:r>
      <w:hyperlink w:anchor="ref-wilken2015">
        <w:r>
          <w:rPr>
            <w:rStyle w:val="Hyperlink"/>
          </w:rPr>
          <w:t xml:space="preserve">Wilken et al. 2015</w:t>
        </w:r>
      </w:hyperlink>
      <w:r>
        <w:t xml:space="preserve">;</w:t>
      </w:r>
      <w:r>
        <w:t xml:space="preserve"> </w:t>
      </w:r>
      <w:hyperlink w:anchor="ref-cooksey2017">
        <w:r>
          <w:rPr>
            <w:rStyle w:val="Hyperlink"/>
          </w:rPr>
          <w:t xml:space="preserve">Sondermeyer Cooksey et al. 2017</w:t>
        </w:r>
      </w:hyperlink>
      <w:r>
        <w:t xml:space="preserve">)</w:t>
      </w:r>
      <w:r>
        <w:t xml:space="preserve">. The related dimorphic mycoses show comparable geographic reappraisal</w:t>
      </w:r>
      <w:r>
        <w:t xml:space="preserve"> </w:t>
      </w:r>
      <w:r>
        <w:t xml:space="preserve">(</w:t>
      </w:r>
      <w:hyperlink w:anchor="ref-baddley2011">
        <w:r>
          <w:rPr>
            <w:rStyle w:val="Hyperlink"/>
          </w:rPr>
          <w:t xml:space="preserve">Baddley 2011</w:t>
        </w:r>
      </w:hyperlink>
      <w:r>
        <w:t xml:space="preserve">;</w:t>
      </w:r>
      <w:r>
        <w:t xml:space="preserve"> </w:t>
      </w:r>
      <w:hyperlink w:anchor="ref-maiga2018">
        <w:r>
          <w:rPr>
            <w:rStyle w:val="Hyperlink"/>
          </w:rPr>
          <w:t xml:space="preserve">Maiga et al. 2018</w:t>
        </w:r>
      </w:hyperlink>
      <w:r>
        <w:t xml:space="preserve">)</w:t>
      </w:r>
      <w:r>
        <w:t xml:space="preserve">.</w:t>
      </w:r>
    </w:p>
    <w:p>
      <w:pPr>
        <w:pStyle w:val="BodyText"/>
      </w:pPr>
      <w:r>
        <w:t xml:space="preserve">Notably, this is an exposure-and-range story rather than an adaptation story: there is no evidence that</w:t>
      </w:r>
      <w:r>
        <w:t xml:space="preserve"> </w:t>
      </w:r>
      <w:r>
        <w:rPr>
          <w:i/>
          <w:iCs/>
        </w:rPr>
        <w:t xml:space="preserve">Coccidioides</w:t>
      </w:r>
      <w:r>
        <w:t xml:space="preserve"> </w:t>
      </w:r>
      <w:r>
        <w:t xml:space="preserve">has become more virulent or thermotolerant. Climate acts on the</w:t>
      </w:r>
      <w:r>
        <w:t xml:space="preserve"> </w:t>
      </w:r>
      <w:r>
        <w:rPr>
          <w:i/>
          <w:iCs/>
        </w:rPr>
        <w:t xml:space="preserve">soil</w:t>
      </w:r>
      <w:r>
        <w:t xml:space="preserve"> </w:t>
      </w:r>
      <w:r>
        <w:t xml:space="preserve">and on</w:t>
      </w:r>
      <w:r>
        <w:t xml:space="preserve"> </w:t>
      </w:r>
      <w:r>
        <w:rPr>
          <w:i/>
          <w:iCs/>
        </w:rPr>
        <w:t xml:space="preserve">aerosolization</w:t>
      </w:r>
      <w:r>
        <w:t xml:space="preserve">, not on the pathogen’s phenotype.</w:t>
      </w:r>
    </w:p>
    <w:p>
      <w:pPr>
        <w:pStyle w:val="BodyText"/>
      </w:pPr>
      <w:r>
        <w:t xml:space="preserve">Therefore, the climate association established at the level of exposure and geographic range, but no evidence of adaptation with climate change has been described . Nevertheless, coccidioidomycosis the clearest example of a climate-driven mycosis.</w:t>
      </w:r>
    </w:p>
    <w:bookmarkEnd w:id="55"/>
    <w:bookmarkStart w:id="56" w:name="sec-5-5"/>
    <w:p>
      <w:pPr>
        <w:pStyle w:val="Heading2"/>
      </w:pPr>
      <w:r>
        <w:t xml:space="preserve">5.5</w:t>
      </w:r>
      <w:r>
        <w:t xml:space="preserve"> </w:t>
      </w:r>
      <w:r>
        <w:rPr>
          <w:i/>
          <w:iCs/>
        </w:rPr>
        <w:t xml:space="preserve">Sporothrix brasiliensis</w:t>
      </w:r>
    </w:p>
    <w:p>
      <w:pPr>
        <w:pStyle w:val="FirstParagraph"/>
      </w:pPr>
      <w:r>
        <w:t xml:space="preserve">The expanding zoonotic epidemic of sporotrichosis in Brazil and neighbouring countries is driven by cat-to-human transmission of</w:t>
      </w:r>
      <w:r>
        <w:t xml:space="preserve"> </w:t>
      </w:r>
      <w:r>
        <w:rPr>
          <w:i/>
          <w:iCs/>
        </w:rPr>
        <w:t xml:space="preserve">S. brasiliensis</w:t>
      </w:r>
      <w:r>
        <w:t xml:space="preserve">, a species more virulent than</w:t>
      </w:r>
      <w:r>
        <w:t xml:space="preserve"> </w:t>
      </w:r>
      <w:r>
        <w:rPr>
          <w:i/>
          <w:iCs/>
        </w:rPr>
        <w:t xml:space="preserve">S. schenckii</w:t>
      </w:r>
      <w:r>
        <w:t xml:space="preserve">, amplified by dense free-roaming feline populations and limited veterinary access</w:t>
      </w:r>
      <w:r>
        <w:t xml:space="preserve"> </w:t>
      </w:r>
      <w:r>
        <w:t xml:space="preserve">(</w:t>
      </w:r>
      <w:hyperlink w:anchor="ref-rodrigues2013">
        <w:r>
          <w:rPr>
            <w:rStyle w:val="Hyperlink"/>
          </w:rPr>
          <w:t xml:space="preserve">Rodrigues et al.</w:t>
        </w:r>
        <w:r>
          <w:rPr>
            <w:rStyle w:val="Hyperlink"/>
          </w:rPr>
          <w:t xml:space="preserve"> </w:t>
        </w:r>
        <w:r>
          <w:rPr>
            <w:rStyle w:val="Hyperlink"/>
          </w:rPr>
          <w:t xml:space="preserve">2013</w:t>
        </w:r>
      </w:hyperlink>
      <w:r>
        <w:t xml:space="preserve">;</w:t>
      </w:r>
      <w:r>
        <w:t xml:space="preserve"> </w:t>
      </w:r>
      <w:hyperlink w:anchor="ref-gremiao2017">
        <w:r>
          <w:rPr>
            <w:rStyle w:val="Hyperlink"/>
          </w:rPr>
          <w:t xml:space="preserve">Gremião et al. 2017</w:t>
        </w:r>
      </w:hyperlink>
      <w:r>
        <w:t xml:space="preserve">;</w:t>
      </w:r>
      <w:r>
        <w:t xml:space="preserve"> </w:t>
      </w:r>
      <w:hyperlink w:anchor="ref-rossow2020">
        <w:r>
          <w:rPr>
            <w:rStyle w:val="Hyperlink"/>
          </w:rPr>
          <w:t xml:space="preserve">Rossow et al. 2020</w:t>
        </w:r>
      </w:hyperlink>
      <w:r>
        <w:t xml:space="preserve">)</w:t>
      </w:r>
      <w:r>
        <w:t xml:space="preserve">. Urbanization, poverty and animal-population dynamics are the main factors that drive epidemics. While temperature and humidity plausibly modulate environmental persistence, these climate factors have not been shown to drive expansion.</w:t>
      </w:r>
    </w:p>
    <w:bookmarkEnd w:id="56"/>
    <w:bookmarkStart w:id="57" w:name="sec-5-6"/>
    <w:p>
      <w:pPr>
        <w:pStyle w:val="Heading2"/>
      </w:pPr>
      <w:r>
        <w:t xml:space="preserve">5.6</w:t>
      </w:r>
      <w:r>
        <w:t xml:space="preserve"> </w:t>
      </w:r>
      <w:r>
        <w:rPr>
          <w:i/>
          <w:iCs/>
        </w:rPr>
        <w:t xml:space="preserve">Aspergillus fumigatus</w:t>
      </w:r>
    </w:p>
    <w:p>
      <w:pPr>
        <w:pStyle w:val="FirstParagraph"/>
      </w:pPr>
      <w:r>
        <w:t xml:space="preserve">The clearest example of human-driven adaptive evolution in a fungal pathogen involves no clear climate component. Environmental use of demethylase-inhibitor fungicides that share a target with medical triazoles selects azole-resistant</w:t>
      </w:r>
      <w:r>
        <w:t xml:space="preserve"> </w:t>
      </w:r>
      <w:r>
        <w:rPr>
          <w:i/>
          <w:iCs/>
        </w:rPr>
        <w:t xml:space="preserve">A. fumigatus</w:t>
      </w:r>
      <w:r>
        <w:t xml:space="preserve"> </w:t>
      </w:r>
      <w:r>
        <w:t xml:space="preserve">in agricultural and waste-composting substrates</w:t>
      </w:r>
      <w:r>
        <w:t xml:space="preserve"> </w:t>
      </w:r>
      <w:r>
        <w:t xml:space="preserve">(</w:t>
      </w:r>
      <w:hyperlink w:anchor="ref-snelders2012">
        <w:r>
          <w:rPr>
            <w:rStyle w:val="Hyperlink"/>
          </w:rPr>
          <w:t xml:space="preserve">Snelders et al.</w:t>
        </w:r>
        <w:r>
          <w:rPr>
            <w:rStyle w:val="Hyperlink"/>
          </w:rPr>
          <w:t xml:space="preserve"> </w:t>
        </w:r>
        <w:r>
          <w:rPr>
            <w:rStyle w:val="Hyperlink"/>
          </w:rPr>
          <w:t xml:space="preserve">2012</w:t>
        </w:r>
      </w:hyperlink>
      <w:r>
        <w:t xml:space="preserve">)</w:t>
      </w:r>
      <w:r>
        <w:t xml:space="preserve">. The resistance mechanisms include specific</w:t>
      </w:r>
      <w:r>
        <w:t xml:space="preserve"> </w:t>
      </w:r>
      <w:r>
        <w:rPr>
          <w:i/>
          <w:iCs/>
        </w:rPr>
        <w:t xml:space="preserve">cyp51A</w:t>
      </w:r>
      <w:r>
        <w:t xml:space="preserve"> </w:t>
      </w:r>
      <w:r>
        <w:t xml:space="preserve">alterations with characteristic tandem-repeat promoter insertions</w:t>
      </w:r>
      <w:r>
        <w:t xml:space="preserve"> </w:t>
      </w:r>
      <w:r>
        <w:t xml:space="preserve">(</w:t>
      </w:r>
      <w:hyperlink w:anchor="ref-verweij2009">
        <w:r>
          <w:rPr>
            <w:rStyle w:val="Hyperlink"/>
          </w:rPr>
          <w:t xml:space="preserve">Verweij et al. 2009</w:t>
        </w:r>
      </w:hyperlink>
      <w:r>
        <w:t xml:space="preserve">;</w:t>
      </w:r>
      <w:r>
        <w:t xml:space="preserve"> </w:t>
      </w:r>
      <w:hyperlink w:anchor="ref-snelders2012">
        <w:r>
          <w:rPr>
            <w:rStyle w:val="Hyperlink"/>
          </w:rPr>
          <w:t xml:space="preserve">Snelders et al.</w:t>
        </w:r>
        <w:r>
          <w:rPr>
            <w:rStyle w:val="Hyperlink"/>
          </w:rPr>
          <w:t xml:space="preserve"> </w:t>
        </w:r>
        <w:r>
          <w:rPr>
            <w:rStyle w:val="Hyperlink"/>
          </w:rPr>
          <w:t xml:space="preserve">2012</w:t>
        </w:r>
      </w:hyperlink>
      <w:r>
        <w:t xml:space="preserve">;</w:t>
      </w:r>
      <w:r>
        <w:t xml:space="preserve"> </w:t>
      </w:r>
      <w:hyperlink w:anchor="ref-berger2017">
        <w:r>
          <w:rPr>
            <w:rStyle w:val="Hyperlink"/>
          </w:rPr>
          <w:t xml:space="preserve">Berger et al. 2017</w:t>
        </w:r>
      </w:hyperlink>
      <w:r>
        <w:t xml:space="preserve">)</w:t>
      </w:r>
      <w:r>
        <w:t xml:space="preserve">, a development that raised the question of whether mould-active azoles can be retained for clinical use at all</w:t>
      </w:r>
      <w:r>
        <w:t xml:space="preserve"> </w:t>
      </w:r>
      <w:r>
        <w:t xml:space="preserve">(</w:t>
      </w:r>
      <w:hyperlink w:anchor="ref-verweij2015">
        <w:r>
          <w:rPr>
            <w:rStyle w:val="Hyperlink"/>
          </w:rPr>
          <w:t xml:space="preserve">Verweij et al. 2015</w:t>
        </w:r>
      </w:hyperlink>
      <w:r>
        <w:t xml:space="preserve">)</w:t>
      </w:r>
      <w:r>
        <w:t xml:space="preserve">. Population genomics has since confirmed that patients acquire resistant genotypes from the environment rather than generating them during therapy</w:t>
      </w:r>
      <w:r>
        <w:t xml:space="preserve"> </w:t>
      </w:r>
      <w:r>
        <w:t xml:space="preserve">(</w:t>
      </w:r>
      <w:hyperlink w:anchor="ref-rhodes2022">
        <w:r>
          <w:rPr>
            <w:rStyle w:val="Hyperlink"/>
          </w:rPr>
          <w:t xml:space="preserve">Rhodes et al.</w:t>
        </w:r>
        <w:r>
          <w:rPr>
            <w:rStyle w:val="Hyperlink"/>
          </w:rPr>
          <w:t xml:space="preserve"> </w:t>
        </w:r>
        <w:r>
          <w:rPr>
            <w:rStyle w:val="Hyperlink"/>
          </w:rPr>
          <w:t xml:space="preserve">2022</w:t>
        </w:r>
      </w:hyperlink>
      <w:r>
        <w:t xml:space="preserve">)</w:t>
      </w:r>
      <w:r>
        <w:t xml:space="preserve">, and the wider threat of antifungal resistance to human health is now recognized as a policy problem</w:t>
      </w:r>
      <w:r>
        <w:t xml:space="preserve"> </w:t>
      </w:r>
      <w:r>
        <w:t xml:space="preserve">(</w:t>
      </w:r>
      <w:hyperlink w:anchor="ref-fisher2018">
        <w:r>
          <w:rPr>
            <w:rStyle w:val="Hyperlink"/>
          </w:rPr>
          <w:t xml:space="preserve">Fisher et al. 2018</w:t>
        </w:r>
      </w:hyperlink>
      <w:r>
        <w:t xml:space="preserve">,</w:t>
      </w:r>
      <w:r>
        <w:t xml:space="preserve"> </w:t>
      </w:r>
      <w:hyperlink w:anchor="ref-fisher2022">
        <w:r>
          <w:rPr>
            <w:rStyle w:val="Hyperlink"/>
          </w:rPr>
          <w:t xml:space="preserve">2022</w:t>
        </w:r>
      </w:hyperlink>
      <w:r>
        <w:t xml:space="preserve">)</w:t>
      </w:r>
      <w:r>
        <w:t xml:space="preserve">. The evolution of resistance in environmental compartments has become a field in its own right</w:t>
      </w:r>
      <w:r>
        <w:t xml:space="preserve"> </w:t>
      </w:r>
      <w:r>
        <w:t xml:space="preserve">(</w:t>
      </w:r>
      <w:hyperlink w:anchor="ref-vanrhijn2025">
        <w:r>
          <w:rPr>
            <w:rStyle w:val="Hyperlink"/>
          </w:rPr>
          <w:t xml:space="preserve">van Rhijn and Rhodes</w:t>
        </w:r>
        <w:r>
          <w:rPr>
            <w:rStyle w:val="Hyperlink"/>
          </w:rPr>
          <w:t xml:space="preserve"> </w:t>
        </w:r>
        <w:r>
          <w:rPr>
            <w:rStyle w:val="Hyperlink"/>
          </w:rPr>
          <w:t xml:space="preserve">2025</w:t>
        </w:r>
      </w:hyperlink>
      <w:r>
        <w:t xml:space="preserve">)</w:t>
      </w:r>
      <w:r>
        <w:t xml:space="preserve">, supported by curated resistance-mutation resources</w:t>
      </w:r>
      <w:r>
        <w:t xml:space="preserve"> </w:t>
      </w:r>
      <w:r>
        <w:t xml:space="preserve">(</w:t>
      </w:r>
      <w:hyperlink w:anchor="ref-bedard2025">
        <w:r>
          <w:rPr>
            <w:rStyle w:val="Hyperlink"/>
          </w:rPr>
          <w:t xml:space="preserve">Bédard et al. 2025</w:t>
        </w:r>
      </w:hyperlink>
      <w:r>
        <w:t xml:space="preserve">)</w:t>
      </w:r>
      <w:r>
        <w:t xml:space="preserve">.</w:t>
      </w:r>
    </w:p>
    <w:p>
      <w:pPr>
        <w:pStyle w:val="BodyText"/>
      </w:pPr>
      <w:r>
        <w:t xml:space="preserve">This case is the right comparator for weighing climate claims for three reasons. The exposure is quantifiable, the selective agent is identified, and the causal chain from environmental compartment to patient has been closed with genomic evidence. No climate–fungus association currently meets that standard. It also illustrates that anthropogenic chemical pressure, unlike temperature, acts on a specific molecular target, which is why its evolutionary signature was detectable.</w:t>
      </w:r>
    </w:p>
    <w:p>
      <w:pPr>
        <w:pStyle w:val="BodyText"/>
      </w:pPr>
      <w:r>
        <w:t xml:space="preserve">Human-driven adaptive evolution of</w:t>
      </w:r>
      <w:r>
        <w:t xml:space="preserve"> </w:t>
      </w:r>
      <w:r>
        <w:rPr>
          <w:i/>
          <w:iCs/>
        </w:rPr>
        <w:t xml:space="preserve">Aspergillus fumigatus</w:t>
      </w:r>
      <w:r>
        <w:t xml:space="preserve"> </w:t>
      </w:r>
      <w:r>
        <w:t xml:space="preserve">is established, with a closed causal chain arising from agricultural fungicides. Climate may interact with this system, through fungicide persistence, crop pathogen pressure and compost temperature, but the demonstrated driver is chemical, not thermal.</w:t>
      </w:r>
    </w:p>
    <w:bookmarkEnd w:id="57"/>
    <w:bookmarkEnd w:id="58"/>
    <w:bookmarkStart w:id="64" w:name="sec-6"/>
    <w:p>
      <w:pPr>
        <w:pStyle w:val="Heading1"/>
      </w:pPr>
      <w:r>
        <w:t xml:space="preserve">6. Anthropogenic Co-drivers Beyond Temperature</w:t>
      </w:r>
    </w:p>
    <w:p>
      <w:pPr>
        <w:pStyle w:val="FirstParagraph"/>
      </w:pPr>
      <w:r>
        <w:t xml:space="preserve">A common misconception is to attribute to</w:t>
      </w:r>
      <w:r>
        <w:t xml:space="preserve"> </w:t>
      </w:r>
      <w:r>
        <w:t xml:space="preserve">“climate change”</w:t>
      </w:r>
      <w:r>
        <w:t xml:space="preserve"> </w:t>
      </w:r>
      <w:r>
        <w:t xml:space="preserve">effects that are produced by other components of global environmental change. Some examples of these anthropogenic co-drivers are described below.</w:t>
      </w:r>
    </w:p>
    <w:bookmarkStart w:id="59" w:name="sec-6-1"/>
    <w:p>
      <w:pPr>
        <w:pStyle w:val="Heading2"/>
      </w:pPr>
      <w:r>
        <w:t xml:space="preserve">6.1 Agricultural and industrial antifungal inputs</w:t>
      </w:r>
    </w:p>
    <w:p>
      <w:pPr>
        <w:pStyle w:val="FirstParagraph"/>
      </w:pPr>
      <w:r>
        <w:t xml:space="preserve">Fungicide application is the largest deliberate chemical selection pressure humans impose on fungi. Crop pests and pathogens have been shown to shift poleward at measurable rates as temperature isotherms move</w:t>
      </w:r>
      <w:r>
        <w:t xml:space="preserve"> </w:t>
      </w:r>
      <w:r>
        <w:t xml:space="preserve">(</w:t>
      </w:r>
      <w:hyperlink w:anchor="ref-bebber2013">
        <w:r>
          <w:rPr>
            <w:rStyle w:val="Hyperlink"/>
          </w:rPr>
          <w:t xml:space="preserve">Bebber et al. 2013</w:t>
        </w:r>
      </w:hyperlink>
      <w:r>
        <w:t xml:space="preserve">)</w:t>
      </w:r>
      <w:r>
        <w:t xml:space="preserve">, which means fungicide use and warming are</w:t>
      </w:r>
      <w:r>
        <w:t xml:space="preserve"> </w:t>
      </w:r>
      <w:r>
        <w:rPr>
          <w:i/>
          <w:iCs/>
        </w:rPr>
        <w:t xml:space="preserve">coupled</w:t>
      </w:r>
      <w:r>
        <w:t xml:space="preserve">: warming changes where fungicides are applied, and fungicide application changes the resistance landscape the environmental mycobiota experiences. Disentangling the two requires explicit modelling of both</w:t>
      </w:r>
      <w:r>
        <w:t xml:space="preserve"> </w:t>
      </w:r>
      <w:r>
        <w:t xml:space="preserve">(</w:t>
      </w:r>
      <w:hyperlink w:anchor="ref-vanrhijn2025">
        <w:r>
          <w:rPr>
            <w:rStyle w:val="Hyperlink"/>
          </w:rPr>
          <w:t xml:space="preserve">van Rhijn and Rhodes</w:t>
        </w:r>
        <w:r>
          <w:rPr>
            <w:rStyle w:val="Hyperlink"/>
          </w:rPr>
          <w:t xml:space="preserve"> </w:t>
        </w:r>
        <w:r>
          <w:rPr>
            <w:rStyle w:val="Hyperlink"/>
          </w:rPr>
          <w:t xml:space="preserve">2025</w:t>
        </w:r>
      </w:hyperlink>
      <w:r>
        <w:t xml:space="preserve">)</w:t>
      </w:r>
      <w:r>
        <w:t xml:space="preserve">. An analogous coupling has been demonstrated for bacterial antimicrobial resistance, where local temperature is associated with higher resistance prevalence independent of prescribing</w:t>
      </w:r>
      <w:r>
        <w:t xml:space="preserve"> </w:t>
      </w:r>
      <w:r>
        <w:t xml:space="preserve">(</w:t>
      </w:r>
      <w:hyperlink w:anchor="ref-macfadden2018">
        <w:r>
          <w:rPr>
            <w:rStyle w:val="Hyperlink"/>
          </w:rPr>
          <w:t xml:space="preserve">MacFadden et al. 2018</w:t>
        </w:r>
      </w:hyperlink>
      <w:r>
        <w:t xml:space="preserve">)</w:t>
      </w:r>
      <w:r>
        <w:t xml:space="preserve">, and climate–resistance interactions are now being treated as a distinct research agenda</w:t>
      </w:r>
      <w:r>
        <w:t xml:space="preserve"> </w:t>
      </w:r>
      <w:r>
        <w:t xml:space="preserve">(</w:t>
      </w:r>
      <w:hyperlink w:anchor="ref-kalanxhi2026">
        <w:r>
          <w:rPr>
            <w:rStyle w:val="Hyperlink"/>
          </w:rPr>
          <w:t xml:space="preserve">Kalanxhi and Laxminarayan 2026</w:t>
        </w:r>
      </w:hyperlink>
      <w:r>
        <w:t xml:space="preserve">)</w:t>
      </w:r>
      <w:r>
        <w:t xml:space="preserve">.</w:t>
      </w:r>
    </w:p>
    <w:bookmarkEnd w:id="59"/>
    <w:bookmarkStart w:id="60" w:name="sec-6-2"/>
    <w:p>
      <w:pPr>
        <w:pStyle w:val="Heading2"/>
      </w:pPr>
      <w:r>
        <w:t xml:space="preserve">6.2 Plastic pollution and plastiphily</w:t>
      </w:r>
    </w:p>
    <w:p>
      <w:pPr>
        <w:pStyle w:val="FirstParagraph"/>
      </w:pPr>
      <w:r>
        <w:t xml:space="preserve">Plastic waste creates a novel, globally distributed terrestrial substrate. Microplastics in soil accumulate a distinct mycobiota enriched in human-pathogenic genera, indicating that the plastisphere functions as a selective niche rather than an inert surface</w:t>
      </w:r>
      <w:r>
        <w:t xml:space="preserve"> </w:t>
      </w:r>
      <w:r>
        <w:t xml:space="preserve">(</w:t>
      </w:r>
      <w:hyperlink w:anchor="ref-gkoutselis2021">
        <w:r>
          <w:rPr>
            <w:rStyle w:val="Hyperlink"/>
          </w:rPr>
          <w:t xml:space="preserve">Gkoutselis et al. 2021</w:t>
        </w:r>
      </w:hyperlink>
      <w:r>
        <w:t xml:space="preserve">)</w:t>
      </w:r>
      <w:r>
        <w:t xml:space="preserve">. Subsequent work linked</w:t>
      </w:r>
      <w:r>
        <w:t xml:space="preserve"> </w:t>
      </w:r>
      <w:r>
        <w:rPr>
          <w:i/>
          <w:iCs/>
        </w:rPr>
        <w:t xml:space="preserve">plastiphily,</w:t>
      </w:r>
      <w:r>
        <w:t xml:space="preserve"> </w:t>
      </w:r>
      <w:r>
        <w:t xml:space="preserve">the capacity to colonize and metabolize plastic, to generic virulence-associated traits in important human pathogenic fungi</w:t>
      </w:r>
      <w:r>
        <w:t xml:space="preserve"> </w:t>
      </w:r>
      <w:r>
        <w:t xml:space="preserve">(</w:t>
      </w:r>
      <w:hyperlink w:anchor="ref-gkoutselis2024">
        <w:r>
          <w:rPr>
            <w:rStyle w:val="Hyperlink"/>
          </w:rPr>
          <w:t xml:space="preserve">Gkoutselis et al. 2024</w:t>
        </w:r>
      </w:hyperlink>
      <w:r>
        <w:t xml:space="preserve">)</w:t>
      </w:r>
      <w:r>
        <w:t xml:space="preserve">. The mechanistic question remains: does growth on microplastic substrates alter growth rate, morphogenesis, oxidative-stress tolerance, antifungal susceptibility, interaction with phagocytes, or virulence in infection models? A factorial design comparing standard agar with agar supplemented with defined microplastic particles, read out across those six phenotypes, could answer this question directly (</w:t>
      </w:r>
      <w:hyperlink w:anchor="sec-10-1">
        <w:r>
          <w:rPr>
            <w:rStyle w:val="Hyperlink"/>
          </w:rPr>
          <w:t xml:space="preserve">Sect. 10.1</w:t>
        </w:r>
      </w:hyperlink>
      <w:r>
        <w:t xml:space="preserve">).</w:t>
      </w:r>
    </w:p>
    <w:bookmarkEnd w:id="60"/>
    <w:bookmarkStart w:id="61" w:name="sec-6-3"/>
    <w:p>
      <w:pPr>
        <w:pStyle w:val="Heading2"/>
      </w:pPr>
      <w:r>
        <w:t xml:space="preserve">6.3 Urbanization and urban heat islands</w:t>
      </w:r>
    </w:p>
    <w:p>
      <w:pPr>
        <w:pStyle w:val="FirstParagraph"/>
      </w:pPr>
      <w:r>
        <w:t xml:space="preserve">Cities warm faster than their surroundings and therefore constitute accessible natural experiments in thermal selection, with the paired-neighbourhood experimenal design of Smith et al</w:t>
      </w:r>
      <w:r>
        <w:t xml:space="preserve"> </w:t>
      </w:r>
      <w:r>
        <w:t xml:space="preserve">Smith et al. (</w:t>
      </w:r>
      <w:hyperlink w:anchor="ref-smith2025">
        <w:r>
          <w:rPr>
            <w:rStyle w:val="Hyperlink"/>
          </w:rPr>
          <w:t xml:space="preserve">2025</w:t>
        </w:r>
      </w:hyperlink>
      <w:r>
        <w:t xml:space="preserve">)</w:t>
      </w:r>
      <w:r>
        <w:t xml:space="preserve"> </w:t>
      </w:r>
      <w:r>
        <w:t xml:space="preserve">serving as the model (</w:t>
      </w:r>
      <w:hyperlink w:anchor="sec-3-2">
        <w:r>
          <w:rPr>
            <w:rStyle w:val="Hyperlink"/>
          </w:rPr>
          <w:t xml:space="preserve">Sect. 3.2</w:t>
        </w:r>
      </w:hyperlink>
      <w:r>
        <w:t xml:space="preserve">). Urbanization simultaneously changes host density, healthcare access, animal reservoirs and travel connectivity, all of which shape infectious disease independently of temperature</w:t>
      </w:r>
      <w:r>
        <w:t xml:space="preserve"> </w:t>
      </w:r>
      <w:r>
        <w:t xml:space="preserve">(</w:t>
      </w:r>
      <w:hyperlink w:anchor="ref-baker2022">
        <w:r>
          <w:rPr>
            <w:rStyle w:val="Hyperlink"/>
          </w:rPr>
          <w:t xml:space="preserve">Baker et al. 2022</w:t>
        </w:r>
      </w:hyperlink>
      <w:r>
        <w:t xml:space="preserve">)</w:t>
      </w:r>
      <w:r>
        <w:t xml:space="preserve">. The urban heat island is therefore both the best available field laboratory for thermal adaptation studies but also and one of the most confounded.</w:t>
      </w:r>
    </w:p>
    <w:bookmarkEnd w:id="61"/>
    <w:bookmarkStart w:id="62" w:name="sec-6-4"/>
    <w:p>
      <w:pPr>
        <w:pStyle w:val="Heading2"/>
      </w:pPr>
      <w:r>
        <w:t xml:space="preserve">6.4 Ultraviolet radiation, carbon dioxide, aridity and pollutants</w:t>
      </w:r>
    </w:p>
    <w:p>
      <w:pPr>
        <w:pStyle w:val="FirstParagraph"/>
      </w:pPr>
      <w:r>
        <w:t xml:space="preserve">Temperature is only one of dozens of environmental conditions changing at the same time. The standard lists of variables that satellites track for climate monitoring run to dozens of measurements of the air, ocean and land, and many of them matter for fungi: how wet the soil is, how hot the ground surface gets, where fires burn, where permafrost thaws, how land is covered and how much plant material it holds. A study that tests fungal outcomes against only one or two of these, ignoring the rest, may credit temperature with changes that really come from drying, sunlight or the way people use the land. Pigment and radiation biology do offer a believable mechanism for ultraviolet light specifically driving selection</w:t>
      </w:r>
      <w:r>
        <w:t xml:space="preserve"> </w:t>
      </w:r>
      <w:r>
        <w:t xml:space="preserve">(</w:t>
      </w:r>
      <w:hyperlink w:anchor="ref-dadachova2007">
        <w:r>
          <w:rPr>
            <w:rStyle w:val="Hyperlink"/>
          </w:rPr>
          <w:t xml:space="preserve">Dadachova et al. 2007</w:t>
        </w:r>
      </w:hyperlink>
      <w:r>
        <w:t xml:space="preserve">;</w:t>
      </w:r>
      <w:r>
        <w:t xml:space="preserve"> </w:t>
      </w:r>
      <w:hyperlink w:anchor="ref-cordero2017">
        <w:r>
          <w:rPr>
            <w:rStyle w:val="Hyperlink"/>
          </w:rPr>
          <w:t xml:space="preserve">Cordero and Casadevall 2017</w:t>
        </w:r>
      </w:hyperlink>
      <w:r>
        <w:t xml:space="preserve">)</w:t>
      </w:r>
      <w:r>
        <w:t xml:space="preserve">, but no one has tested that idea as a climate question.</w:t>
      </w:r>
    </w:p>
    <w:bookmarkEnd w:id="62"/>
    <w:bookmarkStart w:id="63" w:name="sec-6-5"/>
    <w:p>
      <w:pPr>
        <w:pStyle w:val="Heading2"/>
      </w:pPr>
      <w:r>
        <w:t xml:space="preserve">6.5 Travel, trade and migration</w:t>
      </w:r>
    </w:p>
    <w:p>
      <w:pPr>
        <w:pStyle w:val="FirstParagraph"/>
      </w:pPr>
      <w:r>
        <w:t xml:space="preserve">How connected the world is decides how fast a strain that adapts in one place becomes everyone’s problem. Researchers have already looked at how travel volume, city growth and climate act together for infectious disease in general</w:t>
      </w:r>
      <w:r>
        <w:t xml:space="preserve"> </w:t>
      </w:r>
      <w:r>
        <w:t xml:space="preserve">(</w:t>
      </w:r>
      <w:hyperlink w:anchor="ref-baker2022">
        <w:r>
          <w:rPr>
            <w:rStyle w:val="Hyperlink"/>
          </w:rPr>
          <w:t xml:space="preserve">Baker et al. 2022</w:t>
        </w:r>
      </w:hyperlink>
      <w:r>
        <w:t xml:space="preserve">)</w:t>
      </w:r>
      <w:r>
        <w:t xml:space="preserve">, and climate change is expected to give pathogens more chances to jump between species as animals shift where they live</w:t>
      </w:r>
      <w:r>
        <w:t xml:space="preserve"> </w:t>
      </w:r>
      <w:r>
        <w:t xml:space="preserve">(</w:t>
      </w:r>
      <w:hyperlink w:anchor="ref-carlson2022">
        <w:r>
          <w:rPr>
            <w:rStyle w:val="Hyperlink"/>
          </w:rPr>
          <w:t xml:space="preserve">Carlson et al. 2022</w:t>
        </w:r>
      </w:hyperlink>
      <w:r>
        <w:t xml:space="preserve">)</w:t>
      </w:r>
      <w:r>
        <w:t xml:space="preserve">; disease and planetary change are now treated as one field of study</w:t>
      </w:r>
      <w:r>
        <w:t xml:space="preserve"> </w:t>
      </w:r>
      <w:r>
        <w:t xml:space="preserve">(</w:t>
      </w:r>
      <w:hyperlink w:anchor="ref-carlson2025">
        <w:r>
          <w:rPr>
            <w:rStyle w:val="Hyperlink"/>
          </w:rPr>
          <w:t xml:space="preserve">Carlson et al. 2025</w:t>
        </w:r>
      </w:hyperlink>
      <w:r>
        <w:t xml:space="preserve">)</w:t>
      </w:r>
      <w:r>
        <w:t xml:space="preserve">. One review of the published evidence found that most diseases known to infect people can be made worse by climate hazards, and by several different routes</w:t>
      </w:r>
      <w:r>
        <w:t xml:space="preserve"> </w:t>
      </w:r>
      <w:r>
        <w:t xml:space="preserve">(</w:t>
      </w:r>
      <w:hyperlink w:anchor="ref-mora2022">
        <w:r>
          <w:rPr>
            <w:rStyle w:val="Hyperlink"/>
          </w:rPr>
          <w:t xml:space="preserve">Mora et al.</w:t>
        </w:r>
        <w:r>
          <w:rPr>
            <w:rStyle w:val="Hyperlink"/>
          </w:rPr>
          <w:t xml:space="preserve"> </w:t>
        </w:r>
        <w:r>
          <w:rPr>
            <w:rStyle w:val="Hyperlink"/>
          </w:rPr>
          <w:t xml:space="preserve">2022</w:t>
        </w:r>
      </w:hyperlink>
      <w:r>
        <w:t xml:space="preserve">)</w:t>
      </w:r>
      <w:r>
        <w:t xml:space="preserve">. For fungi, the spread argument carries the most weight for strains that resist antifungal drugs and for organisms passed on inside hospitals, where the major mode of transport and dispersal is patients and staff, not the wind.</w:t>
      </w:r>
    </w:p>
    <w:bookmarkEnd w:id="63"/>
    <w:bookmarkEnd w:id="64"/>
    <w:bookmarkStart w:id="71" w:name="sec-7"/>
    <w:p>
      <w:pPr>
        <w:pStyle w:val="Heading1"/>
      </w:pPr>
      <w:r>
        <w:t xml:space="preserve">7. Disaster Microbiology: Acute Perturbations</w:t>
      </w:r>
    </w:p>
    <w:bookmarkStart w:id="65" w:name="sec-7-1"/>
    <w:p>
      <w:pPr>
        <w:pStyle w:val="Heading2"/>
      </w:pPr>
      <w:r>
        <w:t xml:space="preserve">7.1 Defining the field</w:t>
      </w:r>
    </w:p>
    <w:p>
      <w:pPr>
        <w:pStyle w:val="FirstParagraph"/>
      </w:pPr>
      <w:r>
        <w:t xml:space="preserve">Disaster microbiology has been proposed as a distinct field concerned with how catastrophic events — meteorological, geological and anthropogenic — alter microbial ecology, dispersal and disease</w:t>
      </w:r>
      <w:r>
        <w:t xml:space="preserve"> </w:t>
      </w:r>
      <w:r>
        <w:t xml:space="preserve">(</w:t>
      </w:r>
      <w:hyperlink w:anchor="ref-smithcasadevall2022">
        <w:r>
          <w:rPr>
            <w:rStyle w:val="Hyperlink"/>
          </w:rPr>
          <w:t xml:space="preserve">Smith and Casadevall 2022</w:t>
        </w:r>
      </w:hyperlink>
      <w:r>
        <w:t xml:space="preserve">)</w:t>
      </w:r>
      <w:r>
        <w:t xml:space="preserve">, within which encompasses a mycological subdiscipline</w:t>
      </w:r>
      <w:r>
        <w:t xml:space="preserve"> </w:t>
      </w:r>
      <w:r>
        <w:t xml:space="preserve">(</w:t>
      </w:r>
      <w:hyperlink w:anchor="ref-smith2023">
        <w:r>
          <w:rPr>
            <w:rStyle w:val="Hyperlink"/>
          </w:rPr>
          <w:t xml:space="preserve">Smith and Casadevall 2023</w:t>
        </w:r>
      </w:hyperlink>
      <w:r>
        <w:t xml:space="preserve">)</w:t>
      </w:r>
      <w:r>
        <w:t xml:space="preserve">. Its defining feature is timescale. Where chronic warming operates through selection across many generations, a disaster restructures exposure within hours: it aerosolizes soil, breaches host barriers, concentrates susceptible people in shared shelter, interrupts diagnosis and treatment, and subjects fungal cells to combinatorial physical stress.</w:t>
      </w:r>
      <w:r>
        <w:t xml:space="preserve"> </w:t>
      </w:r>
      <w:r>
        <w:rPr>
          <w:b/>
          <w:bCs/>
        </w:rPr>
        <w:t xml:space="preserve">?@tbl-disasters</w:t>
      </w:r>
      <w:r>
        <w:t xml:space="preserve"> </w:t>
      </w:r>
      <w:r>
        <w:t xml:space="preserve">and summarize the event classes, their dominant physical mechanisms and the fungal consequences documented for each.</w:t>
      </w:r>
    </w:p>
    <w:p>
      <w:pPr>
        <w:pStyle w:val="TableCaption"/>
      </w:pPr>
      <w:r>
        <w:t xml:space="preserve">Disaster classes, mechanisms and documented fungal consequences{#tbl-disasters}</w:t>
      </w:r>
    </w:p>
    <w:tbl>
      <w:tblPr>
        <w:tblStyle w:val="Table"/>
        <w:tblW w:type="pct" w:w="5000"/>
        <w:tblLayout w:type="fixed"/>
        <w:tblLook w:firstRow="1" w:lastRow="0" w:firstColumn="0" w:lastColumn="0" w:noHBand="0" w:noVBand="0" w:val="0020"/>
        <w:tblCaption w:val="Disaster classes, mechanisms and documented fungal consequences{#tbl-disasters}"/>
      </w:tblPr>
      <w:tblGrid>
        <w:gridCol w:w="1584"/>
        <w:gridCol w:w="1584"/>
        <w:gridCol w:w="1584"/>
        <w:gridCol w:w="1584"/>
        <w:gridCol w:w="1584"/>
      </w:tblGrid>
      <w:tr>
        <w:trPr>
          <w:tblHeader w:val="on"/>
        </w:trPr>
        <w:tc>
          <w:tcPr/>
          <w:p>
            <w:pPr>
              <w:pStyle w:val="Compact"/>
              <w:jc w:val="left"/>
            </w:pPr>
            <w:r>
              <w:rPr>
                <w:b/>
                <w:bCs/>
              </w:rPr>
              <w:t xml:space="preserve">Event class</w:t>
            </w:r>
          </w:p>
        </w:tc>
        <w:tc>
          <w:tcPr/>
          <w:p>
            <w:pPr>
              <w:pStyle w:val="Compact"/>
              <w:jc w:val="left"/>
            </w:pPr>
            <w:r>
              <w:rPr>
                <w:b/>
                <w:bCs/>
              </w:rPr>
              <w:t xml:space="preserve">Dominant physical mechanism</w:t>
            </w:r>
          </w:p>
        </w:tc>
        <w:tc>
          <w:tcPr/>
          <w:p>
            <w:pPr>
              <w:pStyle w:val="Compact"/>
              <w:jc w:val="left"/>
            </w:pPr>
            <w:r>
              <w:rPr>
                <w:b/>
                <w:bCs/>
              </w:rPr>
              <w:t xml:space="preserve">Fungal or ecological response</w:t>
            </w:r>
          </w:p>
        </w:tc>
        <w:tc>
          <w:tcPr/>
          <w:p>
            <w:pPr>
              <w:pStyle w:val="Compact"/>
              <w:jc w:val="left"/>
            </w:pPr>
            <w:r>
              <w:rPr>
                <w:b/>
                <w:bCs/>
              </w:rPr>
              <w:t xml:space="preserve">Documented human outcome</w:t>
            </w:r>
          </w:p>
        </w:tc>
        <w:tc>
          <w:tcPr/>
          <w:p>
            <w:pPr>
              <w:pStyle w:val="Compact"/>
              <w:jc w:val="left"/>
            </w:pPr>
            <w:r>
              <w:rPr>
                <w:b/>
                <w:bCs/>
              </w:rPr>
              <w:t xml:space="preserve">Evidence</w:t>
            </w:r>
          </w:p>
        </w:tc>
      </w:tr>
      <w:tr>
        <w:tc>
          <w:tcPr/>
          <w:p>
            <w:pPr>
              <w:pStyle w:val="Compact"/>
              <w:jc w:val="left"/>
            </w:pPr>
            <w:r>
              <w:t xml:space="preserve">Tornado, cyclone</w:t>
            </w:r>
          </w:p>
        </w:tc>
        <w:tc>
          <w:tcPr/>
          <w:p>
            <w:pPr>
              <w:pStyle w:val="Compact"/>
              <w:jc w:val="left"/>
            </w:pPr>
            <w:r>
              <w:t xml:space="preserve">Extreme shear, aerosolization, penetrating trauma</w:t>
            </w:r>
          </w:p>
        </w:tc>
        <w:tc>
          <w:tcPr/>
          <w:p>
            <w:pPr>
              <w:pStyle w:val="Compact"/>
              <w:jc w:val="left"/>
            </w:pPr>
            <w:r>
              <w:t xml:space="preserve">Transient calcineurin/Hsp90-dependent hypervirulence in Mucorales</w:t>
            </w:r>
          </w:p>
        </w:tc>
        <w:tc>
          <w:tcPr/>
          <w:p>
            <w:pPr>
              <w:pStyle w:val="Compact"/>
              <w:jc w:val="left"/>
            </w:pPr>
            <w:r>
              <w:t xml:space="preserve">Necrotizing cutaneous mucormycosis clusters</w:t>
            </w:r>
          </w:p>
        </w:tc>
        <w:tc>
          <w:tcPr/>
          <w:p>
            <w:pPr>
              <w:pStyle w:val="Compact"/>
              <w:jc w:val="left"/>
            </w:pPr>
            <w:r>
              <w:t xml:space="preserve">Experimental + outbreak</w:t>
            </w:r>
            <w:r>
              <w:t xml:space="preserve"> </w:t>
            </w:r>
            <w:r>
              <w:t xml:space="preserve">(</w:t>
            </w:r>
            <w:hyperlink w:anchor="ref-neblettfanfair2012">
              <w:r>
                <w:rPr>
                  <w:rStyle w:val="Hyperlink"/>
                </w:rPr>
                <w:t xml:space="preserve">Neblett Fanfair et al. 2012</w:t>
              </w:r>
            </w:hyperlink>
            <w:r>
              <w:t xml:space="preserve">;</w:t>
            </w:r>
            <w:r>
              <w:t xml:space="preserve"> </w:t>
            </w:r>
            <w:hyperlink w:anchor="ref-wurster2020">
              <w:r>
                <w:rPr>
                  <w:rStyle w:val="Hyperlink"/>
                </w:rPr>
                <w:t xml:space="preserve">Wurster et al.</w:t>
              </w:r>
              <w:r>
                <w:rPr>
                  <w:rStyle w:val="Hyperlink"/>
                </w:rPr>
                <w:t xml:space="preserve"> </w:t>
              </w:r>
              <w:r>
                <w:rPr>
                  <w:rStyle w:val="Hyperlink"/>
                </w:rPr>
                <w:t xml:space="preserve">2020</w:t>
              </w:r>
            </w:hyperlink>
            <w:r>
              <w:t xml:space="preserve">)</w:t>
            </w:r>
          </w:p>
        </w:tc>
      </w:tr>
      <w:tr>
        <w:tc>
          <w:tcPr/>
          <w:p>
            <w:pPr>
              <w:pStyle w:val="Compact"/>
              <w:jc w:val="left"/>
            </w:pPr>
            <w:r>
              <w:t xml:space="preserve">Flood, storm surge</w:t>
            </w:r>
          </w:p>
        </w:tc>
        <w:tc>
          <w:tcPr/>
          <w:p>
            <w:pPr>
              <w:pStyle w:val="Compact"/>
              <w:jc w:val="left"/>
            </w:pPr>
            <w:r>
              <w:t xml:space="preserve">Water damage, sustained humidity, sewage mixing</w:t>
            </w:r>
          </w:p>
        </w:tc>
        <w:tc>
          <w:tcPr/>
          <w:p>
            <w:pPr>
              <w:pStyle w:val="Compact"/>
              <w:jc w:val="left"/>
            </w:pPr>
            <w:r>
              <w:t xml:space="preserve">Indoor mould amplification; dispersal of resistant organisms</w:t>
            </w:r>
          </w:p>
        </w:tc>
        <w:tc>
          <w:tcPr/>
          <w:p>
            <w:pPr>
              <w:pStyle w:val="Compact"/>
              <w:jc w:val="left"/>
            </w:pPr>
            <w:r>
              <w:t xml:space="preserve">Mould and endotoxin exposure; invasive mould infection in immunocompromised hosts</w:t>
            </w:r>
          </w:p>
        </w:tc>
        <w:tc>
          <w:tcPr/>
          <w:p>
            <w:pPr>
              <w:pStyle w:val="Compact"/>
              <w:jc w:val="left"/>
            </w:pPr>
            <w:r>
              <w:t xml:space="preserve">Established</w:t>
            </w:r>
            <w:r>
              <w:t xml:space="preserve"> </w:t>
            </w:r>
            <w:r>
              <w:t xml:space="preserve">(</w:t>
            </w:r>
            <w:hyperlink w:anchor="ref-chew2006">
              <w:r>
                <w:rPr>
                  <w:rStyle w:val="Hyperlink"/>
                </w:rPr>
                <w:t xml:space="preserve">Chew et al. 2006</w:t>
              </w:r>
            </w:hyperlink>
            <w:r>
              <w:t xml:space="preserve">;</w:t>
            </w:r>
            <w:r>
              <w:t xml:space="preserve"> </w:t>
            </w:r>
            <w:hyperlink w:anchor="ref-rao2007">
              <w:r>
                <w:rPr>
                  <w:rStyle w:val="Hyperlink"/>
                </w:rPr>
                <w:t xml:space="preserve">Rao et al. 2007</w:t>
              </w:r>
            </w:hyperlink>
            <w:r>
              <w:t xml:space="preserve">;</w:t>
            </w:r>
            <w:r>
              <w:t xml:space="preserve"> </w:t>
            </w:r>
            <w:hyperlink w:anchor="ref-toda2023">
              <w:r>
                <w:rPr>
                  <w:rStyle w:val="Hyperlink"/>
                </w:rPr>
                <w:t xml:space="preserve">Toda et al. 2023</w:t>
              </w:r>
            </w:hyperlink>
            <w:r>
              <w:t xml:space="preserve">)</w:t>
            </w:r>
          </w:p>
        </w:tc>
      </w:tr>
      <w:tr>
        <w:tc>
          <w:tcPr/>
          <w:p>
            <w:pPr>
              <w:pStyle w:val="Compact"/>
              <w:jc w:val="left"/>
            </w:pPr>
            <w:r>
              <w:t xml:space="preserve">Wildfire</w:t>
            </w:r>
          </w:p>
        </w:tc>
        <w:tc>
          <w:tcPr/>
          <w:p>
            <w:pPr>
              <w:pStyle w:val="Compact"/>
              <w:jc w:val="left"/>
            </w:pPr>
            <w:r>
              <w:t xml:space="preserve">Smoke as viable bioaerosol vector; soil disturbance</w:t>
            </w:r>
          </w:p>
        </w:tc>
        <w:tc>
          <w:tcPr/>
          <w:p>
            <w:pPr>
              <w:pStyle w:val="Compact"/>
              <w:jc w:val="left"/>
            </w:pPr>
            <w:r>
              <w:t xml:space="preserve">Long-range transport of viable propagules</w:t>
            </w:r>
          </w:p>
        </w:tc>
        <w:tc>
          <w:tcPr/>
          <w:p>
            <w:pPr>
              <w:pStyle w:val="Compact"/>
              <w:jc w:val="left"/>
            </w:pPr>
            <w:r>
              <w:t xml:space="preserve">Occupational coccidioidomycosis; hypothesized range expansion</w:t>
            </w:r>
          </w:p>
        </w:tc>
        <w:tc>
          <w:tcPr/>
          <w:p>
            <w:pPr>
              <w:pStyle w:val="Compact"/>
              <w:jc w:val="left"/>
            </w:pPr>
            <w:r>
              <w:t xml:space="preserve">Emerging</w:t>
            </w:r>
            <w:r>
              <w:t xml:space="preserve"> </w:t>
            </w:r>
            <w:r>
              <w:t xml:space="preserve">(</w:t>
            </w:r>
            <w:hyperlink w:anchor="ref-wilken2015">
              <w:r>
                <w:rPr>
                  <w:rStyle w:val="Hyperlink"/>
                </w:rPr>
                <w:t xml:space="preserve">Wilken et al. 2015</w:t>
              </w:r>
            </w:hyperlink>
            <w:r>
              <w:t xml:space="preserve">;</w:t>
            </w:r>
            <w:r>
              <w:t xml:space="preserve"> </w:t>
            </w:r>
            <w:hyperlink w:anchor="ref-kobziar2022">
              <w:r>
                <w:rPr>
                  <w:rStyle w:val="Hyperlink"/>
                </w:rPr>
                <w:t xml:space="preserve">Kobziar et al. 2022</w:t>
              </w:r>
            </w:hyperlink>
            <w:r>
              <w:t xml:space="preserve">;</w:t>
            </w:r>
            <w:r>
              <w:t xml:space="preserve"> </w:t>
            </w:r>
            <w:hyperlink w:anchor="ref-ellington2024">
              <w:r>
                <w:rPr>
                  <w:rStyle w:val="Hyperlink"/>
                </w:rPr>
                <w:t xml:space="preserve">Ellington et al. 2024</w:t>
              </w:r>
            </w:hyperlink>
            <w:r>
              <w:t xml:space="preserve">)</w:t>
            </w:r>
          </w:p>
        </w:tc>
      </w:tr>
      <w:tr>
        <w:tc>
          <w:tcPr/>
          <w:p>
            <w:pPr>
              <w:pStyle w:val="Compact"/>
              <w:jc w:val="left"/>
            </w:pPr>
            <w:r>
              <w:t xml:space="preserve">Dust storm, drought cycling</w:t>
            </w:r>
          </w:p>
        </w:tc>
        <w:tc>
          <w:tcPr/>
          <w:p>
            <w:pPr>
              <w:pStyle w:val="Compact"/>
              <w:jc w:val="left"/>
            </w:pPr>
            <w:r>
              <w:t xml:space="preserve">Soil aerosolization after wet–dry cycling</w:t>
            </w:r>
          </w:p>
        </w:tc>
        <w:tc>
          <w:tcPr/>
          <w:p>
            <w:pPr>
              <w:pStyle w:val="Compact"/>
              <w:jc w:val="left"/>
            </w:pPr>
            <w:r>
              <w:t xml:space="preserve">Arthroconidium release</w:t>
            </w:r>
          </w:p>
        </w:tc>
        <w:tc>
          <w:tcPr/>
          <w:p>
            <w:pPr>
              <w:pStyle w:val="Compact"/>
              <w:jc w:val="left"/>
            </w:pPr>
            <w:r>
              <w:t xml:space="preserve">Valley fever incidence tracking dust and precipitation</w:t>
            </w:r>
          </w:p>
        </w:tc>
        <w:tc>
          <w:tcPr/>
          <w:p>
            <w:pPr>
              <w:pStyle w:val="Compact"/>
              <w:jc w:val="left"/>
            </w:pPr>
            <w:r>
              <w:t xml:space="preserve">Established association</w:t>
            </w:r>
            <w:r>
              <w:t xml:space="preserve"> </w:t>
            </w:r>
            <w:r>
              <w:t xml:space="preserve">(</w:t>
            </w:r>
            <w:hyperlink w:anchor="ref-tong2017">
              <w:r>
                <w:rPr>
                  <w:rStyle w:val="Hyperlink"/>
                </w:rPr>
                <w:t xml:space="preserve">Tong et al. 2017</w:t>
              </w:r>
            </w:hyperlink>
            <w:r>
              <w:t xml:space="preserve">;</w:t>
            </w:r>
            <w:r>
              <w:t xml:space="preserve"> </w:t>
            </w:r>
            <w:hyperlink w:anchor="ref-head2022">
              <w:r>
                <w:rPr>
                  <w:rStyle w:val="Hyperlink"/>
                </w:rPr>
                <w:t xml:space="preserve">Head et al. 2022</w:t>
              </w:r>
            </w:hyperlink>
            <w:r>
              <w:t xml:space="preserve">)</w:t>
            </w:r>
          </w:p>
        </w:tc>
      </w:tr>
      <w:tr>
        <w:tc>
          <w:tcPr/>
          <w:p>
            <w:pPr>
              <w:pStyle w:val="Compact"/>
              <w:jc w:val="left"/>
            </w:pPr>
            <w:r>
              <w:t xml:space="preserve">Earthquake, tsunami</w:t>
            </w:r>
          </w:p>
        </w:tc>
        <w:tc>
          <w:tcPr/>
          <w:p>
            <w:pPr>
              <w:pStyle w:val="Compact"/>
              <w:jc w:val="left"/>
            </w:pPr>
            <w:r>
              <w:t xml:space="preserve">Soil displacement, aspiration, trauma</w:t>
            </w:r>
          </w:p>
        </w:tc>
        <w:tc>
          <w:tcPr/>
          <w:p>
            <w:pPr>
              <w:pStyle w:val="Compact"/>
              <w:jc w:val="left"/>
            </w:pPr>
            <w:r>
              <w:t xml:space="preserve">Dispersal into new niches; direct inoculation</w:t>
            </w:r>
          </w:p>
        </w:tc>
        <w:tc>
          <w:tcPr/>
          <w:p>
            <w:pPr>
              <w:pStyle w:val="Compact"/>
              <w:jc w:val="left"/>
            </w:pPr>
            <w:r>
              <w:t xml:space="preserve">Post-disaster pulmonary and wound mycoses</w:t>
            </w:r>
          </w:p>
        </w:tc>
        <w:tc>
          <w:tcPr/>
          <w:p>
            <w:pPr>
              <w:pStyle w:val="Compact"/>
              <w:jc w:val="left"/>
            </w:pPr>
            <w:r>
              <w:t xml:space="preserve">Case series</w:t>
            </w:r>
            <w:r>
              <w:t xml:space="preserve"> </w:t>
            </w:r>
            <w:r>
              <w:t xml:space="preserve">(</w:t>
            </w:r>
            <w:hyperlink w:anchor="ref-benedict2014">
              <w:r>
                <w:rPr>
                  <w:rStyle w:val="Hyperlink"/>
                </w:rPr>
                <w:t xml:space="preserve">Benedict and Park 2014</w:t>
              </w:r>
            </w:hyperlink>
            <w:r>
              <w:t xml:space="preserve">)</w:t>
            </w:r>
          </w:p>
        </w:tc>
      </w:tr>
      <w:tr>
        <w:tc>
          <w:tcPr/>
          <w:p>
            <w:pPr>
              <w:pStyle w:val="Compact"/>
              <w:jc w:val="left"/>
            </w:pPr>
            <w:r>
              <w:t xml:space="preserve">Permafrost thaw</w:t>
            </w:r>
          </w:p>
        </w:tc>
        <w:tc>
          <w:tcPr/>
          <w:p>
            <w:pPr>
              <w:pStyle w:val="Compact"/>
              <w:jc w:val="left"/>
            </w:pPr>
            <w:r>
              <w:t xml:space="preserve">Release of long-dormant propagules</w:t>
            </w:r>
          </w:p>
        </w:tc>
        <w:tc>
          <w:tcPr/>
          <w:p>
            <w:pPr>
              <w:pStyle w:val="Compact"/>
              <w:jc w:val="left"/>
            </w:pPr>
            <w:r>
              <w:t xml:space="preserve">Revival of cold-preserved taxa</w:t>
            </w:r>
          </w:p>
        </w:tc>
        <w:tc>
          <w:tcPr/>
          <w:p>
            <w:pPr>
              <w:pStyle w:val="Compact"/>
              <w:jc w:val="left"/>
            </w:pPr>
            <w:r>
              <w:t xml:space="preserve">None documented</w:t>
            </w:r>
          </w:p>
        </w:tc>
        <w:tc>
          <w:tcPr/>
          <w:p>
            <w:pPr>
              <w:pStyle w:val="Compact"/>
              <w:jc w:val="left"/>
            </w:pPr>
            <w:r>
              <w:t xml:space="preserve">Hypothesis</w:t>
            </w:r>
            <w:r>
              <w:t xml:space="preserve"> </w:t>
            </w:r>
            <w:r>
              <w:t xml:space="preserve">(</w:t>
            </w:r>
            <w:hyperlink w:anchor="ref-wu2022">
              <w:r>
                <w:rPr>
                  <w:rStyle w:val="Hyperlink"/>
                </w:rPr>
                <w:t xml:space="preserve">Wu et al. 2022</w:t>
              </w:r>
            </w:hyperlink>
            <w:r>
              <w:t xml:space="preserve">;</w:t>
            </w:r>
            <w:r>
              <w:t xml:space="preserve"> </w:t>
            </w:r>
            <w:hyperlink w:anchor="ref-alempic2023">
              <w:r>
                <w:rPr>
                  <w:rStyle w:val="Hyperlink"/>
                </w:rPr>
                <w:t xml:space="preserve">Alempic et al. 2023</w:t>
              </w:r>
            </w:hyperlink>
            <w:r>
              <w:t xml:space="preserve">)</w:t>
            </w:r>
          </w:p>
        </w:tc>
      </w:tr>
      <w:tr>
        <w:tc>
          <w:tcPr/>
          <w:p>
            <w:pPr>
              <w:pStyle w:val="Compact"/>
              <w:jc w:val="left"/>
            </w:pPr>
            <w:r>
              <w:t xml:space="preserve">Heat wave, chronic warming</w:t>
            </w:r>
          </w:p>
        </w:tc>
        <w:tc>
          <w:tcPr/>
          <w:p>
            <w:pPr>
              <w:pStyle w:val="Compact"/>
              <w:jc w:val="left"/>
            </w:pPr>
            <w:r>
              <w:t xml:space="preserve">Sustained thermal selection and mutagenesis</w:t>
            </w:r>
          </w:p>
        </w:tc>
        <w:tc>
          <w:tcPr/>
          <w:p>
            <w:pPr>
              <w:pStyle w:val="Compact"/>
              <w:jc w:val="left"/>
            </w:pPr>
            <w:r>
              <w:t xml:space="preserve">Selection for thermotolerance; temperature-induced mutagenesis</w:t>
            </w:r>
          </w:p>
        </w:tc>
        <w:tc>
          <w:tcPr/>
          <w:p>
            <w:pPr>
              <w:pStyle w:val="Compact"/>
              <w:jc w:val="left"/>
            </w:pPr>
            <w:r>
              <w:t xml:space="preserve">Expanded candidate pathogen pool</w:t>
            </w:r>
          </w:p>
        </w:tc>
        <w:tc>
          <w:tcPr/>
          <w:p>
            <w:pPr>
              <w:pStyle w:val="Compact"/>
              <w:jc w:val="left"/>
            </w:pPr>
            <w:r>
              <w:t xml:space="preserve">Mechanism established; epidemiological link emerging</w:t>
            </w:r>
            <w:r>
              <w:t xml:space="preserve"> </w:t>
            </w:r>
            <w:r>
              <w:t xml:space="preserve">(</w:t>
            </w:r>
            <w:hyperlink w:anchor="ref-gusa2023">
              <w:r>
                <w:rPr>
                  <w:rStyle w:val="Hyperlink"/>
                </w:rPr>
                <w:t xml:space="preserve">Gusa et al. 2023</w:t>
              </w:r>
            </w:hyperlink>
            <w:r>
              <w:t xml:space="preserve">;</w:t>
            </w:r>
            <w:r>
              <w:t xml:space="preserve"> </w:t>
            </w:r>
            <w:hyperlink w:anchor="ref-huang2024">
              <w:r>
                <w:rPr>
                  <w:rStyle w:val="Hyperlink"/>
                </w:rPr>
                <w:t xml:space="preserve">Huang et al. 2024</w:t>
              </w:r>
            </w:hyperlink>
            <w:r>
              <w:t xml:space="preserve">;</w:t>
            </w:r>
            <w:r>
              <w:t xml:space="preserve"> </w:t>
            </w:r>
            <w:hyperlink w:anchor="ref-smith2025">
              <w:r>
                <w:rPr>
                  <w:rStyle w:val="Hyperlink"/>
                </w:rPr>
                <w:t xml:space="preserve">Smith et al. 2025</w:t>
              </w:r>
            </w:hyperlink>
            <w:r>
              <w:t xml:space="preserve">)</w:t>
            </w:r>
          </w:p>
        </w:tc>
      </w:tr>
    </w:tbl>
    <w:bookmarkEnd w:id="65"/>
    <w:bookmarkStart w:id="66" w:name="sec-7-2"/>
    <w:p>
      <w:pPr>
        <w:pStyle w:val="Heading2"/>
      </w:pPr>
      <w:r>
        <w:t xml:space="preserve">7.2 Wind: Tornadoes and tropical cyclones</w:t>
      </w:r>
    </w:p>
    <w:p>
      <w:pPr>
        <w:pStyle w:val="FirstParagraph"/>
      </w:pPr>
      <w:r>
        <w:t xml:space="preserve">The most illustrative case series comes from the is the 2011 Joplin, Missouri F5 tornado, after which a cluster of necrotizing cutaneous mucormycosis due to</w:t>
      </w:r>
      <w:r>
        <w:t xml:space="preserve"> </w:t>
      </w:r>
      <w:r>
        <w:rPr>
          <w:i/>
          <w:iCs/>
        </w:rPr>
        <w:t xml:space="preserve">Apophysomyces</w:t>
      </w:r>
      <w:r>
        <w:t xml:space="preserve"> </w:t>
      </w:r>
      <w:r>
        <w:t xml:space="preserve">species occurred among injured survivors, with penetrating trauma and wound contamination as the shared exposure and high mortality despite surgery and antifungal therapy</w:t>
      </w:r>
      <w:r>
        <w:t xml:space="preserve"> </w:t>
      </w:r>
      <w:r>
        <w:t xml:space="preserve">(</w:t>
      </w:r>
      <w:hyperlink w:anchor="ref-neblettfanfair2012">
        <w:r>
          <w:rPr>
            <w:rStyle w:val="Hyperlink"/>
          </w:rPr>
          <w:t xml:space="preserve">Neblett Fanfair et al. 2012</w:t>
        </w:r>
      </w:hyperlink>
      <w:r>
        <w:t xml:space="preserve">)</w:t>
      </w:r>
      <w:r>
        <w:t xml:space="preserve">. Two features of these infections have long been puzzling: their aggressiveness in previously healthy people, and their occurrence in organisms that are ubiquitous yet rarely cause such disease. The shear-stress experiments discussed in</w:t>
      </w:r>
      <w:r>
        <w:t xml:space="preserve"> </w:t>
      </w:r>
      <w:hyperlink w:anchor="sec-3-3">
        <w:r>
          <w:rPr>
            <w:rStyle w:val="Hyperlink"/>
          </w:rPr>
          <w:t xml:space="preserve">Sect. 3.3</w:t>
        </w:r>
      </w:hyperlink>
      <w:r>
        <w:t xml:space="preserve"> </w:t>
      </w:r>
      <w:r>
        <w:t xml:space="preserve">offer a mechanistic hypothesis — that the disaster event itself transiently reprogrammes the fungus toward hypervirulence before inoculation</w:t>
      </w:r>
      <w:r>
        <w:t xml:space="preserve"> </w:t>
      </w:r>
      <w:r>
        <w:t xml:space="preserve">(</w:t>
      </w:r>
      <w:hyperlink w:anchor="ref-wurster2020">
        <w:r>
          <w:rPr>
            <w:rStyle w:val="Hyperlink"/>
          </w:rPr>
          <w:t xml:space="preserve">Wurster et al.</w:t>
        </w:r>
        <w:r>
          <w:rPr>
            <w:rStyle w:val="Hyperlink"/>
          </w:rPr>
          <w:t xml:space="preserve"> </w:t>
        </w:r>
        <w:r>
          <w:rPr>
            <w:rStyle w:val="Hyperlink"/>
          </w:rPr>
          <w:t xml:space="preserve">2020</w:t>
        </w:r>
      </w:hyperlink>
      <w:r>
        <w:t xml:space="preserve">)</w:t>
      </w:r>
      <w:r>
        <w:t xml:space="preserve">. This experimental evidence also points to a clear prediction: isolates recovered early after such events should show the transient phenotype, which should decay in culture. To our knowledge this prediction has not been tested on outbreak isolates.</w:t>
      </w:r>
    </w:p>
    <w:bookmarkEnd w:id="66"/>
    <w:bookmarkStart w:id="67" w:name="water-floods-humidity-and-sewage"/>
    <w:p>
      <w:pPr>
        <w:pStyle w:val="Heading2"/>
      </w:pPr>
      <w:r>
        <w:t xml:space="preserve">7.3 Water: Floods, humidity and sewage</w:t>
      </w:r>
    </w:p>
    <w:p>
      <w:pPr>
        <w:pStyle w:val="FirstParagraph"/>
      </w:pPr>
      <w:r>
        <w:t xml:space="preserve">Flooding produces the most consistent fungal exposure of any disaster type. After Hurricane Katrina, airborne and settled mould concentrations in flooded New Orleans homes far exceeded those in non-flooded reference homes, and endotoxin and glucan burdens were high; Aspergillus and Penicillium were prominent among the recovered taxa</w:t>
      </w:r>
      <w:r>
        <w:t xml:space="preserve"> </w:t>
      </w:r>
      <w:r>
        <w:t xml:space="preserve">(</w:t>
      </w:r>
      <w:hyperlink w:anchor="ref-chew2006">
        <w:r>
          <w:rPr>
            <w:rStyle w:val="Hyperlink"/>
          </w:rPr>
          <w:t xml:space="preserve">Chew et al. 2006</w:t>
        </w:r>
      </w:hyperlink>
      <w:r>
        <w:t xml:space="preserve">;</w:t>
      </w:r>
      <w:r>
        <w:t xml:space="preserve"> </w:t>
      </w:r>
      <w:hyperlink w:anchor="ref-rao2007">
        <w:r>
          <w:rPr>
            <w:rStyle w:val="Hyperlink"/>
          </w:rPr>
          <w:t xml:space="preserve">Rao et al. 2007</w:t>
        </w:r>
      </w:hyperlink>
      <w:r>
        <w:t xml:space="preserve">)</w:t>
      </w:r>
      <w:r>
        <w:t xml:space="preserve">. Invasive disease, however, remains the exception. It concentrates in immunocompromised residents and in those with heavy remediation exposure, and surveillance after Hurricane Harvey documented few invasive infections in the affected population</w:t>
      </w:r>
      <w:r>
        <w:t xml:space="preserve"> </w:t>
      </w:r>
      <w:r>
        <w:t xml:space="preserve">(</w:t>
      </w:r>
      <w:hyperlink w:anchor="ref-toda2023">
        <w:r>
          <w:rPr>
            <w:rStyle w:val="Hyperlink"/>
          </w:rPr>
          <w:t xml:space="preserve">Toda et al. 2023</w:t>
        </w:r>
      </w:hyperlink>
      <w:r>
        <w:t xml:space="preserve">)</w:t>
      </w:r>
      <w:r>
        <w:t xml:space="preserve">. Floodwater mixed with sewage also disperses organisms and resistance determinants across the built environment. This mechanism is better characterized for bacteria than for fungi and warrants further studies in fungi.</w:t>
      </w:r>
    </w:p>
    <w:bookmarkEnd w:id="67"/>
    <w:bookmarkStart w:id="68" w:name="sec-7-4"/>
    <w:p>
      <w:pPr>
        <w:pStyle w:val="Heading2"/>
      </w:pPr>
      <w:r>
        <w:t xml:space="preserve">7.4 Fire: Pyroaerobiology</w:t>
      </w:r>
    </w:p>
    <w:p>
      <w:pPr>
        <w:pStyle w:val="FirstParagraph"/>
      </w:pPr>
      <w:r>
        <w:t xml:space="preserve">Wildfire smoke was long treated as a chemical and particulate hazard. It is also a biological one: smoke plumes carry viable microbial cells, including fungi, and wildland fire alters the composition and diversity of the atmospheric microbiome, with smoke acting as a transport medium rather than a sterilizing agent</w:t>
      </w:r>
      <w:r>
        <w:t xml:space="preserve"> </w:t>
      </w:r>
      <w:r>
        <w:t xml:space="preserve">(</w:t>
      </w:r>
      <w:hyperlink w:anchor="ref-kobziar2022">
        <w:r>
          <w:rPr>
            <w:rStyle w:val="Hyperlink"/>
          </w:rPr>
          <w:t xml:space="preserve">Kobziar et al. 2022</w:t>
        </w:r>
      </w:hyperlink>
      <w:r>
        <w:t xml:space="preserve">)</w:t>
      </w:r>
      <w:r>
        <w:t xml:space="preserve">. Dispersal of microbes from smoke into soils downwind has since been demonstrated</w:t>
      </w:r>
      <w:r>
        <w:t xml:space="preserve"> </w:t>
      </w:r>
      <w:r>
        <w:t xml:space="preserve">(</w:t>
      </w:r>
      <w:hyperlink w:anchor="ref-ellington2024">
        <w:r>
          <w:rPr>
            <w:rStyle w:val="Hyperlink"/>
          </w:rPr>
          <w:t xml:space="preserve">Ellington et al. 2024</w:t>
        </w:r>
      </w:hyperlink>
      <w:r>
        <w:t xml:space="preserve">)</w:t>
      </w:r>
      <w:r>
        <w:t xml:space="preserve">. The clinical corollary, that wildfire could expand the range or exposure burden of soil-dwelling dimorphic fungi such as</w:t>
      </w:r>
      <w:r>
        <w:t xml:space="preserve"> </w:t>
      </w:r>
      <w:r>
        <w:rPr>
          <w:i/>
          <w:iCs/>
        </w:rPr>
        <w:t xml:space="preserve">Coccidioides</w:t>
      </w:r>
      <w:r>
        <w:t xml:space="preserve">, is a plausible hypothesis with epidemiological support from soil-disturbance occupational outbreaks</w:t>
      </w:r>
      <w:r>
        <w:t xml:space="preserve"> </w:t>
      </w:r>
      <w:r>
        <w:t xml:space="preserve">(</w:t>
      </w:r>
      <w:hyperlink w:anchor="ref-wilken2015">
        <w:r>
          <w:rPr>
            <w:rStyle w:val="Hyperlink"/>
          </w:rPr>
          <w:t xml:space="preserve">Wilken et al. 2015</w:t>
        </w:r>
      </w:hyperlink>
      <w:r>
        <w:t xml:space="preserve">;</w:t>
      </w:r>
      <w:r>
        <w:t xml:space="preserve"> </w:t>
      </w:r>
      <w:hyperlink w:anchor="ref-cooksey2017">
        <w:r>
          <w:rPr>
            <w:rStyle w:val="Hyperlink"/>
          </w:rPr>
          <w:t xml:space="preserve">Sondermeyer Cooksey et al. 2017</w:t>
        </w:r>
      </w:hyperlink>
      <w:r>
        <w:t xml:space="preserve">)</w:t>
      </w:r>
      <w:r>
        <w:t xml:space="preserve">, but direct evidence that fire-borne propagules cause human infection has yet to be established. The field is young and, given the growing frequency of wildfires, will become a more important filed of investigation.</w:t>
      </w:r>
    </w:p>
    <w:bookmarkEnd w:id="68"/>
    <w:bookmarkStart w:id="69" w:name="sec-7-5"/>
    <w:p>
      <w:pPr>
        <w:pStyle w:val="Heading2"/>
      </w:pPr>
      <w:r>
        <w:t xml:space="preserve">7.5 Earth and ice: Seismic events and permafrost</w:t>
      </w:r>
    </w:p>
    <w:p>
      <w:pPr>
        <w:pStyle w:val="FirstParagraph"/>
      </w:pPr>
      <w:r>
        <w:t xml:space="preserve">Earthquakes and tsunamis cause fungal disease through aspiration of contaminated water and direct wound inoculation; case series after natural disasters document pulmonary and cutaneous mycoses, including mucormycosis and aspergillosis</w:t>
      </w:r>
      <w:r>
        <w:t xml:space="preserve"> </w:t>
      </w:r>
      <w:r>
        <w:t xml:space="preserve">(</w:t>
      </w:r>
      <w:hyperlink w:anchor="ref-benedict2014">
        <w:r>
          <w:rPr>
            <w:rStyle w:val="Hyperlink"/>
          </w:rPr>
          <w:t xml:space="preserve">Benedict and Park 2014</w:t>
        </w:r>
      </w:hyperlink>
      <w:r>
        <w:t xml:space="preserve">)</w:t>
      </w:r>
      <w:r>
        <w:t xml:space="preserve">. Permafrost thaw has attracted attention as a potential reservoir of long-dormant organisms, but the evidence consists of laboratory work in which viable microorganisms and giant viruses were recovered and revived from permafrost cores tens of thousands of years old</w:t>
      </w:r>
      <w:r>
        <w:t xml:space="preserve"> </w:t>
      </w:r>
      <w:r>
        <w:t xml:space="preserve">(</w:t>
      </w:r>
      <w:hyperlink w:anchor="ref-wu2022">
        <w:r>
          <w:rPr>
            <w:rStyle w:val="Hyperlink"/>
          </w:rPr>
          <w:t xml:space="preserve">Wu et al. 2022</w:t>
        </w:r>
      </w:hyperlink>
      <w:r>
        <w:t xml:space="preserve">;</w:t>
      </w:r>
      <w:r>
        <w:t xml:space="preserve"> </w:t>
      </w:r>
      <w:hyperlink w:anchor="ref-alempic2023">
        <w:r>
          <w:rPr>
            <w:rStyle w:val="Hyperlink"/>
          </w:rPr>
          <w:t xml:space="preserve">Alempic et al. 2023</w:t>
        </w:r>
      </w:hyperlink>
      <w:r>
        <w:t xml:space="preserve">)</w:t>
      </w:r>
      <w:r>
        <w:t xml:space="preserve">. The fact that such organisms can survive and resume replication after prolonged freezing is a demonstration of physical possibility in fungi. No human infection has been traced to a thaw-released organism, and their is no evidence that revived organisms are infectious to humans, how they would reach a susceptible host, or at what rate thaw releases them. For fungi in particular, the more plausible risk is ecological: cold-adapted taxa expanding into warming soils, rather than the emergence of an ancient human pathogen.</w:t>
      </w:r>
    </w:p>
    <w:bookmarkEnd w:id="69"/>
    <w:bookmarkStart w:id="70" w:name="the-host-side-of-disaster-mycology"/>
    <w:p>
      <w:pPr>
        <w:pStyle w:val="Heading2"/>
      </w:pPr>
      <w:r>
        <w:t xml:space="preserve">7.6 The host side of disaster mycology</w:t>
      </w:r>
    </w:p>
    <w:p>
      <w:pPr>
        <w:pStyle w:val="FirstParagraph"/>
      </w:pPr>
      <w:r>
        <w:t xml:space="preserve">Disasters act at least as strongly on hosts as on fungi. Barrier disruption through trauma, penetrating woulds and burns, congregate sheltering, interruption of antifungal prophylaxis and immunosuppressive regimens, displacement, malnutrition and psychological stress all increase susceptibility. Climate exposures themselves have measurable effects on immune function, with evidence spanning innate and adaptive compartments, epithelial barrier integrity, oxidative stress and pro-inflammatory signalling</w:t>
      </w:r>
      <w:r>
        <w:t xml:space="preserve"> </w:t>
      </w:r>
      <w:r>
        <w:t xml:space="preserve">(</w:t>
      </w:r>
      <w:hyperlink w:anchor="ref-imberti2025">
        <w:r>
          <w:rPr>
            <w:rStyle w:val="Hyperlink"/>
          </w:rPr>
          <w:t xml:space="preserve">Imberti et al. 2025</w:t>
        </w:r>
      </w:hyperlink>
      <w:r>
        <w:t xml:space="preserve">)</w:t>
      </w:r>
      <w:r>
        <w:t xml:space="preserve">. Warming and pollution are independently implicated in epithelial barrier dysfunction in the airway and skin</w:t>
      </w:r>
      <w:r>
        <w:t xml:space="preserve"> </w:t>
      </w:r>
      <w:r>
        <w:t xml:space="preserve">(</w:t>
      </w:r>
      <w:hyperlink w:anchor="ref-celebisozener2023">
        <w:r>
          <w:rPr>
            <w:rStyle w:val="Hyperlink"/>
          </w:rPr>
          <w:t xml:space="preserve">Çelebi Sözener et al. 2023</w:t>
        </w:r>
      </w:hyperlink>
      <w:r>
        <w:t xml:space="preserve">)</w:t>
      </w:r>
      <w:r>
        <w:t xml:space="preserve">. Insect bites, which shift with warming-driven changes in arthropod distribution, are an underappreciated route of cutaneous inoculation of moulds in immunocompromised patients</w:t>
      </w:r>
      <w:r>
        <w:t xml:space="preserve"> </w:t>
      </w:r>
      <w:r>
        <w:t xml:space="preserve">(</w:t>
      </w:r>
      <w:hyperlink w:anchor="ref-kontoyiannis2019">
        <w:r>
          <w:rPr>
            <w:rStyle w:val="Hyperlink"/>
          </w:rPr>
          <w:t xml:space="preserve">Kontoyiannis et al. 2019</w:t>
        </w:r>
      </w:hyperlink>
      <w:r>
        <w:t xml:space="preserve">)</w:t>
      </w:r>
      <w:r>
        <w:t xml:space="preserve">, and the possibility that warming increases invertebrate-associated cutaneous invasive fungal infection</w:t>
      </w:r>
      <w:r>
        <w:t xml:space="preserve"> </w:t>
      </w:r>
      <w:r>
        <w:t xml:space="preserve">(</w:t>
      </w:r>
      <w:hyperlink w:anchor="ref-kontoyiannis2025">
        <w:r>
          <w:rPr>
            <w:rStyle w:val="Hyperlink"/>
          </w:rPr>
          <w:t xml:space="preserve">Kontoyiannis and Casadevall 2025</w:t>
        </w:r>
      </w:hyperlink>
      <w:r>
        <w:t xml:space="preserve">)</w:t>
      </w:r>
      <w:r>
        <w:t xml:space="preserve">. These host-side effects fall disproportionately on poor populations, in whom pre-existing immune compromise, where occupational exposure s and delayed care are often compounded</w:t>
      </w:r>
      <w:r>
        <w:t xml:space="preserve"> </w:t>
      </w:r>
      <w:r>
        <w:t xml:space="preserve">(</w:t>
      </w:r>
      <w:hyperlink w:anchor="ref-jenks2023">
        <w:r>
          <w:rPr>
            <w:rStyle w:val="Hyperlink"/>
          </w:rPr>
          <w:t xml:space="preserve">Jenks et al. 2023</w:t>
        </w:r>
      </w:hyperlink>
      <w:r>
        <w:t xml:space="preserve">)</w:t>
      </w:r>
      <w:r>
        <w:t xml:space="preserve">.</w:t>
      </w:r>
    </w:p>
    <w:bookmarkEnd w:id="70"/>
    <w:bookmarkEnd w:id="71"/>
    <w:bookmarkStart w:id="75" w:name="sec-8"/>
    <w:p>
      <w:pPr>
        <w:pStyle w:val="Heading1"/>
      </w:pPr>
      <w:r>
        <w:t xml:space="preserve">8. Ecosystem and One Health Dimensions</w:t>
      </w:r>
    </w:p>
    <w:bookmarkStart w:id="72" w:name="sec-8-1"/>
    <w:p>
      <w:pPr>
        <w:pStyle w:val="Heading2"/>
      </w:pPr>
      <w:r>
        <w:t xml:space="preserve">8.1 Plant pathogens, food security and mycotoxins</w:t>
      </w:r>
    </w:p>
    <w:p>
      <w:pPr>
        <w:pStyle w:val="FirstParagraph"/>
      </w:pPr>
      <w:r>
        <w:t xml:space="preserve">The climate signal in plant-pathogenic fungi is better established than any comparable signal in medical mycology. Crop pests and pathogens have shifted poleward at rates consistent with the movement of warming isotherms</w:t>
      </w:r>
      <w:r>
        <w:t xml:space="preserve"> </w:t>
      </w:r>
      <w:r>
        <w:t xml:space="preserve">(</w:t>
      </w:r>
      <w:hyperlink w:anchor="ref-bebber2013">
        <w:r>
          <w:rPr>
            <w:rStyle w:val="Hyperlink"/>
          </w:rPr>
          <w:t xml:space="preserve">Bebber et al. 2013</w:t>
        </w:r>
      </w:hyperlink>
      <w:r>
        <w:t xml:space="preserve">)</w:t>
      </w:r>
      <w:r>
        <w:t xml:space="preserve">, and infection risk for major crop pathogens tracks climate variables that also govern yield</w:t>
      </w:r>
      <w:r>
        <w:t xml:space="preserve"> </w:t>
      </w:r>
      <w:r>
        <w:t xml:space="preserve">(</w:t>
      </w:r>
      <w:hyperlink w:anchor="ref-chaloner2021">
        <w:r>
          <w:rPr>
            <w:rStyle w:val="Hyperlink"/>
          </w:rPr>
          <w:t xml:space="preserve">Chaloner et al. 2021</w:t>
        </w:r>
      </w:hyperlink>
      <w:r>
        <w:t xml:space="preserve">)</w:t>
      </w:r>
      <w:r>
        <w:t xml:space="preserve">. Together these provide a measured direction and rate of range change, tied to a climate variable, across many pathogen species.</w:t>
      </w:r>
    </w:p>
    <w:p>
      <w:pPr>
        <w:pStyle w:val="BodyText"/>
      </w:pPr>
      <w:r>
        <w:t xml:space="preserve">The consequences for food security and the adaptation options available have been synthesized in detail</w:t>
      </w:r>
      <w:r>
        <w:t xml:space="preserve"> </w:t>
      </w:r>
      <w:r>
        <w:t xml:space="preserve">(</w:t>
      </w:r>
      <w:hyperlink w:anchor="ref-singh2023">
        <w:r>
          <w:rPr>
            <w:rStyle w:val="Hyperlink"/>
          </w:rPr>
          <w:t xml:space="preserve">Singh et al. 2023</w:t>
        </w:r>
      </w:hyperlink>
      <w:r>
        <w:t xml:space="preserve">)</w:t>
      </w:r>
      <w:r>
        <w:t xml:space="preserve">. Mycotoxin risk is shifting alongside this range expansion. Modelling of aflatoxin B1 in European maize projects higher contamination risk under warming scenarios, with the northern limit of significant risk moving into regions that are currently unaffected</w:t>
      </w:r>
      <w:r>
        <w:t xml:space="preserve"> </w:t>
      </w:r>
      <w:r>
        <w:t xml:space="preserve">(</w:t>
      </w:r>
      <w:hyperlink w:anchor="ref-battilani2016">
        <w:r>
          <w:rPr>
            <w:rStyle w:val="Hyperlink"/>
          </w:rPr>
          <w:t xml:space="preserve">Battilani et al. 2016</w:t>
        </w:r>
      </w:hyperlink>
      <w:r>
        <w:t xml:space="preserve">)</w:t>
      </w:r>
      <w:r>
        <w:t xml:space="preserve">. Reviews of climate effects on mycotoxin-producing fungi and their toxin profiles reach concordant conclusions</w:t>
      </w:r>
      <w:r>
        <w:t xml:space="preserve"> </w:t>
      </w:r>
      <w:r>
        <w:t xml:space="preserve">(</w:t>
      </w:r>
      <w:hyperlink w:anchor="ref-medina2017">
        <w:r>
          <w:rPr>
            <w:rStyle w:val="Hyperlink"/>
          </w:rPr>
          <w:t xml:space="preserve">Medina et al. 2017</w:t>
        </w:r>
      </w:hyperlink>
      <w:r>
        <w:t xml:space="preserve">;</w:t>
      </w:r>
      <w:r>
        <w:t xml:space="preserve"> </w:t>
      </w:r>
      <w:hyperlink w:anchor="ref-zingales2022">
        <w:r>
          <w:rPr>
            <w:rStyle w:val="Hyperlink"/>
          </w:rPr>
          <w:t xml:space="preserve">Zingales et al. 2022</w:t>
        </w:r>
      </w:hyperlink>
      <w:r>
        <w:t xml:space="preserve">;</w:t>
      </w:r>
      <w:r>
        <w:t xml:space="preserve"> </w:t>
      </w:r>
      <w:hyperlink w:anchor="ref-casu2024">
        <w:r>
          <w:rPr>
            <w:rStyle w:val="Hyperlink"/>
          </w:rPr>
          <w:t xml:space="preserve">Casu et al. 2024</w:t>
        </w:r>
      </w:hyperlink>
      <w:r>
        <w:t xml:space="preserve">)</w:t>
      </w:r>
      <w:r>
        <w:t xml:space="preserve">. These patterns are of interest because mycotoxin production is a stress-responsive trait in fungi</w:t>
      </w:r>
      <w:r>
        <w:t xml:space="preserve"> </w:t>
      </w:r>
      <w:r>
        <w:t xml:space="preserve">(</w:t>
      </w:r>
      <w:hyperlink w:anchor="ref-Schmidt-Heydt2008">
        <w:r>
          <w:rPr>
            <w:rStyle w:val="Hyperlink"/>
          </w:rPr>
          <w:t xml:space="preserve">Schmidt-Heydt et al. 2008</w:t>
        </w:r>
      </w:hyperlink>
      <w:r>
        <w:t xml:space="preserve">)</w:t>
      </w:r>
      <w:r>
        <w:t xml:space="preserve">. The same warming that moves these fungi also changes what they synthesize once they arrive.</w:t>
      </w:r>
    </w:p>
    <w:bookmarkEnd w:id="72"/>
    <w:bookmarkStart w:id="73" w:name="sec-8-2"/>
    <w:p>
      <w:pPr>
        <w:pStyle w:val="Heading2"/>
      </w:pPr>
      <w:r>
        <w:t xml:space="preserve">8.2 Wildlife panzootics as natural thermal experiments</w:t>
      </w:r>
    </w:p>
    <w:p>
      <w:pPr>
        <w:pStyle w:val="FirstParagraph"/>
      </w:pPr>
      <w:r>
        <w:t xml:space="preserve">The clearest demonstrations that climate-associated fungal disease can cause mass mortality come from ectothermic and heterothermic animals, not humans. Chytridiomycosis caused by</w:t>
      </w:r>
      <w:r>
        <w:t xml:space="preserve"> </w:t>
      </w:r>
      <w:r>
        <w:rPr>
          <w:i/>
          <w:iCs/>
        </w:rPr>
        <w:t xml:space="preserve">Batrachochytrium dendrobatidis</w:t>
      </w:r>
      <w:r>
        <w:t xml:space="preserve"> </w:t>
      </w:r>
      <w:r>
        <w:t xml:space="preserve">has driven the greatest documented loss of biodiversity attributable to a single pathogen, affecting hundreds of amphibian species</w:t>
      </w:r>
      <w:r>
        <w:t xml:space="preserve"> </w:t>
      </w:r>
      <w:r>
        <w:t xml:space="preserve">(</w:t>
      </w:r>
      <w:hyperlink w:anchor="ref-scheele2019">
        <w:r>
          <w:rPr>
            <w:rStyle w:val="Hyperlink"/>
          </w:rPr>
          <w:t xml:space="preserve">Scheele et al. 2019</w:t>
        </w:r>
      </w:hyperlink>
      <w:r>
        <w:t xml:space="preserve">;</w:t>
      </w:r>
      <w:r>
        <w:t xml:space="preserve"> </w:t>
      </w:r>
      <w:hyperlink w:anchor="ref-fisher2020">
        <w:r>
          <w:rPr>
            <w:rStyle w:val="Hyperlink"/>
          </w:rPr>
          <w:t xml:space="preserve">Fisher and Garner 2020</w:t>
        </w:r>
      </w:hyperlink>
      <w:r>
        <w:t xml:space="preserve">)</w:t>
      </w:r>
      <w:r>
        <w:t xml:space="preserve">. Its congener</w:t>
      </w:r>
      <w:r>
        <w:t xml:space="preserve"> </w:t>
      </w:r>
      <w:r>
        <w:rPr>
          <w:i/>
          <w:iCs/>
        </w:rPr>
        <w:t xml:space="preserve">B. salamandrivorans</w:t>
      </w:r>
      <w:r>
        <w:t xml:space="preserve"> </w:t>
      </w:r>
      <w:r>
        <w:t xml:space="preserve">emerged subsequently as a lethal pathogen of salamanders</w:t>
      </w:r>
      <w:r>
        <w:t xml:space="preserve"> </w:t>
      </w:r>
      <w:r>
        <w:t xml:space="preserve">(</w:t>
      </w:r>
      <w:hyperlink w:anchor="ref-martel2013">
        <w:r>
          <w:rPr>
            <w:rStyle w:val="Hyperlink"/>
          </w:rPr>
          <w:t xml:space="preserve">Martel et al. 2013</w:t>
        </w:r>
      </w:hyperlink>
      <w:r>
        <w:t xml:space="preserve">)</w:t>
      </w:r>
      <w:r>
        <w:t xml:space="preserve">. Thermal biology is central:</w:t>
      </w:r>
      <w:r>
        <w:t xml:space="preserve"> </w:t>
      </w:r>
      <w:r>
        <w:rPr>
          <w:i/>
          <w:iCs/>
        </w:rPr>
        <w:t xml:space="preserve">B. dendrobatidis</w:t>
      </w:r>
      <w:r>
        <w:t xml:space="preserve"> </w:t>
      </w:r>
      <w:r>
        <w:t xml:space="preserve">grows optimally well below mammalian body temperature and its thermal performance varies among isolates</w:t>
      </w:r>
      <w:r>
        <w:t xml:space="preserve"> </w:t>
      </w:r>
      <w:r>
        <w:t xml:space="preserve">(</w:t>
      </w:r>
      <w:hyperlink w:anchor="ref-stevenson2013">
        <w:r>
          <w:rPr>
            <w:rStyle w:val="Hyperlink"/>
          </w:rPr>
          <w:t xml:space="preserve">Stevenson et al. 2013</w:t>
        </w:r>
      </w:hyperlink>
      <w:r>
        <w:t xml:space="preserve">)</w:t>
      </w:r>
      <w:r>
        <w:t xml:space="preserve">, and climate and temperature variability have been linked to the pattern of amphibian declines</w:t>
      </w:r>
      <w:r>
        <w:t xml:space="preserve"> </w:t>
      </w:r>
      <w:r>
        <w:t xml:space="preserve">(</w:t>
      </w:r>
      <w:hyperlink w:anchor="ref-rohr2010">
        <w:r>
          <w:rPr>
            <w:rStyle w:val="Hyperlink"/>
          </w:rPr>
          <w:t xml:space="preserve">Rohr and Raffel 2010</w:t>
        </w:r>
      </w:hyperlink>
      <w:r>
        <w:t xml:space="preserve">)</w:t>
      </w:r>
      <w:r>
        <w:t xml:space="preserve">. White-nose syndrome, caused by the cold-adapted</w:t>
      </w:r>
      <w:r>
        <w:t xml:space="preserve"> </w:t>
      </w:r>
      <w:r>
        <w:rPr>
          <w:i/>
          <w:iCs/>
        </w:rPr>
        <w:t xml:space="preserve">Pseudogymnoascus destructans</w:t>
      </w:r>
      <w:r>
        <w:t xml:space="preserve">, kills hibernating bats precisely because torpor lowers body temperature into the fungus’s permissive range</w:t>
      </w:r>
      <w:r>
        <w:t xml:space="preserve"> </w:t>
      </w:r>
      <w:r>
        <w:t xml:space="preserve">(</w:t>
      </w:r>
      <w:hyperlink w:anchor="ref-blehert2009">
        <w:r>
          <w:rPr>
            <w:rStyle w:val="Hyperlink"/>
          </w:rPr>
          <w:t xml:space="preserve">Blehert et al. 2009</w:t>
        </w:r>
      </w:hyperlink>
      <w:r>
        <w:t xml:space="preserve">)</w:t>
      </w:r>
      <w:r>
        <w:t xml:space="preserve">.</w:t>
      </w:r>
    </w:p>
    <w:p>
      <w:pPr>
        <w:pStyle w:val="BodyText"/>
      </w:pPr>
      <w:r>
        <w:t xml:space="preserve">These systems support the central mechanistic claim that disease occurs where host and fungal thermal ranges overlap. The mammalian thermal barrier is a quantitative constraint: raising host temperature above the pathogen’s ceiling is protective, while lowering it is potentially catastrophic. They also show where the consequences of warming have landed to date. The documented harms are ecological, falling on amphibians, other ectotherms and plants, rather than clinical in humans. No comparable warming-attributable burden of human fungal disease has yet been demonstrated</w:t>
      </w:r>
      <w:r>
        <w:t xml:space="preserve"> </w:t>
      </w:r>
      <w:r>
        <w:t xml:space="preserve">(</w:t>
      </w:r>
      <w:hyperlink w:anchor="ref-fisher2012">
        <w:r>
          <w:rPr>
            <w:rStyle w:val="Hyperlink"/>
          </w:rPr>
          <w:t xml:space="preserve">Fisher et al. 2012</w:t>
        </w:r>
      </w:hyperlink>
      <w:r>
        <w:t xml:space="preserve">;</w:t>
      </w:r>
      <w:r>
        <w:t xml:space="preserve"> </w:t>
      </w:r>
      <w:hyperlink w:anchor="ref-case2025">
        <w:r>
          <w:rPr>
            <w:rStyle w:val="Hyperlink"/>
          </w:rPr>
          <w:t xml:space="preserve">Case et al. 2025</w:t>
        </w:r>
      </w:hyperlink>
      <w:r>
        <w:t xml:space="preserve">)</w:t>
      </w:r>
      <w:r>
        <w:t xml:space="preserve">.</w:t>
      </w:r>
    </w:p>
    <w:bookmarkEnd w:id="73"/>
    <w:bookmarkStart w:id="74" w:name="sec-8-3"/>
    <w:p>
      <w:pPr>
        <w:pStyle w:val="Heading2"/>
      </w:pPr>
      <w:r>
        <w:t xml:space="preserve">8.3 Fungi as mitigators of human climatic effects</w:t>
      </w:r>
    </w:p>
    <w:p>
      <w:pPr>
        <w:pStyle w:val="FirstParagraph"/>
      </w:pPr>
      <w:r>
        <w:t xml:space="preserve">A chapter that treats fungi only as hazards would misrepresent the kingdom. Fungal catabolic versatility underpins bioremediation of hydrocarbons, pesticides, dyes and other hazardous chemicals</w:t>
      </w:r>
      <w:r>
        <w:t xml:space="preserve"> </w:t>
      </w:r>
      <w:r>
        <w:t xml:space="preserve">(</w:t>
      </w:r>
      <w:hyperlink w:anchor="ref-harms2011">
        <w:r>
          <w:rPr>
            <w:rStyle w:val="Hyperlink"/>
          </w:rPr>
          <w:t xml:space="preserve">Harms et al. 2011</w:t>
        </w:r>
      </w:hyperlink>
      <w:r>
        <w:t xml:space="preserve">)</w:t>
      </w:r>
      <w:r>
        <w:t xml:space="preserve">, and fungal degradation of recalcitrant synthetic polymers, including polyester–polyurethane by</w:t>
      </w:r>
      <w:r>
        <w:t xml:space="preserve"> </w:t>
      </w:r>
      <w:r>
        <w:rPr>
          <w:i/>
          <w:iCs/>
        </w:rPr>
        <w:t xml:space="preserve">Aspergillus tubingensis</w:t>
      </w:r>
      <w:r>
        <w:t xml:space="preserve">, is an active applied field</w:t>
      </w:r>
      <w:r>
        <w:t xml:space="preserve"> </w:t>
      </w:r>
      <w:r>
        <w:t xml:space="preserve">(</w:t>
      </w:r>
      <w:hyperlink w:anchor="ref-khan2017">
        <w:r>
          <w:rPr>
            <w:rStyle w:val="Hyperlink"/>
          </w:rPr>
          <w:t xml:space="preserve">Khan et al. 2017</w:t>
        </w:r>
      </w:hyperlink>
      <w:r>
        <w:t xml:space="preserve">)</w:t>
      </w:r>
      <w:r>
        <w:t xml:space="preserve">. At ecosystem scale, mycorrhizal networks constitute one of the largest annual terrestrial carbon fluxes</w:t>
      </w:r>
      <w:r>
        <w:t xml:space="preserve"> </w:t>
      </w:r>
      <w:r>
        <w:t xml:space="preserve">(</w:t>
      </w:r>
      <w:hyperlink w:anchor="ref-hawkins2023">
        <w:r>
          <w:rPr>
            <w:rStyle w:val="Hyperlink"/>
          </w:rPr>
          <w:t xml:space="preserve">Hawkins et al. 2023</w:t>
        </w:r>
      </w:hyperlink>
      <w:r>
        <w:t xml:space="preserve">)</w:t>
      </w:r>
      <w:r>
        <w:t xml:space="preserve">, and fungal contributions to Earth-system processes are now argued to warrant explicit representation in global change science</w:t>
      </w:r>
      <w:r>
        <w:t xml:space="preserve"> </w:t>
      </w:r>
      <w:r>
        <w:t xml:space="preserve">(</w:t>
      </w:r>
      <w:hyperlink w:anchor="ref-case2025">
        <w:r>
          <w:rPr>
            <w:rStyle w:val="Hyperlink"/>
          </w:rPr>
          <w:t xml:space="preserve">Case et al. 2025</w:t>
        </w:r>
      </w:hyperlink>
      <w:r>
        <w:t xml:space="preserve">)</w:t>
      </w:r>
      <w:r>
        <w:t xml:space="preserve">. How fungi respond to a warming planet therefore matters well beyond infectious disease. The same physiological and distributional shifts that determine pathogenic potential also govern the degradative and symbiotic functions, including the mycorrhizal carbon flux.</w:t>
      </w:r>
    </w:p>
    <w:bookmarkEnd w:id="74"/>
    <w:bookmarkEnd w:id="75"/>
    <w:bookmarkStart w:id="76" w:name="sec-9"/>
    <w:p>
      <w:pPr>
        <w:pStyle w:val="Heading1"/>
      </w:pPr>
      <w:r>
        <w:t xml:space="preserve">9. Is a Human Fungal Pandemic Plausible?</w:t>
      </w:r>
    </w:p>
    <w:p>
      <w:pPr>
        <w:pStyle w:val="FirstParagraph"/>
      </w:pPr>
      <w:r>
        <w:t xml:space="preserve">The popular imagination has been captured by the premise of a thermally adapted fungus turning epidemic in humans — a premise drawn from entomopathogenic fungi that manipulate insect behaviour</w:t>
      </w:r>
      <w:r>
        <w:t xml:space="preserve"> </w:t>
      </w:r>
      <w:r>
        <w:t xml:space="preserve">(</w:t>
      </w:r>
      <w:hyperlink w:anchor="ref-hughes2011">
        <w:r>
          <w:rPr>
            <w:rStyle w:val="Hyperlink"/>
          </w:rPr>
          <w:t xml:space="preserve">Hughes et al. 2011</w:t>
        </w:r>
      </w:hyperlink>
      <w:r>
        <w:t xml:space="preserve">)</w:t>
      </w:r>
      <w:r>
        <w:t xml:space="preserve"> </w:t>
      </w:r>
      <w:r>
        <w:t xml:space="preserve">and elaborated in video games and television series such as</w:t>
      </w:r>
      <w:r>
        <w:t xml:space="preserve"> </w:t>
      </w:r>
      <w:r>
        <w:rPr>
          <w:i/>
          <w:iCs/>
        </w:rPr>
        <w:t xml:space="preserve">The LAst of Us</w:t>
      </w:r>
      <w:r>
        <w:t xml:space="preserve">. The scientific version of the argument is more measured: warming increases the number of thermotolerant fungal species, urban warming accelerates fungal growth, the thermal gradient between mammals and environmental fungi is narrowing from both ends, and the overwhelming majority of fungal species remain uncharacterized</w:t>
      </w:r>
      <w:r>
        <w:t xml:space="preserve"> </w:t>
      </w:r>
      <w:r>
        <w:t xml:space="preserve">(</w:t>
      </w:r>
      <w:hyperlink w:anchor="ref-garciasolache2010">
        <w:r>
          <w:rPr>
            <w:rStyle w:val="Hyperlink"/>
          </w:rPr>
          <w:t xml:space="preserve">Garcia-Solache and Casadevall 2010</w:t>
        </w:r>
      </w:hyperlink>
      <w:r>
        <w:t xml:space="preserve">;</w:t>
      </w:r>
      <w:r>
        <w:t xml:space="preserve"> </w:t>
      </w:r>
      <w:hyperlink w:anchor="ref-casadevall2020">
        <w:r>
          <w:rPr>
            <w:rStyle w:val="Hyperlink"/>
          </w:rPr>
          <w:t xml:space="preserve">Casadevall 2020</w:t>
        </w:r>
      </w:hyperlink>
      <w:r>
        <w:t xml:space="preserve">;</w:t>
      </w:r>
      <w:r>
        <w:t xml:space="preserve"> </w:t>
      </w:r>
      <w:hyperlink w:anchor="ref-nnadi2021">
        <w:r>
          <w:rPr>
            <w:rStyle w:val="Hyperlink"/>
          </w:rPr>
          <w:t xml:space="preserve">Nnadi and Carter 2021</w:t>
        </w:r>
      </w:hyperlink>
      <w:r>
        <w:t xml:space="preserve">)</w:t>
      </w:r>
      <w:r>
        <w:t xml:space="preserve">. The arguments against a human fungal pandemic are that the thermal exclusion gradient remains wide (</w:t>
      </w:r>
      <w:hyperlink w:anchor="sec-2-2">
        <w:r>
          <w:rPr>
            <w:rStyle w:val="Hyperlink"/>
          </w:rPr>
          <w:t xml:space="preserve">Sect. 2.2</w:t>
        </w:r>
      </w:hyperlink>
      <w:r>
        <w:t xml:space="preserve">); thermal adaptation in natural populations is slow relative to the timescale of human existance, and the assembly of pathogenicity requires multiple traits beyond thermotolerance alone</w:t>
      </w:r>
      <w:r>
        <w:t xml:space="preserve"> </w:t>
      </w:r>
      <w:r>
        <w:t xml:space="preserve">(</w:t>
      </w:r>
      <w:hyperlink w:anchor="ref-rokas2022">
        <w:r>
          <w:rPr>
            <w:rStyle w:val="Hyperlink"/>
          </w:rPr>
          <w:t xml:space="preserve">Rokas 2022</w:t>
        </w:r>
      </w:hyperlink>
      <w:r>
        <w:t xml:space="preserve">)</w:t>
      </w:r>
      <w:r>
        <w:t xml:space="preserve">. Moreover, relative to other pathogens (e.g, bacterial and viral) fungal host tropism is typically narrow, with no precedent for a host jump of the required magnitude.</w:t>
      </w:r>
    </w:p>
    <w:p>
      <w:pPr>
        <w:pStyle w:val="BodyText"/>
      </w:pPr>
      <w:r>
        <w:t xml:space="preserve">A fungal lineage capable of pandemic behaviour in humans would need to demonstrate: (i)</w:t>
      </w:r>
      <w:r>
        <w:t xml:space="preserve"> </w:t>
      </w:r>
      <w:r>
        <w:rPr>
          <w:i/>
          <w:iCs/>
        </w:rPr>
        <w:t xml:space="preserve">heritable</w:t>
      </w:r>
      <w:r>
        <w:t xml:space="preserve"> </w:t>
      </w:r>
      <w:r>
        <w:t xml:space="preserve">growth and replication at 36–37 °C, not merely survival; (ii) evasion of innate immune effectors in immunocompetent hosts, not only in neutropenic or transplant populations; (iii) an efficient route of human-to-human transmission, or an environmental exposure route of very high density; (iv) a reservoir in which selection is sustained between outbreaks; and (v) sufficient genetic variability to escape the small number of available antifungal classes.</w:t>
      </w:r>
    </w:p>
    <w:p>
      <w:pPr>
        <w:pStyle w:val="BodyText"/>
      </w:pPr>
      <w:r>
        <w:t xml:space="preserve">Assessed against these criteria,</w:t>
      </w:r>
      <w:r>
        <w:t xml:space="preserve"> </w:t>
      </w:r>
      <w:r>
        <w:rPr>
          <w:i/>
          <w:iCs/>
        </w:rPr>
        <w:t xml:space="preserve">C. auris</w:t>
      </w:r>
      <w:r>
        <w:t xml:space="preserve"> </w:t>
      </w:r>
      <w:r>
        <w:t xml:space="preserve">is perhaps the most instructive: it satisfies (i), (iv) and (v), partially satisfies (iii) through healthcare-associated transmission, and fails (ii), since disease remains concentrated in patients with substantial comorbidity. Crucially,</w:t>
      </w:r>
      <w:r>
        <w:t xml:space="preserve"> </w:t>
      </w:r>
      <w:r>
        <w:rPr>
          <w:i/>
          <w:iCs/>
        </w:rPr>
        <w:t xml:space="preserve">C. auris</w:t>
      </w:r>
      <w:r>
        <w:t xml:space="preserve"> </w:t>
      </w:r>
      <w:r>
        <w:t xml:space="preserve">did not need to acquire thermotolerance — it appears already to have possessed it</w:t>
      </w:r>
      <w:r>
        <w:t xml:space="preserve"> </w:t>
      </w:r>
      <w:r>
        <w:t xml:space="preserve">(</w:t>
      </w:r>
      <w:hyperlink w:anchor="ref-casadevall2019">
        <w:r>
          <w:rPr>
            <w:rStyle w:val="Hyperlink"/>
          </w:rPr>
          <w:t xml:space="preserve">Casadevall et al. 2019</w:t>
        </w:r>
      </w:hyperlink>
      <w:r>
        <w:t xml:space="preserve">;</w:t>
      </w:r>
      <w:r>
        <w:t xml:space="preserve"> </w:t>
      </w:r>
      <w:hyperlink w:anchor="ref-arora2021">
        <w:r>
          <w:rPr>
            <w:rStyle w:val="Hyperlink"/>
          </w:rPr>
          <w:t xml:space="preserve">Arora et al. 2021</w:t>
        </w:r>
      </w:hyperlink>
      <w:r>
        <w:t xml:space="preserve">)</w:t>
      </w:r>
      <w:r>
        <w:t xml:space="preserve">. The organism that comes closest to pandemic criteria therefore does so by a route that seems to have little to do with global warming.</w:t>
      </w:r>
    </w:p>
    <w:p>
      <w:pPr>
        <w:pStyle w:val="BodyText"/>
      </w:pPr>
      <w:r>
        <w:t xml:space="preserve">These criteria translate into indicators that existing surveillance could track. Five are worth specifying: (i) recovery of thermotolerant opportunists from environments where they have not previously been detected; (ii) emergence of resistance within a single host during therapy, in genera not previously known for it; (iii) clusters of invasive disease in immunocompetent people; (iv) antifungal resistance appearing in environmental isolates before it appears in clinical ones</w:t>
      </w:r>
      <w:r>
        <w:t xml:space="preserve"> </w:t>
      </w:r>
      <w:r>
        <w:t xml:space="preserve">(</w:t>
      </w:r>
      <w:hyperlink w:anchor="ref-vanrhijn2025">
        <w:r>
          <w:rPr>
            <w:rStyle w:val="Hyperlink"/>
          </w:rPr>
          <w:t xml:space="preserve">van Rhijn and Rhodes</w:t>
        </w:r>
        <w:r>
          <w:rPr>
            <w:rStyle w:val="Hyperlink"/>
          </w:rPr>
          <w:t xml:space="preserve"> </w:t>
        </w:r>
        <w:r>
          <w:rPr>
            <w:rStyle w:val="Hyperlink"/>
          </w:rPr>
          <w:t xml:space="preserve">2025</w:t>
        </w:r>
      </w:hyperlink>
      <w:r>
        <w:t xml:space="preserve">;</w:t>
      </w:r>
      <w:r>
        <w:t xml:space="preserve"> </w:t>
      </w:r>
      <w:hyperlink w:anchor="ref-bedard2025">
        <w:r>
          <w:rPr>
            <w:rStyle w:val="Hyperlink"/>
          </w:rPr>
          <w:t xml:space="preserve">Bédard et al. 2025</w:t>
        </w:r>
      </w:hyperlink>
      <w:r>
        <w:t xml:space="preserve">)</w:t>
      </w:r>
      <w:r>
        <w:t xml:space="preserve">; and (v) post-disaster infection clusters involving unusual organisms. None of these depends on new technology. Each depends on sustained sampling, consistent species-level identification, and linkage between environmental and clinical datasets.</w:t>
      </w:r>
    </w:p>
    <w:bookmarkEnd w:id="76"/>
    <w:bookmarkStart w:id="81" w:name="sec-10"/>
    <w:p>
      <w:pPr>
        <w:pStyle w:val="Heading1"/>
      </w:pPr>
      <w:r>
        <w:t xml:space="preserve">10. A Research and Response Agenda</w:t>
      </w:r>
    </w:p>
    <w:bookmarkStart w:id="77" w:name="sec-10-1"/>
    <w:p>
      <w:pPr>
        <w:pStyle w:val="Heading2"/>
      </w:pPr>
      <w:r>
        <w:t xml:space="preserve">10.1 Experimental systems</w:t>
      </w:r>
    </w:p>
    <w:p>
      <w:pPr>
        <w:pStyle w:val="FirstParagraph"/>
      </w:pPr>
      <w:r>
        <w:t xml:space="preserve">Progress in this field is limited by model systems more than by ideas. Invertebrate mini-host models, in particular</w:t>
      </w:r>
      <w:r>
        <w:t xml:space="preserve"> </w:t>
      </w:r>
      <w:r>
        <w:rPr>
          <w:i/>
          <w:iCs/>
        </w:rPr>
        <w:t xml:space="preserve">Drosophila melanogaster</w:t>
      </w:r>
      <w:r>
        <w:t xml:space="preserve">, allow throughput-scale virulence comparison across many isolates and temperatures and have been validated for the study of medically important fungi, including Mucorales</w:t>
      </w:r>
      <w:r>
        <w:t xml:space="preserve"> </w:t>
      </w:r>
      <w:r>
        <w:t xml:space="preserve">(</w:t>
      </w:r>
      <w:hyperlink w:anchor="ref-chamilos2006">
        <w:r>
          <w:rPr>
            <w:rStyle w:val="Hyperlink"/>
          </w:rPr>
          <w:t xml:space="preserve">Chamilos et al. 2006</w:t>
        </w:r>
      </w:hyperlink>
      <w:r>
        <w:t xml:space="preserve">,</w:t>
      </w:r>
      <w:r>
        <w:t xml:space="preserve"> </w:t>
      </w:r>
      <w:hyperlink w:anchor="ref-chamilos2008">
        <w:r>
          <w:rPr>
            <w:rStyle w:val="Hyperlink"/>
          </w:rPr>
          <w:t xml:space="preserve">2008</w:t>
        </w:r>
      </w:hyperlink>
      <w:r>
        <w:t xml:space="preserve">)</w:t>
      </w:r>
      <w:r>
        <w:t xml:space="preserve">. Their central advantage for climate work is</w:t>
      </w:r>
      <w:r>
        <w:t xml:space="preserve"> </w:t>
      </w:r>
      <w:r>
        <w:rPr>
          <w:i/>
          <w:iCs/>
        </w:rPr>
        <w:t xml:space="preserve">poikilothermy:</w:t>
      </w:r>
      <w:r>
        <w:t xml:space="preserve"> </w:t>
      </w:r>
      <w:r>
        <w:t xml:space="preserve">host temperature becomes an independent experimental variable rather than a fixed constant, which no mammalian model permits. A design of this kind — several</w:t>
      </w:r>
      <w:r>
        <w:t xml:space="preserve"> </w:t>
      </w:r>
      <w:r>
        <w:rPr>
          <w:i/>
          <w:iCs/>
        </w:rPr>
        <w:t xml:space="preserve">T. indotineae</w:t>
      </w:r>
      <w:r>
        <w:t xml:space="preserve"> </w:t>
      </w:r>
      <w:r>
        <w:t xml:space="preserve">isolates grown at 37 °C and 42 °C, with and without topical corticosteroid exposure, compared against</w:t>
      </w:r>
      <w:r>
        <w:t xml:space="preserve"> </w:t>
      </w:r>
      <w:r>
        <w:rPr>
          <w:i/>
          <w:iCs/>
        </w:rPr>
        <w:t xml:space="preserve">T. rubrum</w:t>
      </w:r>
      <w:r>
        <w:t xml:space="preserve"> </w:t>
      </w:r>
      <w:r>
        <w:t xml:space="preserve">and</w:t>
      </w:r>
      <w:r>
        <w:t xml:space="preserve"> </w:t>
      </w:r>
      <w:r>
        <w:rPr>
          <w:i/>
          <w:iCs/>
        </w:rPr>
        <w:t xml:space="preserve">Rhizopus</w:t>
      </w:r>
      <w:r>
        <w:t xml:space="preserve"> </w:t>
      </w:r>
      <w:r>
        <w:t xml:space="preserve">controls in a thoracic-pricking fly model — would test strain-to-strain variability in thermal virulence enhancement in a dermatophyte, which to our knowledge has not been done.</w:t>
      </w:r>
    </w:p>
    <w:p>
      <w:pPr>
        <w:pStyle w:val="BodyText"/>
      </w:pPr>
      <w:r>
        <w:t xml:space="preserve">For cutaneous pathogens, three-dimensional human tissue systems can serve as a complementary model. Reconstructed human epidermis, skin organoids and porcine or human skin explants permit infection at physiological skin surface temperature, roughly 32–34 °C, rather than core temperature, which is the thermal niche that matters for dermatophytes.</w:t>
      </w:r>
    </w:p>
    <w:p>
      <w:pPr>
        <w:pStyle w:val="BodyText"/>
      </w:pPr>
      <w:r>
        <w:t xml:space="preserve">Adaptation itself calls for a different design. Serial passage or continuous culture under controlled thermal regimes remains the decisive approach, because it is the only one that distinguishes heritable change from reversible acclimation. As proof of principle, continuous culture of</w:t>
      </w:r>
      <w:r>
        <w:t xml:space="preserve"> </w:t>
      </w:r>
      <w:r>
        <w:rPr>
          <w:i/>
          <w:iCs/>
        </w:rPr>
        <w:t xml:space="preserve">Metarhizium anisopliae</w:t>
      </w:r>
      <w:r>
        <w:t xml:space="preserve"> </w:t>
      </w:r>
      <w:r>
        <w:t xml:space="preserve">over 22 growth-and-dilution cycles produced variants growing robustly at 36.5–37 °C, a temperature inhibitory to the parent strain, while retaining insect pathogenicity</w:t>
      </w:r>
      <w:r>
        <w:t xml:space="preserve"> </w:t>
      </w:r>
      <w:r>
        <w:t xml:space="preserve">(</w:t>
      </w:r>
      <w:hyperlink w:anchor="ref-decrecy2009">
        <w:r>
          <w:rPr>
            <w:rStyle w:val="Hyperlink"/>
          </w:rPr>
          <w:t xml:space="preserve">de Crécy et al.</w:t>
        </w:r>
        <w:r>
          <w:rPr>
            <w:rStyle w:val="Hyperlink"/>
          </w:rPr>
          <w:t xml:space="preserve"> </w:t>
        </w:r>
        <w:r>
          <w:rPr>
            <w:rStyle w:val="Hyperlink"/>
          </w:rPr>
          <w:t xml:space="preserve">2009</w:t>
        </w:r>
      </w:hyperlink>
      <w:r>
        <w:t xml:space="preserve">)</w:t>
      </w:r>
      <w:r>
        <w:t xml:space="preserve">. The advatnages of such an experimental system are worth highlighting. The founder population is archived at the outset, and evolved and ancestral lines are re-phenotyped side by side under identical conditions at the end, so that any difference between them reflects evolved change rather than the conditions under which each was grown (</w:t>
      </w:r>
      <w:hyperlink w:anchor="tbl-claims">
        <w:r>
          <w:rPr>
            <w:rStyle w:val="Hyperlink"/>
          </w:rPr>
          <w:t xml:space="preserve">Table 2</w:t>
        </w:r>
      </w:hyperlink>
      <w:r>
        <w:t xml:space="preserve">).</w:t>
      </w:r>
    </w:p>
    <w:bookmarkEnd w:id="77"/>
    <w:bookmarkStart w:id="78" w:name="sec-10-2"/>
    <w:p>
      <w:pPr>
        <w:pStyle w:val="Heading2"/>
      </w:pPr>
      <w:r>
        <w:t xml:space="preserve">10.2 Integrating climate data with genomic surveillance</w:t>
      </w:r>
    </w:p>
    <w:p>
      <w:pPr>
        <w:pStyle w:val="FirstParagraph"/>
      </w:pPr>
      <w:r>
        <w:t xml:space="preserve">The gap identified in</w:t>
      </w:r>
      <w:r>
        <w:t xml:space="preserve"> </w:t>
      </w:r>
      <w:hyperlink w:anchor="sec-4-6">
        <w:r>
          <w:rPr>
            <w:rStyle w:val="Hyperlink"/>
          </w:rPr>
          <w:t xml:space="preserve">Sect. 4.6</w:t>
        </w:r>
      </w:hyperlink>
      <w:r>
        <w:t xml:space="preserve"> </w:t>
      </w:r>
      <w:r>
        <w:t xml:space="preserve">can be closed. What it calls for is sampling the environment rather than patients, along gradients where climate differs in a known way: from south to north, from city centre to surrounding countryside, or at one site before and after a disturbance such as a flood. Every isolate would be stored, sequenced, then grown and tested in the laboratory alongside the others under identical conditions, so that any difference between them reflects the organisms themselves rather than the conditions they came from. Competing explanations would be measured rather than assumed-i.e. exposure to antifungal drugs and agricultural fungicides, how the land is used, how many hosts are present, and how hard anyone has been looking. Standard climate datasets already provide matching temperature and moisture records at a fine enough scale. The same design works at any size. Its smallest form compares paired city neighbourhoods that differ in summer temperature</w:t>
      </w:r>
      <w:r>
        <w:t xml:space="preserve"> </w:t>
      </w:r>
      <w:r>
        <w:t xml:space="preserve">(</w:t>
      </w:r>
      <w:hyperlink w:anchor="ref-smith2025">
        <w:r>
          <w:rPr>
            <w:rStyle w:val="Hyperlink"/>
          </w:rPr>
          <w:t xml:space="preserve">Smith et al. 2025</w:t>
        </w:r>
      </w:hyperlink>
      <w:r>
        <w:t xml:space="preserve">)</w:t>
      </w:r>
      <w:r>
        <w:t xml:space="preserve">. Its largest would sample the environment across several countries for</w:t>
      </w:r>
      <w:r>
        <w:t xml:space="preserve"> </w:t>
      </w:r>
      <w:r>
        <w:rPr>
          <w:i/>
          <w:iCs/>
        </w:rPr>
        <w:t xml:space="preserve">Candidozyma auris</w:t>
      </w:r>
      <w:r>
        <w:t xml:space="preserve">, testing the wetland origin hypothesis directly.</w:t>
      </w:r>
    </w:p>
    <w:bookmarkEnd w:id="78"/>
    <w:bookmarkStart w:id="79" w:name="sec-10-3"/>
    <w:p>
      <w:pPr>
        <w:pStyle w:val="Heading2"/>
      </w:pPr>
      <w:r>
        <w:t xml:space="preserve">10.3 Multidisciplinary and policy infrastructure</w:t>
      </w:r>
    </w:p>
    <w:p>
      <w:pPr>
        <w:pStyle w:val="FirstParagraph"/>
      </w:pPr>
      <w:r>
        <w:t xml:space="preserve">The questions raised here cannot be answered by mycology researchers alone. They require collaboration with climatology experts and remote sensing for exposure modelling, engineering and building science for post-disaster remediation, veterinary and wildlife science for reservoir work, social science and health economics for the susceptibility gradient, and public health policy for surveillance mandates. Fungal disease remains largely absent from national climate–health adaptation planning despite the WHO priority pathogen framework</w:t>
      </w:r>
      <w:r>
        <w:t xml:space="preserve"> </w:t>
      </w:r>
      <w:r>
        <w:t xml:space="preserve">(</w:t>
      </w:r>
      <w:hyperlink w:anchor="ref-fisher2023">
        <w:r>
          <w:rPr>
            <w:rStyle w:val="Hyperlink"/>
          </w:rPr>
          <w:t xml:space="preserve">Fisher and Denning 2023</w:t>
        </w:r>
      </w:hyperlink>
      <w:r>
        <w:t xml:space="preserve">)</w:t>
      </w:r>
      <w:r>
        <w:t xml:space="preserve">, and antifungal resistance sits awkwardly outside much of the antimicrobial-resistance policy architecture</w:t>
      </w:r>
      <w:r>
        <w:t xml:space="preserve"> </w:t>
      </w:r>
      <w:r>
        <w:t xml:space="preserve">(</w:t>
      </w:r>
      <w:hyperlink w:anchor="ref-fisher2022">
        <w:r>
          <w:rPr>
            <w:rStyle w:val="Hyperlink"/>
          </w:rPr>
          <w:t xml:space="preserve">Fisher et al. 2022</w:t>
        </w:r>
      </w:hyperlink>
      <w:r>
        <w:t xml:space="preserve">;</w:t>
      </w:r>
      <w:r>
        <w:t xml:space="preserve"> </w:t>
      </w:r>
      <w:hyperlink w:anchor="ref-kalanxhi2026">
        <w:r>
          <w:rPr>
            <w:rStyle w:val="Hyperlink"/>
          </w:rPr>
          <w:t xml:space="preserve">Kalanxhi and Laxminarayan 2026</w:t>
        </w:r>
      </w:hyperlink>
      <w:r>
        <w:t xml:space="preserve">)</w:t>
      </w:r>
      <w:r>
        <w:t xml:space="preserve">. Clearly, invasive fungal diseases should be included in climate–health surveillance, and environmental antifungal-resistance monitoring alongside agricultural fungicide reporting. Public and professional education is the third, and the least expensive policy goal for future programs.</w:t>
      </w:r>
    </w:p>
    <w:bookmarkEnd w:id="79"/>
    <w:bookmarkStart w:id="80" w:name="sec-10-4"/>
    <w:p>
      <w:pPr>
        <w:pStyle w:val="Heading2"/>
      </w:pPr>
      <w:r>
        <w:t xml:space="preserve">10.4 Ten Priority Questions</w:t>
      </w:r>
    </w:p>
    <w:p>
      <w:pPr>
        <w:pStyle w:val="Compact"/>
        <w:numPr>
          <w:ilvl w:val="0"/>
          <w:numId w:val="1001"/>
        </w:numPr>
      </w:pPr>
      <w:r>
        <w:t xml:space="preserve">How do interactions with plants, bacteria and amoebae in the environment shape fungal virulence and resistance traits that later manifest in mammalian hosts?</w:t>
      </w:r>
    </w:p>
    <w:p>
      <w:pPr>
        <w:pStyle w:val="Compact"/>
        <w:numPr>
          <w:ilvl w:val="0"/>
          <w:numId w:val="1001"/>
        </w:numPr>
      </w:pPr>
      <w:r>
        <w:t xml:space="preserve">What is the eco-evolutionary framework for fungal thermal adaptation, and which variables besides mean temperature — precipitation, diurnal and seasonal thermal variance, light regime, pollution, urbanization — modulate it?</w:t>
      </w:r>
    </w:p>
    <w:p>
      <w:pPr>
        <w:pStyle w:val="Compact"/>
        <w:numPr>
          <w:ilvl w:val="0"/>
          <w:numId w:val="1001"/>
        </w:numPr>
      </w:pPr>
      <w:r>
        <w:t xml:space="preserve">Is climate-associated adaptation in fungal pathogens driven by genetic microevolution and selection, by reversible plasticity, or by epigenetic mechanisms such as epimutation?</w:t>
      </w:r>
    </w:p>
    <w:p>
      <w:pPr>
        <w:pStyle w:val="Compact"/>
        <w:numPr>
          <w:ilvl w:val="0"/>
          <w:numId w:val="1001"/>
        </w:numPr>
      </w:pPr>
      <w:r>
        <w:t xml:space="preserve">Can thermal stress, as distinct from drug exposure, induce epimutation?</w:t>
      </w:r>
    </w:p>
    <w:p>
      <w:pPr>
        <w:pStyle w:val="Compact"/>
        <w:numPr>
          <w:ilvl w:val="0"/>
          <w:numId w:val="1001"/>
        </w:numPr>
      </w:pPr>
      <w:r>
        <w:t xml:space="preserve">Does growth on microplastic substrates alter fungal growth, morphogenesis, stress tolerance, antifungal susceptibility, phagocyte interaction and virulence?</w:t>
      </w:r>
    </w:p>
    <w:p>
      <w:pPr>
        <w:pStyle w:val="Compact"/>
        <w:numPr>
          <w:ilvl w:val="0"/>
          <w:numId w:val="1001"/>
        </w:numPr>
      </w:pPr>
      <w:r>
        <w:t xml:space="preserve">Do post-disaster clinical isolates display the transient hypervirulent phenotype predicted by shear-stress experiments, and how quickly does it decay in culture?</w:t>
      </w:r>
    </w:p>
    <w:p>
      <w:pPr>
        <w:pStyle w:val="Compact"/>
        <w:numPr>
          <w:ilvl w:val="0"/>
          <w:numId w:val="1001"/>
        </w:numPr>
      </w:pPr>
      <w:r>
        <w:t xml:space="preserve">Which fungal pathogens are climate-insensitive, and what does their insensitivity teach us about the mechanisms operating in the sensitive ones?</w:t>
      </w:r>
    </w:p>
    <w:p>
      <w:pPr>
        <w:pStyle w:val="Compact"/>
        <w:numPr>
          <w:ilvl w:val="0"/>
          <w:numId w:val="1001"/>
        </w:numPr>
      </w:pPr>
      <w:r>
        <w:t xml:space="preserve">Does wildfire smoke transport viable propagules of dimorphic pathogens at epidemiologically relevant doses?</w:t>
      </w:r>
    </w:p>
    <w:p>
      <w:pPr>
        <w:pStyle w:val="Compact"/>
        <w:numPr>
          <w:ilvl w:val="0"/>
          <w:numId w:val="1001"/>
        </w:numPr>
      </w:pPr>
      <w:r>
        <w:t xml:space="preserve">What is the relative contribution of climatic versus antifungal-selection pressure to the emergence of resistant dermatophytes and</w:t>
      </w:r>
      <w:r>
        <w:t xml:space="preserve"> </w:t>
      </w:r>
      <w:r>
        <w:rPr>
          <w:i/>
          <w:iCs/>
        </w:rPr>
        <w:t xml:space="preserve">A. fumigatus</w:t>
      </w:r>
      <w:r>
        <w:t xml:space="preserve"> </w:t>
      </w:r>
      <w:r>
        <w:t xml:space="preserve">genotypes?</w:t>
      </w:r>
    </w:p>
    <w:p>
      <w:pPr>
        <w:pStyle w:val="Compact"/>
        <w:numPr>
          <w:ilvl w:val="0"/>
          <w:numId w:val="1001"/>
        </w:numPr>
      </w:pPr>
      <w:r>
        <w:t xml:space="preserve">Can environmental surveillance detect thermotolerant opportunists before they appear clinically, and at what cost per detection?</w:t>
      </w:r>
    </w:p>
    <w:bookmarkEnd w:id="80"/>
    <w:bookmarkEnd w:id="81"/>
    <w:bookmarkStart w:id="329" w:name="sec-11"/>
    <w:p>
      <w:pPr>
        <w:pStyle w:val="Heading1"/>
      </w:pPr>
      <w:r>
        <w:t xml:space="preserve">11. Conclusions</w:t>
      </w:r>
    </w:p>
    <w:p>
      <w:pPr>
        <w:pStyle w:val="FirstParagraph"/>
      </w:pPr>
      <w:r>
        <w:t xml:space="preserve">Three conclusions can be summarized from the currently available evidence on the effects of climate change on fungi. First, the mechanistic case that thermal and physical stress change fungal phenotype and genotype is now strong and no longer speculative: growth at elevated temperature increases virulence through defined signalling pathways, host temperature mobilizes transposable elements and induces mutations that confer resistance and hypervirulence, and physical stresses characteristic of extreme weather act through the same stress-integration architecture. These are laboratory-established mechanisms with identified molecular components, not correlations.</w:t>
      </w:r>
    </w:p>
    <w:p>
      <w:pPr>
        <w:pStyle w:val="BodyText"/>
      </w:pPr>
      <w:r>
        <w:t xml:space="preserve">Second, the epidemiological case that climate change has produced specific new human fungal pathogens remains unproven, and the gap is one of study design rather than of plausibility. The emergence most often cited as evidence —</w:t>
      </w:r>
      <w:r>
        <w:t xml:space="preserve"> </w:t>
      </w:r>
      <w:r>
        <w:rPr>
          <w:i/>
          <w:iCs/>
        </w:rPr>
        <w:t xml:space="preserve">C. auris</w:t>
      </w:r>
      <w:r>
        <w:t xml:space="preserve">,</w:t>
      </w:r>
      <w:r>
        <w:t xml:space="preserve"> </w:t>
      </w:r>
      <w:r>
        <w:rPr>
          <w:i/>
          <w:iCs/>
        </w:rPr>
        <w:t xml:space="preserve">T. indotineae</w:t>
      </w:r>
      <w:r>
        <w:t xml:space="preserve">, azole-resistant</w:t>
      </w:r>
      <w:r>
        <w:t xml:space="preserve"> </w:t>
      </w:r>
      <w:r>
        <w:rPr>
          <w:i/>
          <w:iCs/>
        </w:rPr>
        <w:t xml:space="preserve">A. fumigatus</w:t>
      </w:r>
      <w:r>
        <w:t xml:space="preserve"> </w:t>
      </w:r>
      <w:r>
        <w:t xml:space="preserve">— each have better-documented non-climatic drivers, while the mycosis with the clearest climate signal, coccidioidomycosis, involves no fungal adaptation at all. Where climate-associated fungal disease has demonstrably caused mass mortality, it has been in ectothermic and hibernating animals, exactly where thermal overlap between host and pathogen is greatest.</w:t>
      </w:r>
    </w:p>
    <w:p>
      <w:pPr>
        <w:pStyle w:val="BodyText"/>
      </w:pPr>
      <w:r>
        <w:t xml:space="preserve">Third, the prospect of a human fungal pandemic driven by thermal adaptation remains improbable based on current evidence, and stating this clearly should be a scientific responsibility of the mycology field. The credible risks are more mundane and tractable: wider geographic exposure to established pathogens, more frequent post-disaster infection clusters, an enlarging environmental reservoir of antifungal resistance, and a growing population of susceptible hosts. All four are addressable with existing tools, and none requires a pandemic to justify attention.</w:t>
      </w:r>
    </w:p>
    <w:bookmarkStart w:id="328" w:name="acknowledgements"/>
    <w:p>
      <w:pPr>
        <w:pStyle w:val="Heading2"/>
      </w:pPr>
      <w:r>
        <w:t xml:space="preserve">Acknowledgements</w:t>
      </w:r>
    </w:p>
    <w:p>
      <w:pPr>
        <w:pStyle w:val="FirstParagraph"/>
      </w:pPr>
      <w:r>
        <w:rPr>
          <w:i/>
          <w:iCs/>
        </w:rPr>
        <w:t xml:space="preserve">DPK:</w:t>
      </w:r>
    </w:p>
    <w:bookmarkStart w:id="327" w:name="refs"/>
    <w:bookmarkStart w:id="83" w:name="ref-alempic2023"/>
    <w:p>
      <w:pPr>
        <w:pStyle w:val="Bibliography"/>
      </w:pPr>
      <w:r>
        <w:t xml:space="preserve">Alempic J-M, Lartigue A, Goncharov AE, et al (2023) An update on eukaryotic viruses revived from ancient permafrost. Viruses 15:564.</w:t>
      </w:r>
      <w:r>
        <w:t xml:space="preserve"> </w:t>
      </w:r>
      <w:hyperlink r:id="rId82">
        <w:r>
          <w:rPr>
            <w:rStyle w:val="Hyperlink"/>
          </w:rPr>
          <w:t xml:space="preserve">https://doi.org/10.3390/v15020564</w:t>
        </w:r>
      </w:hyperlink>
    </w:p>
    <w:bookmarkEnd w:id="83"/>
    <w:bookmarkStart w:id="85" w:name="ref-arora2021"/>
    <w:p>
      <w:pPr>
        <w:pStyle w:val="Bibliography"/>
      </w:pPr>
      <w:r>
        <w:t xml:space="preserve">Arora P, Singh P, Wang Y, et al (2021) Environmental isolation of candida auris from the coastal wetlands of andaman islands, india. mBio 12:</w:t>
      </w:r>
      <w:r>
        <w:t xml:space="preserve"> </w:t>
      </w:r>
      <w:hyperlink r:id="rId84">
        <w:r>
          <w:rPr>
            <w:rStyle w:val="Hyperlink"/>
          </w:rPr>
          <w:t xml:space="preserve">https://doi.org/10.1128/mbio.03181-20</w:t>
        </w:r>
      </w:hyperlink>
    </w:p>
    <w:bookmarkEnd w:id="85"/>
    <w:bookmarkStart w:id="87" w:name="ref-astvad2022"/>
    <w:p>
      <w:pPr>
        <w:pStyle w:val="Bibliography"/>
      </w:pPr>
      <w:r>
        <w:t xml:space="preserve">Astvad KMT, Hare RK, Jørgensen KM, et al (2022) Increasing terbinafine resistance in danish trichophyton isolates 2019–2020. Journal of Fungi 8:150.</w:t>
      </w:r>
      <w:r>
        <w:t xml:space="preserve"> </w:t>
      </w:r>
      <w:hyperlink r:id="rId86">
        <w:r>
          <w:rPr>
            <w:rStyle w:val="Hyperlink"/>
          </w:rPr>
          <w:t xml:space="preserve">https://doi.org/10.3390/jof8020150</w:t>
        </w:r>
      </w:hyperlink>
    </w:p>
    <w:bookmarkEnd w:id="87"/>
    <w:bookmarkStart w:id="89" w:name="ref-baddley2011"/>
    <w:p>
      <w:pPr>
        <w:pStyle w:val="Bibliography"/>
      </w:pPr>
      <w:r>
        <w:t xml:space="preserve">Baddley J (2011) Geographic distribution of endemic fungal infections among older persons, united states. Emerging Infectious Diseases 17:1664–1669.</w:t>
      </w:r>
      <w:r>
        <w:t xml:space="preserve"> </w:t>
      </w:r>
      <w:hyperlink r:id="rId88">
        <w:r>
          <w:rPr>
            <w:rStyle w:val="Hyperlink"/>
          </w:rPr>
          <w:t xml:space="preserve">https://doi.org/10.3201/eid1709.101987</w:t>
        </w:r>
      </w:hyperlink>
    </w:p>
    <w:bookmarkEnd w:id="89"/>
    <w:bookmarkStart w:id="91" w:name="ref-baker2022"/>
    <w:p>
      <w:pPr>
        <w:pStyle w:val="Bibliography"/>
      </w:pPr>
      <w:r>
        <w:t xml:space="preserve">Baker RE, Mahmud AS, Miller IF, et al (2022) Infectious disease in an era of global change. Nature Reviews Microbiology 20:193–205.</w:t>
      </w:r>
      <w:r>
        <w:t xml:space="preserve"> </w:t>
      </w:r>
      <w:hyperlink r:id="rId90">
        <w:r>
          <w:rPr>
            <w:rStyle w:val="Hyperlink"/>
          </w:rPr>
          <w:t xml:space="preserve">https://doi.org/10.1038/s41579-021-00639-z</w:t>
        </w:r>
      </w:hyperlink>
    </w:p>
    <w:bookmarkEnd w:id="91"/>
    <w:bookmarkStart w:id="93" w:name="ref-battilani2016"/>
    <w:p>
      <w:pPr>
        <w:pStyle w:val="Bibliography"/>
      </w:pPr>
      <w:r>
        <w:t xml:space="preserve">Battilani P, Toscano P, Van der Fels-Klerx HJ, et al (2016) Aflatoxin B1 contamination in maize in europe increases due to climate change. Scientific Reports 6:</w:t>
      </w:r>
      <w:r>
        <w:t xml:space="preserve"> </w:t>
      </w:r>
      <w:hyperlink r:id="rId92">
        <w:r>
          <w:rPr>
            <w:rStyle w:val="Hyperlink"/>
          </w:rPr>
          <w:t xml:space="preserve">https://doi.org/10.1038/srep24328</w:t>
        </w:r>
      </w:hyperlink>
    </w:p>
    <w:bookmarkEnd w:id="93"/>
    <w:bookmarkStart w:id="95" w:name="ref-bebber2013"/>
    <w:p>
      <w:pPr>
        <w:pStyle w:val="Bibliography"/>
      </w:pPr>
      <w:r>
        <w:t xml:space="preserve">Bebber DP, Ramotowski MAT, Gurr SJ (2013) Crop pests and pathogens move polewards in a warming world. Nature Climate Change 3:985–988.</w:t>
      </w:r>
      <w:r>
        <w:t xml:space="preserve"> </w:t>
      </w:r>
      <w:hyperlink r:id="rId94">
        <w:r>
          <w:rPr>
            <w:rStyle w:val="Hyperlink"/>
          </w:rPr>
          <w:t xml:space="preserve">https://doi.org/10.1038/nclimate1990</w:t>
        </w:r>
      </w:hyperlink>
    </w:p>
    <w:bookmarkEnd w:id="95"/>
    <w:bookmarkStart w:id="97" w:name="ref-bedard2025"/>
    <w:p>
      <w:pPr>
        <w:pStyle w:val="Bibliography"/>
      </w:pPr>
      <w:r>
        <w:t xml:space="preserve">Bédard C, Pageau A, Fijarczyk A, et al (2025) FungAMR: A comprehensive database for investigating fungal mutations associated with antimicrobial resistance. Nature Microbiology 10:2338–2352.</w:t>
      </w:r>
      <w:r>
        <w:t xml:space="preserve"> </w:t>
      </w:r>
      <w:hyperlink r:id="rId96">
        <w:r>
          <w:rPr>
            <w:rStyle w:val="Hyperlink"/>
          </w:rPr>
          <w:t xml:space="preserve">https://doi.org/10.1038/s41564-025-02084-7</w:t>
        </w:r>
      </w:hyperlink>
    </w:p>
    <w:bookmarkEnd w:id="97"/>
    <w:bookmarkStart w:id="99" w:name="ref-benedict2014"/>
    <w:p>
      <w:pPr>
        <w:pStyle w:val="Bibliography"/>
      </w:pPr>
      <w:r>
        <w:t xml:space="preserve">Benedict K, Park BJ (2014) Invasive fungal infections after natural disasters. Emerging Infectious Diseases 20:349–355.</w:t>
      </w:r>
      <w:r>
        <w:t xml:space="preserve"> </w:t>
      </w:r>
      <w:hyperlink r:id="rId98">
        <w:r>
          <w:rPr>
            <w:rStyle w:val="Hyperlink"/>
          </w:rPr>
          <w:t xml:space="preserve">https://doi.org/10.3201/eid2003.131230</w:t>
        </w:r>
      </w:hyperlink>
    </w:p>
    <w:bookmarkEnd w:id="99"/>
    <w:bookmarkStart w:id="101" w:name="ref-bennett2014"/>
    <w:p>
      <w:pPr>
        <w:pStyle w:val="Bibliography"/>
      </w:pPr>
      <w:r>
        <w:t xml:space="preserve">Bennett RJ, Forche A, Berman J (2014) Rapid mechanisms for generating genome diversity: Whole ploidy shifts, aneuploidy, and loss of heterozygosity. Cold Spring Harbor Perspectives in Medicine 4:a019604–a019604.</w:t>
      </w:r>
      <w:r>
        <w:t xml:space="preserve"> </w:t>
      </w:r>
      <w:hyperlink r:id="rId100">
        <w:r>
          <w:rPr>
            <w:rStyle w:val="Hyperlink"/>
          </w:rPr>
          <w:t xml:space="preserve">https://doi.org/10.1101/cshperspect.a019604</w:t>
        </w:r>
      </w:hyperlink>
    </w:p>
    <w:bookmarkEnd w:id="101"/>
    <w:bookmarkStart w:id="103" w:name="ref-berger2017"/>
    <w:p>
      <w:pPr>
        <w:pStyle w:val="Bibliography"/>
      </w:pPr>
      <w:r>
        <w:t xml:space="preserve">Berger S, El Chazli Y, Babu AF, Coste AT (2017) Azole resistance in aspergillus fumigatus: A consequence of antifungal use in agriculture? Frontiers in Microbiology 8:</w:t>
      </w:r>
      <w:r>
        <w:t xml:space="preserve"> </w:t>
      </w:r>
      <w:hyperlink r:id="rId102">
        <w:r>
          <w:rPr>
            <w:rStyle w:val="Hyperlink"/>
          </w:rPr>
          <w:t xml:space="preserve">https://doi.org/10.3389/fmicb.2017.01024</w:t>
        </w:r>
      </w:hyperlink>
    </w:p>
    <w:bookmarkEnd w:id="103"/>
    <w:bookmarkStart w:id="105" w:name="ref-bergman2010"/>
    <w:p>
      <w:pPr>
        <w:pStyle w:val="Bibliography"/>
      </w:pPr>
      <w:r>
        <w:t xml:space="preserve">Bergman A, Casadevall A (2010) Mammalian endothermy optimally restricts fungi and metabolic costs. mBio 1:</w:t>
      </w:r>
      <w:r>
        <w:t xml:space="preserve"> </w:t>
      </w:r>
      <w:hyperlink r:id="rId104">
        <w:r>
          <w:rPr>
            <w:rStyle w:val="Hyperlink"/>
          </w:rPr>
          <w:t xml:space="preserve">https://doi.org/10.1128/mbio.00212-10</w:t>
        </w:r>
      </w:hyperlink>
    </w:p>
    <w:bookmarkEnd w:id="105"/>
    <w:bookmarkStart w:id="107" w:name="ref-billmyre2014"/>
    <w:p>
      <w:pPr>
        <w:pStyle w:val="Bibliography"/>
      </w:pPr>
      <w:r>
        <w:t xml:space="preserve">Billmyre RB, Croll D, Li W, et al (2014) Highly recombinant VGII cryptococcus gattii population develops clonal outbreak clusters through both sexual macroevolution and asexual microevolution. mBio 5:</w:t>
      </w:r>
      <w:r>
        <w:t xml:space="preserve"> </w:t>
      </w:r>
      <w:hyperlink r:id="rId106">
        <w:r>
          <w:rPr>
            <w:rStyle w:val="Hyperlink"/>
          </w:rPr>
          <w:t xml:space="preserve">https://doi.org/10.1128/mbio.01494-14</w:t>
        </w:r>
      </w:hyperlink>
    </w:p>
    <w:bookmarkEnd w:id="107"/>
    <w:bookmarkStart w:id="109" w:name="ref-blehert2009"/>
    <w:p>
      <w:pPr>
        <w:pStyle w:val="Bibliography"/>
      </w:pPr>
      <w:r>
        <w:t xml:space="preserve">Blehert DS, Hicks AC, Behr M, et al (2009) Bat white-nose syndrome: An emerging fungal pathogen? Science 323:227–227.</w:t>
      </w:r>
      <w:r>
        <w:t xml:space="preserve"> </w:t>
      </w:r>
      <w:hyperlink r:id="rId108">
        <w:r>
          <w:rPr>
            <w:rStyle w:val="Hyperlink"/>
          </w:rPr>
          <w:t xml:space="preserve">https://doi.org/10.1126/science.1163874</w:t>
        </w:r>
      </w:hyperlink>
    </w:p>
    <w:bookmarkEnd w:id="109"/>
    <w:bookmarkStart w:id="111" w:name="ref-brown2018"/>
    <w:p>
      <w:pPr>
        <w:pStyle w:val="Bibliography"/>
      </w:pPr>
      <w:r>
        <w:t xml:space="preserve">Brown AJP, Gow NAR, Warris A, Brown GD (2018) Memory in fungal pathogens promotes immune evasion, colonisation, and infection. Trends in Microbiology 27:219–230.</w:t>
      </w:r>
      <w:r>
        <w:t xml:space="preserve"> </w:t>
      </w:r>
      <w:hyperlink r:id="rId110">
        <w:r>
          <w:rPr>
            <w:rStyle w:val="Hyperlink"/>
          </w:rPr>
          <w:t xml:space="preserve">https://doi.org/10.1016/j.tim.2018.11.001</w:t>
        </w:r>
      </w:hyperlink>
    </w:p>
    <w:bookmarkEnd w:id="111"/>
    <w:bookmarkStart w:id="113" w:name="ref-calo2014"/>
    <w:p>
      <w:pPr>
        <w:pStyle w:val="Bibliography"/>
      </w:pPr>
      <w:r>
        <w:t xml:space="preserve">Calo S, Shertz-Wall C, Lee SC, et al (2014) Antifungal drug resistance evoked via RNAi-dependent epimutations. Nature 513:555–558.</w:t>
      </w:r>
      <w:r>
        <w:t xml:space="preserve"> </w:t>
      </w:r>
      <w:hyperlink r:id="rId112">
        <w:r>
          <w:rPr>
            <w:rStyle w:val="Hyperlink"/>
          </w:rPr>
          <w:t xml:space="preserve">https://doi.org/10.1038/nature13575</w:t>
        </w:r>
      </w:hyperlink>
    </w:p>
    <w:bookmarkEnd w:id="113"/>
    <w:bookmarkStart w:id="115" w:name="ref-carlson2022"/>
    <w:p>
      <w:pPr>
        <w:pStyle w:val="Bibliography"/>
      </w:pPr>
      <w:r>
        <w:t xml:space="preserve">Carlson CJ, Albery GF, Merow C, et al (2022) Climate change increases cross-species viral transmission risk. Nature 607:555–562.</w:t>
      </w:r>
      <w:r>
        <w:t xml:space="preserve"> </w:t>
      </w:r>
      <w:hyperlink r:id="rId114">
        <w:r>
          <w:rPr>
            <w:rStyle w:val="Hyperlink"/>
          </w:rPr>
          <w:t xml:space="preserve">https://doi.org/10.1038/s41586-022-04788-w</w:t>
        </w:r>
      </w:hyperlink>
    </w:p>
    <w:bookmarkEnd w:id="115"/>
    <w:bookmarkStart w:id="117" w:name="ref-carlson2025"/>
    <w:p>
      <w:pPr>
        <w:pStyle w:val="Bibliography"/>
      </w:pPr>
      <w:r>
        <w:t xml:space="preserve">Carlson CJ, Brookson CB, Becker DJ, et al (2025) Pathogens and planetary change. Nature Reviews Biodiversity 1:32–49.</w:t>
      </w:r>
      <w:r>
        <w:t xml:space="preserve"> </w:t>
      </w:r>
      <w:hyperlink r:id="rId116">
        <w:r>
          <w:rPr>
            <w:rStyle w:val="Hyperlink"/>
          </w:rPr>
          <w:t xml:space="preserve">https://doi.org/10.1038/s44358-024-00005-w</w:t>
        </w:r>
      </w:hyperlink>
    </w:p>
    <w:bookmarkEnd w:id="117"/>
    <w:bookmarkStart w:id="119" w:name="ref-casadevall2012"/>
    <w:p>
      <w:pPr>
        <w:pStyle w:val="Bibliography"/>
      </w:pPr>
      <w:r>
        <w:t xml:space="preserve">Casadevall A (2012) Fungi and the rise of mammals. PLoS Pathogens 8:e1002808.</w:t>
      </w:r>
      <w:r>
        <w:t xml:space="preserve"> </w:t>
      </w:r>
      <w:hyperlink r:id="rId118">
        <w:r>
          <w:rPr>
            <w:rStyle w:val="Hyperlink"/>
          </w:rPr>
          <w:t xml:space="preserve">https://doi.org/10.1371/journal.ppat.1002808</w:t>
        </w:r>
      </w:hyperlink>
    </w:p>
    <w:bookmarkEnd w:id="119"/>
    <w:bookmarkStart w:id="121" w:name="ref-casadevall2020"/>
    <w:p>
      <w:pPr>
        <w:pStyle w:val="Bibliography"/>
      </w:pPr>
      <w:r>
        <w:t xml:space="preserve">Casadevall A (2020) Climate change brings the specter of new infectious diseases. Journal of Clinical Investigation 130:553–555.</w:t>
      </w:r>
      <w:r>
        <w:t xml:space="preserve"> </w:t>
      </w:r>
      <w:hyperlink r:id="rId120">
        <w:r>
          <w:rPr>
            <w:rStyle w:val="Hyperlink"/>
          </w:rPr>
          <w:t xml:space="preserve">https://doi.org/10.1172/jci135003</w:t>
        </w:r>
      </w:hyperlink>
    </w:p>
    <w:bookmarkEnd w:id="121"/>
    <w:bookmarkStart w:id="123" w:name="ref-casadevall2017"/>
    <w:p>
      <w:pPr>
        <w:pStyle w:val="Bibliography"/>
      </w:pPr>
      <w:r>
        <w:t xml:space="preserve">Casadevall A, Freij JB, Hann-Soden C, Taylor J (2017) Continental drift and speciation of the cryptococcus neoformans and cryptococcus gattii species complexes. mSphere 2:</w:t>
      </w:r>
      <w:r>
        <w:t xml:space="preserve"> </w:t>
      </w:r>
      <w:hyperlink r:id="rId122">
        <w:r>
          <w:rPr>
            <w:rStyle w:val="Hyperlink"/>
          </w:rPr>
          <w:t xml:space="preserve">https://doi.org/10.1128/msphere.00103-17</w:t>
        </w:r>
      </w:hyperlink>
    </w:p>
    <w:bookmarkEnd w:id="123"/>
    <w:bookmarkStart w:id="125" w:name="ref-casadevall2019"/>
    <w:p>
      <w:pPr>
        <w:pStyle w:val="Bibliography"/>
      </w:pPr>
      <w:r>
        <w:t xml:space="preserve">Casadevall A, Kontoyiannis DP, Robert V (2019) On the emergence of candida auris: Climate change, azoles, swamps, and birds. mBio 10:</w:t>
      </w:r>
      <w:r>
        <w:t xml:space="preserve"> </w:t>
      </w:r>
      <w:hyperlink r:id="rId124">
        <w:r>
          <w:rPr>
            <w:rStyle w:val="Hyperlink"/>
          </w:rPr>
          <w:t xml:space="preserve">https://doi.org/10.1128/mbio.01397-19</w:t>
        </w:r>
      </w:hyperlink>
    </w:p>
    <w:bookmarkEnd w:id="125"/>
    <w:bookmarkStart w:id="127" w:name="ref-case2025"/>
    <w:p>
      <w:pPr>
        <w:pStyle w:val="Bibliography"/>
      </w:pPr>
      <w:r>
        <w:t xml:space="preserve">Case NT, Gurr SJ, Fisher MC, et al (2025) Fungal impacts on earth’s ecosystems. Nature 638:49–57.</w:t>
      </w:r>
      <w:r>
        <w:t xml:space="preserve"> </w:t>
      </w:r>
      <w:hyperlink r:id="rId126">
        <w:r>
          <w:rPr>
            <w:rStyle w:val="Hyperlink"/>
          </w:rPr>
          <w:t xml:space="preserve">https://doi.org/10.1038/s41586-024-08419-4</w:t>
        </w:r>
      </w:hyperlink>
    </w:p>
    <w:bookmarkEnd w:id="127"/>
    <w:bookmarkStart w:id="129" w:name="ref-casu2024"/>
    <w:p>
      <w:pPr>
        <w:pStyle w:val="Bibliography"/>
      </w:pPr>
      <w:r>
        <w:t xml:space="preserve">Casu A, Camardo Leggieri M, Toscano P, Battilani P (2024) Changing climate, shifting mycotoxins: A comprehensive review of climate change impact on mycotoxin contamination. Comprehensive Reviews in Food Science and Food Safety 23:</w:t>
      </w:r>
      <w:r>
        <w:t xml:space="preserve"> </w:t>
      </w:r>
      <w:hyperlink r:id="rId128">
        <w:r>
          <w:rPr>
            <w:rStyle w:val="Hyperlink"/>
          </w:rPr>
          <w:t xml:space="preserve">https://doi.org/10.1111/1541-4337.13323</w:t>
        </w:r>
      </w:hyperlink>
    </w:p>
    <w:bookmarkEnd w:id="129"/>
    <w:bookmarkStart w:id="131" w:name="ref-celebisozener2023"/>
    <w:p>
      <w:pPr>
        <w:pStyle w:val="Bibliography"/>
      </w:pPr>
      <w:r>
        <w:t xml:space="preserve">Çelebi Sözener Z, Treffeisen ER, Özdel Öztürk B, Schneider LC (2023) Global warming and implications for epithelial barrier disruption and respiratory and dermatologic allergic diseases. Journal of Allergy and Clinical Immunology 152:1033–1046.</w:t>
      </w:r>
      <w:r>
        <w:t xml:space="preserve"> </w:t>
      </w:r>
      <w:hyperlink r:id="rId130">
        <w:r>
          <w:rPr>
            <w:rStyle w:val="Hyperlink"/>
          </w:rPr>
          <w:t xml:space="preserve">https://doi.org/10.1016/j.jaci.2023.09.001</w:t>
        </w:r>
      </w:hyperlink>
    </w:p>
    <w:bookmarkEnd w:id="131"/>
    <w:bookmarkStart w:id="133" w:name="ref-chaloner2021"/>
    <w:p>
      <w:pPr>
        <w:pStyle w:val="Bibliography"/>
      </w:pPr>
      <w:r>
        <w:t xml:space="preserve">Chaloner TM, Gurr SJ, Bebber DP (2021) Plant pathogen infection risk tracks global crop yields under climate change. Nature Climate Change 11:710–715.</w:t>
      </w:r>
      <w:r>
        <w:t xml:space="preserve"> </w:t>
      </w:r>
      <w:hyperlink r:id="rId132">
        <w:r>
          <w:rPr>
            <w:rStyle w:val="Hyperlink"/>
          </w:rPr>
          <w:t xml:space="preserve">https://doi.org/10.1038/s41558-021-01104-8</w:t>
        </w:r>
      </w:hyperlink>
    </w:p>
    <w:bookmarkEnd w:id="133"/>
    <w:bookmarkStart w:id="135" w:name="ref-chamilos2008"/>
    <w:p>
      <w:pPr>
        <w:pStyle w:val="Bibliography"/>
      </w:pPr>
      <w:r>
        <w:t xml:space="preserve">Chamilos G, Lewis RE, Hu J, et al (2008) &lt;I&gt;drosophila melanogaster&lt;/i&gt; as a model host to dissect the immunopathogenesis of zygomycosis. Proceedings of the National Academy of Sciences 105:9367–9372.</w:t>
      </w:r>
      <w:r>
        <w:t xml:space="preserve"> </w:t>
      </w:r>
      <w:hyperlink r:id="rId134">
        <w:r>
          <w:rPr>
            <w:rStyle w:val="Hyperlink"/>
          </w:rPr>
          <w:t xml:space="preserve">https://doi.org/10.1073/pnas.0709578105</w:t>
        </w:r>
      </w:hyperlink>
    </w:p>
    <w:bookmarkEnd w:id="135"/>
    <w:bookmarkStart w:id="137" w:name="ref-chamilos2006"/>
    <w:p>
      <w:pPr>
        <w:pStyle w:val="Bibliography"/>
      </w:pPr>
      <w:r>
        <w:t xml:space="preserve">Chamilos G, Lionakis MS, Lewis RE, Kontoyiannis DP (2006) Role of mini-host models in the study of medically important fungi. The Lancet Infectious Diseases 7:42–55.</w:t>
      </w:r>
      <w:r>
        <w:t xml:space="preserve"> </w:t>
      </w:r>
      <w:hyperlink r:id="rId136">
        <w:r>
          <w:rPr>
            <w:rStyle w:val="Hyperlink"/>
          </w:rPr>
          <w:t xml:space="preserve">https://doi.org/10.1016/s1473-3099(06)70686-7</w:t>
        </w:r>
      </w:hyperlink>
    </w:p>
    <w:bookmarkEnd w:id="137"/>
    <w:bookmarkStart w:id="139" w:name="ref-Chen2012a"/>
    <w:p>
      <w:pPr>
        <w:pStyle w:val="Bibliography"/>
      </w:pPr>
      <w:r>
        <w:t xml:space="preserve">Chen G, Bradford WD, Seidel CW, Li R (2012) Hsp90 stress potentiates rapid cellular adaptation through induction of aneuploidy. Nature 482:246–250.</w:t>
      </w:r>
      <w:r>
        <w:t xml:space="preserve"> </w:t>
      </w:r>
      <w:hyperlink r:id="rId138">
        <w:r>
          <w:rPr>
            <w:rStyle w:val="Hyperlink"/>
          </w:rPr>
          <w:t xml:space="preserve">https://doi.org/10.1038/nature10795</w:t>
        </w:r>
      </w:hyperlink>
    </w:p>
    <w:bookmarkEnd w:id="139"/>
    <w:bookmarkStart w:id="141" w:name="ref-chew2006"/>
    <w:p>
      <w:pPr>
        <w:pStyle w:val="Bibliography"/>
      </w:pPr>
      <w:r>
        <w:t xml:space="preserve">Chew GL, Wilson J, Rabito FA, et al (2006) Mold and endotoxin levels in the aftermath of hurricane katrina: A pilot project of homes in new orleans undergoing renovation. Environmental Health Perspectives 114:1883–1889.</w:t>
      </w:r>
      <w:r>
        <w:t xml:space="preserve"> </w:t>
      </w:r>
      <w:hyperlink r:id="rId140">
        <w:r>
          <w:rPr>
            <w:rStyle w:val="Hyperlink"/>
          </w:rPr>
          <w:t xml:space="preserve">https://doi.org/10.1289/ehp.9258</w:t>
        </w:r>
      </w:hyperlink>
    </w:p>
    <w:bookmarkEnd w:id="141"/>
    <w:bookmarkStart w:id="143" w:name="ref-chow2020"/>
    <w:p>
      <w:pPr>
        <w:pStyle w:val="Bibliography"/>
      </w:pPr>
      <w:r>
        <w:t xml:space="preserve">Chow NA, Muñoz JF, Gade L, et al (2020) Tracing the evolutionary history and global expansion of candida auris using population genomic analyses. mBio 11:</w:t>
      </w:r>
      <w:r>
        <w:t xml:space="preserve"> </w:t>
      </w:r>
      <w:hyperlink r:id="rId142">
        <w:r>
          <w:rPr>
            <w:rStyle w:val="Hyperlink"/>
          </w:rPr>
          <w:t xml:space="preserve">https://doi.org/10.1128/mbio.03364-19</w:t>
        </w:r>
      </w:hyperlink>
    </w:p>
    <w:bookmarkEnd w:id="143"/>
    <w:bookmarkStart w:id="145" w:name="ref-chowdhary2017"/>
    <w:p>
      <w:pPr>
        <w:pStyle w:val="Bibliography"/>
      </w:pPr>
      <w:r>
        <w:t xml:space="preserve">Chowdhary A, Sharma C, Meis JF (2017) Candida auris: A rapidly emerging cause of hospital-acquired multidrug-resistant fungal infections globally. PLOS Pathogens 13:e1006290.</w:t>
      </w:r>
      <w:r>
        <w:t xml:space="preserve"> </w:t>
      </w:r>
      <w:hyperlink r:id="rId144">
        <w:r>
          <w:rPr>
            <w:rStyle w:val="Hyperlink"/>
          </w:rPr>
          <w:t xml:space="preserve">https://doi.org/10.1371/journal.ppat.1006290</w:t>
        </w:r>
      </w:hyperlink>
    </w:p>
    <w:bookmarkEnd w:id="145"/>
    <w:bookmarkStart w:id="147" w:name="ref-cordero2017"/>
    <w:p>
      <w:pPr>
        <w:pStyle w:val="Bibliography"/>
      </w:pPr>
      <w:r>
        <w:t xml:space="preserve">Cordero RJB, Casadevall A (2017) Functions of fungal melanin beyond virulence. Fungal Biology Reviews 31:99–112.</w:t>
      </w:r>
      <w:r>
        <w:t xml:space="preserve"> </w:t>
      </w:r>
      <w:hyperlink r:id="rId146">
        <w:r>
          <w:rPr>
            <w:rStyle w:val="Hyperlink"/>
          </w:rPr>
          <w:t xml:space="preserve">https://doi.org/10.1016/j.fbr.2016.12.003</w:t>
        </w:r>
      </w:hyperlink>
    </w:p>
    <w:bookmarkEnd w:id="147"/>
    <w:bookmarkStart w:id="149" w:name="ref-cowen2005"/>
    <w:p>
      <w:pPr>
        <w:pStyle w:val="Bibliography"/>
      </w:pPr>
      <w:r>
        <w:t xml:space="preserve">Cowen LE, Lindquist S (2005) Hsp90 potentiates the rapid evolution of new traits: Drug resistance in diverse fungi. Science 309:2185–2189.</w:t>
      </w:r>
      <w:r>
        <w:t xml:space="preserve"> </w:t>
      </w:r>
      <w:hyperlink r:id="rId148">
        <w:r>
          <w:rPr>
            <w:rStyle w:val="Hyperlink"/>
          </w:rPr>
          <w:t xml:space="preserve">https://doi.org/10.1126/science.1118370</w:t>
        </w:r>
      </w:hyperlink>
    </w:p>
    <w:bookmarkEnd w:id="149"/>
    <w:bookmarkStart w:id="151" w:name="ref-cowen2009"/>
    <w:p>
      <w:pPr>
        <w:pStyle w:val="Bibliography"/>
      </w:pPr>
      <w:r>
        <w:t xml:space="preserve">Cowen LE, Singh SD, Köhler JR, et al (2009) Harnessing Hsp90 function as a powerful, broadly effective therapeutic strategy for fungal infectious disease. Proceedings of the National Academy of Sciences 106:2818–2823.</w:t>
      </w:r>
      <w:r>
        <w:t xml:space="preserve"> </w:t>
      </w:r>
      <w:hyperlink r:id="rId150">
        <w:r>
          <w:rPr>
            <w:rStyle w:val="Hyperlink"/>
          </w:rPr>
          <w:t xml:space="preserve">https://doi.org/10.1073/pnas.0813394106</w:t>
        </w:r>
      </w:hyperlink>
    </w:p>
    <w:bookmarkEnd w:id="151"/>
    <w:bookmarkStart w:id="153" w:name="ref-dadachova2007"/>
    <w:p>
      <w:pPr>
        <w:pStyle w:val="Bibliography"/>
      </w:pPr>
      <w:r>
        <w:t xml:space="preserve">Dadachova E, Bryan RA, Huang X, et al (2007) Ionizing radiation changes the electronic properties of melanin and enhances the growth of melanized fungi. PLoS ONE 2:e457.</w:t>
      </w:r>
      <w:r>
        <w:t xml:space="preserve"> </w:t>
      </w:r>
      <w:hyperlink r:id="rId152">
        <w:r>
          <w:rPr>
            <w:rStyle w:val="Hyperlink"/>
          </w:rPr>
          <w:t xml:space="preserve">https://doi.org/10.1371/journal.pone.0000457</w:t>
        </w:r>
      </w:hyperlink>
    </w:p>
    <w:bookmarkEnd w:id="153"/>
    <w:bookmarkStart w:id="155" w:name="ref-day2019"/>
    <w:p>
      <w:pPr>
        <w:pStyle w:val="Bibliography"/>
      </w:pPr>
      <w:r>
        <w:t xml:space="preserve">Day AM, Quinn J (2019) Stress-activated protein kinases in human fungal pathogens. Frontiers in Cellular and Infection Microbiology 9:</w:t>
      </w:r>
      <w:r>
        <w:t xml:space="preserve"> </w:t>
      </w:r>
      <w:hyperlink r:id="rId154">
        <w:r>
          <w:rPr>
            <w:rStyle w:val="Hyperlink"/>
          </w:rPr>
          <w:t xml:space="preserve">https://doi.org/10.3389/fcimb.2019.00261</w:t>
        </w:r>
      </w:hyperlink>
    </w:p>
    <w:bookmarkEnd w:id="155"/>
    <w:bookmarkStart w:id="157" w:name="ref-decrecy2009"/>
    <w:p>
      <w:pPr>
        <w:pStyle w:val="Bibliography"/>
      </w:pPr>
      <w:r>
        <w:t xml:space="preserve">de Crécy E, Jaronski S, Lyons B, et al</w:t>
      </w:r>
      <w:r>
        <w:t xml:space="preserve"> </w:t>
      </w:r>
      <w:r>
        <w:t xml:space="preserve">(2009) Directed evolution of a filamentous fungus for thermotolerance. BMC Biotechnology 9:</w:t>
      </w:r>
      <w:r>
        <w:t xml:space="preserve"> </w:t>
      </w:r>
      <w:hyperlink r:id="rId156">
        <w:r>
          <w:rPr>
            <w:rStyle w:val="Hyperlink"/>
          </w:rPr>
          <w:t xml:space="preserve">https://doi.org/10.1186/1472-6750-9-74</w:t>
        </w:r>
      </w:hyperlink>
    </w:p>
    <w:bookmarkEnd w:id="157"/>
    <w:bookmarkStart w:id="159" w:name="ref-denning2024"/>
    <w:p>
      <w:pPr>
        <w:pStyle w:val="Bibliography"/>
      </w:pPr>
      <w:r>
        <w:t xml:space="preserve">Denning DW (2024) Global incidence and mortality of severe fungal disease. The Lancet Infectious Diseases 24:e428–e438.</w:t>
      </w:r>
      <w:r>
        <w:t xml:space="preserve"> </w:t>
      </w:r>
      <w:hyperlink r:id="rId158">
        <w:r>
          <w:rPr>
            <w:rStyle w:val="Hyperlink"/>
          </w:rPr>
          <w:t xml:space="preserve">https://doi.org/10.1016/s1473-3099(23)00692-8</w:t>
        </w:r>
      </w:hyperlink>
    </w:p>
    <w:bookmarkEnd w:id="159"/>
    <w:bookmarkStart w:id="161" w:name="ref-ellington2024"/>
    <w:p>
      <w:pPr>
        <w:pStyle w:val="Bibliography"/>
      </w:pPr>
      <w:r>
        <w:t xml:space="preserve">Ellington AJ, Walters K, Christner BC, et al (2024) Dispersal of microbes from grassland fire smoke to soils. The ISME Journal 18:</w:t>
      </w:r>
      <w:r>
        <w:t xml:space="preserve"> </w:t>
      </w:r>
      <w:hyperlink r:id="rId160">
        <w:r>
          <w:rPr>
            <w:rStyle w:val="Hyperlink"/>
          </w:rPr>
          <w:t xml:space="preserve">https://doi.org/10.1093/ismejo/wrae203</w:t>
        </w:r>
      </w:hyperlink>
    </w:p>
    <w:bookmarkEnd w:id="161"/>
    <w:bookmarkStart w:id="163" w:name="ref-fisher2022"/>
    <w:p>
      <w:pPr>
        <w:pStyle w:val="Bibliography"/>
      </w:pPr>
      <w:r>
        <w:t xml:space="preserve">Fisher MC, Alastruey-Izquierdo A, Berman J, et al (2022) Tackling the emerging threat of antifungal resistance to human health. Nature Reviews Microbiology 20:557–571.</w:t>
      </w:r>
      <w:r>
        <w:t xml:space="preserve"> </w:t>
      </w:r>
      <w:hyperlink r:id="rId162">
        <w:r>
          <w:rPr>
            <w:rStyle w:val="Hyperlink"/>
          </w:rPr>
          <w:t xml:space="preserve">https://doi.org/10.1038/s41579-022-00720-1</w:t>
        </w:r>
      </w:hyperlink>
    </w:p>
    <w:bookmarkEnd w:id="163"/>
    <w:bookmarkStart w:id="165" w:name="ref-fisher2023"/>
    <w:p>
      <w:pPr>
        <w:pStyle w:val="Bibliography"/>
      </w:pPr>
      <w:r>
        <w:t xml:space="preserve">Fisher MC, Denning DW (2023) The WHO fungal priority pathogens list as a game-changer. Nature Reviews Microbiology 21:211–212.</w:t>
      </w:r>
      <w:r>
        <w:t xml:space="preserve"> </w:t>
      </w:r>
      <w:hyperlink r:id="rId164">
        <w:r>
          <w:rPr>
            <w:rStyle w:val="Hyperlink"/>
          </w:rPr>
          <w:t xml:space="preserve">https://doi.org/10.1038/s41579-023-00861-x</w:t>
        </w:r>
      </w:hyperlink>
    </w:p>
    <w:bookmarkEnd w:id="165"/>
    <w:bookmarkStart w:id="167" w:name="ref-fisher2020"/>
    <w:p>
      <w:pPr>
        <w:pStyle w:val="Bibliography"/>
      </w:pPr>
      <w:r>
        <w:t xml:space="preserve">Fisher MC, Garner TWJ (2020) Chytrid fungi and global amphibian declines. Nature Reviews Microbiology 18:332–343.</w:t>
      </w:r>
      <w:r>
        <w:t xml:space="preserve"> </w:t>
      </w:r>
      <w:hyperlink r:id="rId166">
        <w:r>
          <w:rPr>
            <w:rStyle w:val="Hyperlink"/>
          </w:rPr>
          <w:t xml:space="preserve">https://doi.org/10.1038/s41579-020-0335-x</w:t>
        </w:r>
      </w:hyperlink>
    </w:p>
    <w:bookmarkEnd w:id="167"/>
    <w:bookmarkStart w:id="169" w:name="ref-fisher2018"/>
    <w:p>
      <w:pPr>
        <w:pStyle w:val="Bibliography"/>
      </w:pPr>
      <w:r>
        <w:t xml:space="preserve">Fisher MC, Hawkins NJ, Sanglard D, Gurr SJ (2018) Worldwide emergence of resistance to antifungal drugs challenges human health and food security. Science 360:739–742.</w:t>
      </w:r>
      <w:r>
        <w:t xml:space="preserve"> </w:t>
      </w:r>
      <w:hyperlink r:id="rId168">
        <w:r>
          <w:rPr>
            <w:rStyle w:val="Hyperlink"/>
          </w:rPr>
          <w:t xml:space="preserve">https://doi.org/10.1126/science.aap7999</w:t>
        </w:r>
      </w:hyperlink>
    </w:p>
    <w:bookmarkEnd w:id="169"/>
    <w:bookmarkStart w:id="171" w:name="ref-fisher2012"/>
    <w:p>
      <w:pPr>
        <w:pStyle w:val="Bibliography"/>
      </w:pPr>
      <w:r>
        <w:t xml:space="preserve">Fisher MC, Henk DanielA, Briggs CJ, et al (2012) Emerging fungal threats to animal, plant and ecosystem health. Nature 484:186–194.</w:t>
      </w:r>
      <w:r>
        <w:t xml:space="preserve"> </w:t>
      </w:r>
      <w:hyperlink r:id="rId170">
        <w:r>
          <w:rPr>
            <w:rStyle w:val="Hyperlink"/>
          </w:rPr>
          <w:t xml:space="preserve">https://doi.org/10.1038/nature10947</w:t>
        </w:r>
      </w:hyperlink>
    </w:p>
    <w:bookmarkEnd w:id="171"/>
    <w:bookmarkStart w:id="173" w:name="ref-forsberg2018"/>
    <w:p>
      <w:pPr>
        <w:pStyle w:val="Bibliography"/>
      </w:pPr>
      <w:r>
        <w:t xml:space="preserve">Forsberg K, Woodworth K, Walters M, et al (2018) &lt;I&gt;candida auris&lt;/i&gt; : The recent emergence of a multidrug-resistant fungal pathogen. Medical Mycology 57:1–12.</w:t>
      </w:r>
      <w:r>
        <w:t xml:space="preserve"> </w:t>
      </w:r>
      <w:hyperlink r:id="rId172">
        <w:r>
          <w:rPr>
            <w:rStyle w:val="Hyperlink"/>
          </w:rPr>
          <w:t xml:space="preserve">https://doi.org/10.1093/mmy/myy054</w:t>
        </w:r>
      </w:hyperlink>
    </w:p>
    <w:bookmarkEnd w:id="173"/>
    <w:bookmarkStart w:id="175" w:name="ref-galanis2010"/>
    <w:p>
      <w:pPr>
        <w:pStyle w:val="Bibliography"/>
      </w:pPr>
      <w:r>
        <w:t xml:space="preserve">Galanis E, MacDougall L, Kidd S, Morshed M and (2010) Epidemiology of&lt;i&gt;cryptococcus gattii&lt;/i&gt;, british columbia, canada, 1999–2007. Emerging Infectious Diseases 16:251–257.</w:t>
      </w:r>
      <w:r>
        <w:t xml:space="preserve"> </w:t>
      </w:r>
      <w:hyperlink r:id="rId174">
        <w:r>
          <w:rPr>
            <w:rStyle w:val="Hyperlink"/>
          </w:rPr>
          <w:t xml:space="preserve">https://doi.org/10.3201/eid1602.090900</w:t>
        </w:r>
      </w:hyperlink>
    </w:p>
    <w:bookmarkEnd w:id="175"/>
    <w:bookmarkStart w:id="177" w:name="ref-garciasolache2010"/>
    <w:p>
      <w:pPr>
        <w:pStyle w:val="Bibliography"/>
      </w:pPr>
      <w:r>
        <w:t xml:space="preserve">Garcia-Solache MA, Casadevall A (2010) Global warming will bring new fungal diseases for mammals. mBio 1:</w:t>
      </w:r>
      <w:r>
        <w:t xml:space="preserve"> </w:t>
      </w:r>
      <w:hyperlink r:id="rId176">
        <w:r>
          <w:rPr>
            <w:rStyle w:val="Hyperlink"/>
          </w:rPr>
          <w:t xml:space="preserve">https://doi.org/10.1128/mbio.00061-10</w:t>
        </w:r>
      </w:hyperlink>
    </w:p>
    <w:bookmarkEnd w:id="177"/>
    <w:bookmarkStart w:id="179" w:name="ref-gkoutselis2024"/>
    <w:p>
      <w:pPr>
        <w:pStyle w:val="Bibliography"/>
      </w:pPr>
      <w:r>
        <w:t xml:space="preserve">Gkoutselis G, Rohrbach S, Harjes J, et al (2024) Plastiphily is linked to generic virulence traits of important human pathogenic fungi. Communications Earth &amp;amp; Environment 5:</w:t>
      </w:r>
      <w:r>
        <w:t xml:space="preserve"> </w:t>
      </w:r>
      <w:hyperlink r:id="rId178">
        <w:r>
          <w:rPr>
            <w:rStyle w:val="Hyperlink"/>
          </w:rPr>
          <w:t xml:space="preserve">https://doi.org/10.1038/s43247-023-01127-3</w:t>
        </w:r>
      </w:hyperlink>
    </w:p>
    <w:bookmarkEnd w:id="179"/>
    <w:bookmarkStart w:id="181" w:name="ref-gkoutselis2021"/>
    <w:p>
      <w:pPr>
        <w:pStyle w:val="Bibliography"/>
      </w:pPr>
      <w:r>
        <w:t xml:space="preserve">Gkoutselis G, Rohrbach S, Harjes J, et al (2021) Microplastics accumulate fungal pathogens in terrestrial ecosystems. Scientific Reports 11:</w:t>
      </w:r>
      <w:r>
        <w:t xml:space="preserve"> </w:t>
      </w:r>
      <w:hyperlink r:id="rId180">
        <w:r>
          <w:rPr>
            <w:rStyle w:val="Hyperlink"/>
          </w:rPr>
          <w:t xml:space="preserve">https://doi.org/10.1038/s41598-021-92405-7</w:t>
        </w:r>
      </w:hyperlink>
    </w:p>
    <w:bookmarkEnd w:id="181"/>
    <w:bookmarkStart w:id="183" w:name="ref-gorris2019"/>
    <w:p>
      <w:pPr>
        <w:pStyle w:val="Bibliography"/>
      </w:pPr>
      <w:r>
        <w:t xml:space="preserve">Gorris ME, Treseder KK, Zender CS, Randerson JT (2019) Expansion of coccidioidomycosis endemic regions in the united states in response to climate change. GeoHealth 3:308–327.</w:t>
      </w:r>
      <w:r>
        <w:t xml:space="preserve"> </w:t>
      </w:r>
      <w:hyperlink r:id="rId182">
        <w:r>
          <w:rPr>
            <w:rStyle w:val="Hyperlink"/>
          </w:rPr>
          <w:t xml:space="preserve">https://doi.org/10.1029/2019gh000209</w:t>
        </w:r>
      </w:hyperlink>
    </w:p>
    <w:bookmarkEnd w:id="183"/>
    <w:bookmarkStart w:id="185" w:name="ref-gremiao2017"/>
    <w:p>
      <w:pPr>
        <w:pStyle w:val="Bibliography"/>
      </w:pPr>
      <w:r>
        <w:t xml:space="preserve">Gremião IDF, Miranda LHM, Reis EG, et al (2017) Zoonotic epidemic of sporotrichosis: Cat to human transmission. PLOS Pathogens 13:e1006077.</w:t>
      </w:r>
      <w:r>
        <w:t xml:space="preserve"> </w:t>
      </w:r>
      <w:hyperlink r:id="rId184">
        <w:r>
          <w:rPr>
            <w:rStyle w:val="Hyperlink"/>
          </w:rPr>
          <w:t xml:space="preserve">https://doi.org/10.1371/journal.ppat.1006077</w:t>
        </w:r>
      </w:hyperlink>
    </w:p>
    <w:bookmarkEnd w:id="185"/>
    <w:bookmarkStart w:id="187" w:name="ref-gupta2025"/>
    <w:p>
      <w:pPr>
        <w:pStyle w:val="Bibliography"/>
      </w:pPr>
      <w:r>
        <w:t xml:space="preserve">Gupta AK, Thornbush M, Wang T (2025) Climate change, natural disasters, and cutaneous fungal infections. International Journal of Dermatology 64:1349–1355.</w:t>
      </w:r>
      <w:r>
        <w:t xml:space="preserve"> </w:t>
      </w:r>
      <w:hyperlink r:id="rId186">
        <w:r>
          <w:rPr>
            <w:rStyle w:val="Hyperlink"/>
          </w:rPr>
          <w:t xml:space="preserve">https://doi.org/10.1111/ijd.17908</w:t>
        </w:r>
      </w:hyperlink>
    </w:p>
    <w:bookmarkEnd w:id="187"/>
    <w:bookmarkStart w:id="189" w:name="ref-gusa2020"/>
    <w:p>
      <w:pPr>
        <w:pStyle w:val="Bibliography"/>
      </w:pPr>
      <w:r>
        <w:t xml:space="preserve">Gusa A, Williams JD, Cho J-E, et al (2020) Transposon mobilization in the human fungal pathogen &lt;i&gt;cryptococcus&lt;/i&gt; is mutagenic during infection and promotes drug resistance in vitro. Proceedings of the National Academy of Sciences 117:9973–9980.</w:t>
      </w:r>
      <w:r>
        <w:t xml:space="preserve"> </w:t>
      </w:r>
      <w:hyperlink r:id="rId188">
        <w:r>
          <w:rPr>
            <w:rStyle w:val="Hyperlink"/>
          </w:rPr>
          <w:t xml:space="preserve">https://doi.org/10.1073/pnas.2001451117</w:t>
        </w:r>
      </w:hyperlink>
    </w:p>
    <w:bookmarkEnd w:id="189"/>
    <w:bookmarkStart w:id="191" w:name="ref-gusa2023"/>
    <w:p>
      <w:pPr>
        <w:pStyle w:val="Bibliography"/>
      </w:pPr>
      <w:r>
        <w:t xml:space="preserve">Gusa A, Yadav V, Roth C, et al (2023) Genome-wide analysis of heat stress-stimulated transposon mobility in the human fungal pathogen &lt;i&gt;cryptococcus deneoformans&lt;/i&gt;. Proceedings of the National Academy of Sciences 120:</w:t>
      </w:r>
      <w:r>
        <w:t xml:space="preserve"> </w:t>
      </w:r>
      <w:hyperlink r:id="rId190">
        <w:r>
          <w:rPr>
            <w:rStyle w:val="Hyperlink"/>
          </w:rPr>
          <w:t xml:space="preserve">https://doi.org/10.1073/pnas.2209831120</w:t>
        </w:r>
      </w:hyperlink>
    </w:p>
    <w:bookmarkEnd w:id="191"/>
    <w:bookmarkStart w:id="193" w:name="ref-harish2022"/>
    <w:p>
      <w:pPr>
        <w:pStyle w:val="Bibliography"/>
      </w:pPr>
      <w:r>
        <w:t xml:space="preserve">Harish E, Osherov N (2022) Fungal priming: Prepare or perish. Journal of Fungi 8:448.</w:t>
      </w:r>
      <w:r>
        <w:t xml:space="preserve"> </w:t>
      </w:r>
      <w:hyperlink r:id="rId192">
        <w:r>
          <w:rPr>
            <w:rStyle w:val="Hyperlink"/>
          </w:rPr>
          <w:t xml:space="preserve">https://doi.org/10.3390/jof8050448</w:t>
        </w:r>
      </w:hyperlink>
    </w:p>
    <w:bookmarkEnd w:id="193"/>
    <w:bookmarkStart w:id="195" w:name="ref-harms2011"/>
    <w:p>
      <w:pPr>
        <w:pStyle w:val="Bibliography"/>
      </w:pPr>
      <w:r>
        <w:t xml:space="preserve">Harms H, Schlosser D, Wick LY (2011) Untapped potential: Exploiting fungi in bioremediation of hazardous chemicals. Nature Reviews Microbiology 9:177–192.</w:t>
      </w:r>
      <w:r>
        <w:t xml:space="preserve"> </w:t>
      </w:r>
      <w:hyperlink r:id="rId194">
        <w:r>
          <w:rPr>
            <w:rStyle w:val="Hyperlink"/>
          </w:rPr>
          <w:t xml:space="preserve">https://doi.org/10.1038/nrmicro2519</w:t>
        </w:r>
      </w:hyperlink>
    </w:p>
    <w:bookmarkEnd w:id="195"/>
    <w:bookmarkStart w:id="197" w:name="ref-hawkins2023"/>
    <w:p>
      <w:pPr>
        <w:pStyle w:val="Bibliography"/>
      </w:pPr>
      <w:r>
        <w:t xml:space="preserve">Hawkins H-J, Cargill RIM, Van Nuland ME, et al (2023) Mycorrhizal mycelium as a global carbon pool. Current Biology 33:R560–R573.</w:t>
      </w:r>
      <w:r>
        <w:t xml:space="preserve"> </w:t>
      </w:r>
      <w:hyperlink r:id="rId196">
        <w:r>
          <w:rPr>
            <w:rStyle w:val="Hyperlink"/>
          </w:rPr>
          <w:t xml:space="preserve">https://doi.org/10.1016/j.cub.2023.02.027</w:t>
        </w:r>
      </w:hyperlink>
    </w:p>
    <w:bookmarkEnd w:id="197"/>
    <w:bookmarkStart w:id="199" w:name="ref-hawksworth2017"/>
    <w:p>
      <w:pPr>
        <w:pStyle w:val="Bibliography"/>
      </w:pPr>
      <w:r>
        <w:t xml:space="preserve">Hawksworth DL, Lücking R (2017) Fungal diversity revisited: 2.2 to 3.8 million species. Microbiology Spectrum 5:</w:t>
      </w:r>
      <w:r>
        <w:t xml:space="preserve"> </w:t>
      </w:r>
      <w:hyperlink r:id="rId198">
        <w:r>
          <w:rPr>
            <w:rStyle w:val="Hyperlink"/>
          </w:rPr>
          <w:t xml:space="preserve">https://doi.org/10.1128/microbiolspec.funk-0052-2016</w:t>
        </w:r>
      </w:hyperlink>
    </w:p>
    <w:bookmarkEnd w:id="199"/>
    <w:bookmarkStart w:id="201" w:name="ref-head2022"/>
    <w:p>
      <w:pPr>
        <w:pStyle w:val="Bibliography"/>
      </w:pPr>
      <w:r>
        <w:t xml:space="preserve">Head JR, Sondermeyer-Cooksey G, Heaney AK, et al (2022) Effects of precipitation, heat, and drought on incidence and expansion of coccidioidomycosis in western USA: A longitudinal surveillance study. The Lancet Planetary Health 6:e793–e803.</w:t>
      </w:r>
      <w:r>
        <w:t xml:space="preserve"> </w:t>
      </w:r>
      <w:hyperlink r:id="rId200">
        <w:r>
          <w:rPr>
            <w:rStyle w:val="Hyperlink"/>
          </w:rPr>
          <w:t xml:space="preserve">https://doi.org/10.1016/s2542-5196(22)00202-9</w:t>
        </w:r>
      </w:hyperlink>
    </w:p>
    <w:bookmarkEnd w:id="201"/>
    <w:bookmarkStart w:id="203" w:name="ref-huang2024"/>
    <w:p>
      <w:pPr>
        <w:pStyle w:val="Bibliography"/>
      </w:pPr>
      <w:r>
        <w:t xml:space="preserve">Huang J, Hu P, Ye L, et al (2024) Pan-drug resistance and hypervirulence in a human fungal pathogen are enabled by mutagenesis induced by mammalian body temperature. Nature Microbiology 9:1686–1699.</w:t>
      </w:r>
      <w:r>
        <w:t xml:space="preserve"> </w:t>
      </w:r>
      <w:hyperlink r:id="rId202">
        <w:r>
          <w:rPr>
            <w:rStyle w:val="Hyperlink"/>
          </w:rPr>
          <w:t xml:space="preserve">https://doi.org/10.1038/s41564-024-01720-y</w:t>
        </w:r>
      </w:hyperlink>
    </w:p>
    <w:bookmarkEnd w:id="203"/>
    <w:bookmarkStart w:id="205" w:name="ref-hughes2011"/>
    <w:p>
      <w:pPr>
        <w:pStyle w:val="Bibliography"/>
      </w:pPr>
      <w:r>
        <w:t xml:space="preserve">Hughes DP, Andersen SB, Hywel-Jones NL, et al (2011) Behavioral mechanisms and morphological symptoms of zombie ants dying from fungal infection. BMC Ecology 11:13.</w:t>
      </w:r>
      <w:r>
        <w:t xml:space="preserve"> </w:t>
      </w:r>
      <w:hyperlink r:id="rId204">
        <w:r>
          <w:rPr>
            <w:rStyle w:val="Hyperlink"/>
          </w:rPr>
          <w:t xml:space="preserve">https://doi.org/10.1186/1472-6785-11-13</w:t>
        </w:r>
      </w:hyperlink>
    </w:p>
    <w:bookmarkEnd w:id="205"/>
    <w:bookmarkStart w:id="207" w:name="ref-imberti2025"/>
    <w:p>
      <w:pPr>
        <w:pStyle w:val="Bibliography"/>
      </w:pPr>
      <w:r>
        <w:t xml:space="preserve">Imberti L, Tiecco G, Logiudice J, et al (2025) Effects of climate change on the immune system: A narrative review. Health Science Reports 8:</w:t>
      </w:r>
      <w:r>
        <w:t xml:space="preserve"> </w:t>
      </w:r>
      <w:hyperlink r:id="rId206">
        <w:r>
          <w:rPr>
            <w:rStyle w:val="Hyperlink"/>
          </w:rPr>
          <w:t xml:space="preserve">https://doi.org/10.1002/hsr2.70627</w:t>
        </w:r>
      </w:hyperlink>
    </w:p>
    <w:bookmarkEnd w:id="207"/>
    <w:bookmarkStart w:id="209" w:name="ref-jara2025"/>
    <w:p>
      <w:pPr>
        <w:pStyle w:val="Bibliography"/>
      </w:pPr>
      <w:r>
        <w:t xml:space="preserve">Jara M, Frias-De-Diego A, Petit RA, et al (2025) Genomic dynamics of the emergent &lt;i&gt;candida auris&lt;/i&gt; : Exploring climate-dependent trends. Open Forum Infectious Diseases 12:</w:t>
      </w:r>
      <w:r>
        <w:t xml:space="preserve"> </w:t>
      </w:r>
      <w:hyperlink r:id="rId208">
        <w:r>
          <w:rPr>
            <w:rStyle w:val="Hyperlink"/>
          </w:rPr>
          <w:t xml:space="preserve">https://doi.org/10.1093/ofid/ofaf441</w:t>
        </w:r>
      </w:hyperlink>
    </w:p>
    <w:bookmarkEnd w:id="209"/>
    <w:bookmarkStart w:id="211" w:name="ref-jenks2023"/>
    <w:p>
      <w:pPr>
        <w:pStyle w:val="Bibliography"/>
      </w:pPr>
      <w:r>
        <w:t xml:space="preserve">Jenks JD, Prattes J, Wurster S, et al (2023) Social determinants of health as drivers of fungal disease. eClinicalMedicine 66:102325.</w:t>
      </w:r>
      <w:r>
        <w:t xml:space="preserve"> </w:t>
      </w:r>
      <w:hyperlink r:id="rId210">
        <w:r>
          <w:rPr>
            <w:rStyle w:val="Hyperlink"/>
          </w:rPr>
          <w:t xml:space="preserve">https://doi.org/10.1016/j.eclinm.2023.102325</w:t>
        </w:r>
      </w:hyperlink>
    </w:p>
    <w:bookmarkEnd w:id="211"/>
    <w:bookmarkStart w:id="213" w:name="ref-juvvadi2016"/>
    <w:p>
      <w:pPr>
        <w:pStyle w:val="Bibliography"/>
      </w:pPr>
      <w:r>
        <w:t xml:space="preserve">Juvvadi PR, Lee SC, Heitman J, Steinbach WJ (2016) Calcineurin in fungal virulence and drug resistance: Prospects for harnessing targeted inhibition of calcineurin for an antifungal therapeutic approach. Virulence 8:186–197.</w:t>
      </w:r>
      <w:r>
        <w:t xml:space="preserve"> </w:t>
      </w:r>
      <w:hyperlink r:id="rId212">
        <w:r>
          <w:rPr>
            <w:rStyle w:val="Hyperlink"/>
          </w:rPr>
          <w:t xml:space="preserve">https://doi.org/10.1080/21505594.2016.1201250</w:t>
        </w:r>
      </w:hyperlink>
    </w:p>
    <w:bookmarkEnd w:id="213"/>
    <w:bookmarkStart w:id="215" w:name="ref-kalanxhi2026"/>
    <w:p>
      <w:pPr>
        <w:pStyle w:val="Bibliography"/>
      </w:pPr>
      <w:r>
        <w:t xml:space="preserve">Kalanxhi E, Laxminarayan R (2026) Climate change and antimicrobial resistance. Nature Reviews Microbiology 24:610–621.</w:t>
      </w:r>
      <w:r>
        <w:t xml:space="preserve"> </w:t>
      </w:r>
      <w:hyperlink r:id="rId214">
        <w:r>
          <w:rPr>
            <w:rStyle w:val="Hyperlink"/>
          </w:rPr>
          <w:t xml:space="preserve">https://doi.org/10.1038/s41579-026-01285-z</w:t>
        </w:r>
      </w:hyperlink>
    </w:p>
    <w:bookmarkEnd w:id="215"/>
    <w:bookmarkStart w:id="217" w:name="ref-khan2017"/>
    <w:p>
      <w:pPr>
        <w:pStyle w:val="Bibliography"/>
      </w:pPr>
      <w:r>
        <w:t xml:space="preserve">Khan S, Nadir S, Shah ZU, et al (2017) Biodegradation of polyester polyurethane by aspergillus tubingensis. Environmental Pollution 225:469–480.</w:t>
      </w:r>
      <w:r>
        <w:t xml:space="preserve"> </w:t>
      </w:r>
      <w:hyperlink r:id="rId216">
        <w:r>
          <w:rPr>
            <w:rStyle w:val="Hyperlink"/>
          </w:rPr>
          <w:t xml:space="preserve">https://doi.org/10.1016/j.envpol.2017.03.012</w:t>
        </w:r>
      </w:hyperlink>
    </w:p>
    <w:bookmarkEnd w:id="217"/>
    <w:bookmarkStart w:id="219" w:name="ref-kidd2004"/>
    <w:p>
      <w:pPr>
        <w:pStyle w:val="Bibliography"/>
      </w:pPr>
      <w:r>
        <w:t xml:space="preserve">Kidd SE, Hagen F, Tscharke RL, et al (2004) A rare genotype of &lt;i&gt;cryptococcus gattii&lt;/i&gt; caused the cryptococcosis outbreak on vancouver island (british columbia, canada). Proceedings of the National Academy of Sciences 101:17258–17263.</w:t>
      </w:r>
      <w:r>
        <w:t xml:space="preserve"> </w:t>
      </w:r>
      <w:hyperlink r:id="rId218">
        <w:r>
          <w:rPr>
            <w:rStyle w:val="Hyperlink"/>
          </w:rPr>
          <w:t xml:space="preserve">https://doi.org/10.1073/pnas.0402981101</w:t>
        </w:r>
      </w:hyperlink>
    </w:p>
    <w:bookmarkEnd w:id="219"/>
    <w:bookmarkStart w:id="221" w:name="ref-kobziar2022"/>
    <w:p>
      <w:pPr>
        <w:pStyle w:val="Bibliography"/>
      </w:pPr>
      <w:r>
        <w:t xml:space="preserve">Kobziar LN, Vuono D, Moore R, et al (2022) Wildland fire smoke alters the composition, diversity, and potential atmospheric function of microbial life in the aerobiome. ISME Communications 2:</w:t>
      </w:r>
      <w:r>
        <w:t xml:space="preserve"> </w:t>
      </w:r>
      <w:hyperlink r:id="rId220">
        <w:r>
          <w:rPr>
            <w:rStyle w:val="Hyperlink"/>
          </w:rPr>
          <w:t xml:space="preserve">https://doi.org/10.1038/s43705-022-00089-5</w:t>
        </w:r>
      </w:hyperlink>
    </w:p>
    <w:bookmarkEnd w:id="221"/>
    <w:bookmarkStart w:id="223" w:name="ref-kontoyiannis2025"/>
    <w:p>
      <w:pPr>
        <w:pStyle w:val="Bibliography"/>
      </w:pPr>
      <w:r>
        <w:t xml:space="preserve">Kontoyiannis DP, Casadevall A (2025) Would global warming bring an increase of invertebrate-associated cutaneous invasive fungal infections? mBio 16:</w:t>
      </w:r>
      <w:r>
        <w:t xml:space="preserve"> </w:t>
      </w:r>
      <w:hyperlink r:id="rId222">
        <w:r>
          <w:rPr>
            <w:rStyle w:val="Hyperlink"/>
          </w:rPr>
          <w:t xml:space="preserve">https://doi.org/10.1128/mbio.03447-24</w:t>
        </w:r>
      </w:hyperlink>
    </w:p>
    <w:bookmarkEnd w:id="223"/>
    <w:bookmarkStart w:id="225" w:name="ref-kontoyiannis2019"/>
    <w:p>
      <w:pPr>
        <w:pStyle w:val="Bibliography"/>
      </w:pPr>
      <w:r>
        <w:t xml:space="preserve">Kontoyiannis PD, Koons GL, Hicklen RS, et al (2019) Insect bite–associated invasive fungal infections. Open Forum Infectious Diseases 6:</w:t>
      </w:r>
      <w:r>
        <w:t xml:space="preserve"> </w:t>
      </w:r>
      <w:hyperlink r:id="rId224">
        <w:r>
          <w:rPr>
            <w:rStyle w:val="Hyperlink"/>
          </w:rPr>
          <w:t xml:space="preserve">https://doi.org/10.1093/ofid/ofz385</w:t>
        </w:r>
      </w:hyperlink>
    </w:p>
    <w:bookmarkEnd w:id="225"/>
    <w:bookmarkStart w:id="227" w:name="ref-kwonchung2014"/>
    <w:p>
      <w:pPr>
        <w:pStyle w:val="Bibliography"/>
      </w:pPr>
      <w:r>
        <w:t xml:space="preserve">Kwon-Chung KJ, Fraser JA, Doering TL, et al (2014) Cryptococcus neoformans and cryptococcus gattii, the etiologic agents of cryptococcosis. Cold Spring Harbor Perspectives in Medicine 4:a019760–a019760.</w:t>
      </w:r>
      <w:r>
        <w:t xml:space="preserve"> </w:t>
      </w:r>
      <w:hyperlink r:id="rId226">
        <w:r>
          <w:rPr>
            <w:rStyle w:val="Hyperlink"/>
          </w:rPr>
          <w:t xml:space="preserve">https://doi.org/10.1101/cshperspect.a019760</w:t>
        </w:r>
      </w:hyperlink>
    </w:p>
    <w:bookmarkEnd w:id="227"/>
    <w:bookmarkStart w:id="229" w:name="ref-lamoth2026"/>
    <w:p>
      <w:pPr>
        <w:pStyle w:val="Bibliography"/>
      </w:pPr>
      <w:r>
        <w:t xml:space="preserve">Lamoth F, Kontoyiannis DP (2026) mGem: A perfect storm in the era of global warming—the convergence between thermotolerant fungi and altered immunity. mBio 17:</w:t>
      </w:r>
      <w:r>
        <w:t xml:space="preserve"> </w:t>
      </w:r>
      <w:hyperlink r:id="rId228">
        <w:r>
          <w:rPr>
            <w:rStyle w:val="Hyperlink"/>
          </w:rPr>
          <w:t xml:space="preserve">https://doi.org/10.1128/mbio.00750-26</w:t>
        </w:r>
      </w:hyperlink>
    </w:p>
    <w:bookmarkEnd w:id="229"/>
    <w:bookmarkStart w:id="231" w:name="ref-lax2024"/>
    <w:p>
      <w:pPr>
        <w:pStyle w:val="Bibliography"/>
      </w:pPr>
      <w:r>
        <w:t xml:space="preserve">Lax C, Nicolás FE, Navarro E, Garre V (2024) Molecular mechanisms that govern infection and antifungal resistance in mucorales. Microbiology and Molecular Biology Reviews 88:</w:t>
      </w:r>
      <w:r>
        <w:t xml:space="preserve"> </w:t>
      </w:r>
      <w:hyperlink r:id="rId230">
        <w:r>
          <w:rPr>
            <w:rStyle w:val="Hyperlink"/>
          </w:rPr>
          <w:t xml:space="preserve">https://doi.org/10.1128/mmbr.00188-22</w:t>
        </w:r>
      </w:hyperlink>
    </w:p>
    <w:bookmarkEnd w:id="231"/>
    <w:bookmarkStart w:id="233" w:name="ref-lockhart2017"/>
    <w:p>
      <w:pPr>
        <w:pStyle w:val="Bibliography"/>
      </w:pPr>
      <w:r>
        <w:t xml:space="preserve">Lockhart SR, Etienne KA, Vallabhaneni S, et al (2017) Simultaneous emergence of multidrug-resistant &lt;i&gt;candida auris&lt;/i&gt; on 3 continents confirmed by whole-genome sequencing and epidemiological analyses. Clinical Infectious Diseases 64:134–140.</w:t>
      </w:r>
      <w:r>
        <w:t xml:space="preserve"> </w:t>
      </w:r>
      <w:hyperlink r:id="rId232">
        <w:r>
          <w:rPr>
            <w:rStyle w:val="Hyperlink"/>
          </w:rPr>
          <w:t xml:space="preserve">https://doi.org/10.1093/cid/ciw691</w:t>
        </w:r>
      </w:hyperlink>
    </w:p>
    <w:bookmarkEnd w:id="233"/>
    <w:bookmarkStart w:id="235" w:name="ref-macfadden2018"/>
    <w:p>
      <w:pPr>
        <w:pStyle w:val="Bibliography"/>
      </w:pPr>
      <w:r>
        <w:t xml:space="preserve">MacFadden DR, McGough SF, Fisman D, et al (2018) Antibiotic resistance increases with local temperature. Nature Climate Change 8:510–514.</w:t>
      </w:r>
      <w:r>
        <w:t xml:space="preserve"> </w:t>
      </w:r>
      <w:hyperlink r:id="rId234">
        <w:r>
          <w:rPr>
            <w:rStyle w:val="Hyperlink"/>
          </w:rPr>
          <w:t xml:space="preserve">https://doi.org/10.1038/s41558-018-0161-6</w:t>
        </w:r>
      </w:hyperlink>
    </w:p>
    <w:bookmarkEnd w:id="235"/>
    <w:bookmarkStart w:id="237" w:name="ref-maiga2018"/>
    <w:p>
      <w:pPr>
        <w:pStyle w:val="Bibliography"/>
      </w:pPr>
      <w:r>
        <w:t xml:space="preserve">Maiga AW, Deppen S, Scaffidi BK, et al (2018) Mapping &lt;i&gt;histoplasma capsulatum&lt;/i&gt; exposure, united states. Emerging Infectious Diseases 24:1835–1839.</w:t>
      </w:r>
      <w:r>
        <w:t xml:space="preserve"> </w:t>
      </w:r>
      <w:hyperlink r:id="rId236">
        <w:r>
          <w:rPr>
            <w:rStyle w:val="Hyperlink"/>
          </w:rPr>
          <w:t xml:space="preserve">https://doi.org/10.3201/eid2410.180032</w:t>
        </w:r>
      </w:hyperlink>
    </w:p>
    <w:bookmarkEnd w:id="237"/>
    <w:bookmarkStart w:id="239" w:name="ref-martel2013"/>
    <w:p>
      <w:pPr>
        <w:pStyle w:val="Bibliography"/>
      </w:pPr>
      <w:r>
        <w:t xml:space="preserve">Martel A, Spitzen-van der Sluijs A, Blooi M, et al (2013) &lt;I&gt;batrachochytrium salamandrivorans&lt;/i&gt; sp. Nov. Causes lethal chytridiomycosis in amphibians. Proceedings of the National Academy of Sciences 110:15325–15329.</w:t>
      </w:r>
      <w:r>
        <w:t xml:space="preserve"> </w:t>
      </w:r>
      <w:hyperlink r:id="rId238">
        <w:r>
          <w:rPr>
            <w:rStyle w:val="Hyperlink"/>
          </w:rPr>
          <w:t xml:space="preserve">https://doi.org/10.1073/pnas.1307356110</w:t>
        </w:r>
      </w:hyperlink>
    </w:p>
    <w:bookmarkEnd w:id="239"/>
    <w:bookmarkStart w:id="241" w:name="ref-mazi2022"/>
    <w:p>
      <w:pPr>
        <w:pStyle w:val="Bibliography"/>
      </w:pPr>
      <w:r>
        <w:t xml:space="preserve">Mazi PB, Sahrmann JM, Olsen MA, et al (2022) The geographic distribution of dimorphic mycoses in the united states for the modern era. Clinical Infectious Diseases 76:1295–1301.</w:t>
      </w:r>
      <w:r>
        <w:t xml:space="preserve"> </w:t>
      </w:r>
      <w:hyperlink r:id="rId240">
        <w:r>
          <w:rPr>
            <w:rStyle w:val="Hyperlink"/>
          </w:rPr>
          <w:t xml:space="preserve">https://doi.org/10.1093/cid/ciac882</w:t>
        </w:r>
      </w:hyperlink>
    </w:p>
    <w:bookmarkEnd w:id="241"/>
    <w:bookmarkStart w:id="243" w:name="ref-medina2017"/>
    <w:p>
      <w:pPr>
        <w:pStyle w:val="Bibliography"/>
      </w:pPr>
      <w:r>
        <w:t xml:space="preserve">Medina Á, González-Jartín JM, Sainz MJ (2017) Impact of global warming on mycotoxins. Current Opinion in Food Science 18:76–81.</w:t>
      </w:r>
      <w:r>
        <w:t xml:space="preserve"> </w:t>
      </w:r>
      <w:hyperlink r:id="rId242">
        <w:r>
          <w:rPr>
            <w:rStyle w:val="Hyperlink"/>
          </w:rPr>
          <w:t xml:space="preserve">https://doi.org/10.1016/j.cofs.2017.11.009</w:t>
        </w:r>
      </w:hyperlink>
    </w:p>
    <w:bookmarkEnd w:id="243"/>
    <w:bookmarkStart w:id="245" w:name="ref-Money2024"/>
    <w:p>
      <w:pPr>
        <w:pStyle w:val="Bibliography"/>
      </w:pPr>
      <w:r>
        <w:t xml:space="preserve">Money NP (2024) Fungal thermotolerance revisited and why climate change is unlikely to be supercharging pathogenic fungi (yet). Fungal Biology 128:1638–1641.</w:t>
      </w:r>
      <w:r>
        <w:t xml:space="preserve"> </w:t>
      </w:r>
      <w:hyperlink r:id="rId244">
        <w:r>
          <w:rPr>
            <w:rStyle w:val="Hyperlink"/>
          </w:rPr>
          <w:t xml:space="preserve">https://doi.org/10.1016/j.funbio.2024.01.005</w:t>
        </w:r>
      </w:hyperlink>
    </w:p>
    <w:bookmarkEnd w:id="245"/>
    <w:bookmarkStart w:id="247" w:name="ref-mora2022"/>
    <w:p>
      <w:pPr>
        <w:pStyle w:val="Bibliography"/>
      </w:pPr>
      <w:r>
        <w:t xml:space="preserve">Mora C, McKenzie T, Gaw IM, et al</w:t>
      </w:r>
      <w:r>
        <w:t xml:space="preserve"> </w:t>
      </w:r>
      <w:r>
        <w:t xml:space="preserve">(2022) Over half of known human pathogenic diseases can be aggravated by climate change. Nature Climate Change 12:869–875.</w:t>
      </w:r>
      <w:r>
        <w:t xml:space="preserve"> </w:t>
      </w:r>
      <w:hyperlink r:id="rId246">
        <w:r>
          <w:rPr>
            <w:rStyle w:val="Hyperlink"/>
          </w:rPr>
          <w:t xml:space="preserve">https://doi.org/10.1038/s41558-022-01426-1</w:t>
        </w:r>
      </w:hyperlink>
    </w:p>
    <w:bookmarkEnd w:id="247"/>
    <w:bookmarkStart w:id="249" w:name="ref-morano2011"/>
    <w:p>
      <w:pPr>
        <w:pStyle w:val="Bibliography"/>
      </w:pPr>
      <w:r>
        <w:t xml:space="preserve">Morano KA, Grant CM, Moye-Rowley WS (2011) The response to heat shock and oxidative stress in &lt;i&gt;saccharomyces cerevisiae&lt;/i&gt;. Genetics 190:1157–1195.</w:t>
      </w:r>
      <w:r>
        <w:t xml:space="preserve"> </w:t>
      </w:r>
      <w:hyperlink r:id="rId248">
        <w:r>
          <w:rPr>
            <w:rStyle w:val="Hyperlink"/>
          </w:rPr>
          <w:t xml:space="preserve">https://doi.org/10.1534/genetics.111.128033</w:t>
        </w:r>
      </w:hyperlink>
    </w:p>
    <w:bookmarkEnd w:id="249"/>
    <w:bookmarkStart w:id="251" w:name="ref-morenosabater2022"/>
    <w:p>
      <w:pPr>
        <w:pStyle w:val="Bibliography"/>
      </w:pPr>
      <w:r>
        <w:t xml:space="preserve">Moreno-Sabater A, Normand A-C, Bidaud A-L, et al (2022) Terbinafine resistance in dermatophytes: A french multicenter prospective study. Journal of Fungi 8:220.</w:t>
      </w:r>
      <w:r>
        <w:t xml:space="preserve"> </w:t>
      </w:r>
      <w:hyperlink r:id="rId250">
        <w:r>
          <w:rPr>
            <w:rStyle w:val="Hyperlink"/>
          </w:rPr>
          <w:t xml:space="preserve">https://doi.org/10.3390/jof8030220</w:t>
        </w:r>
      </w:hyperlink>
    </w:p>
    <w:bookmarkEnd w:id="251"/>
    <w:bookmarkStart w:id="253" w:name="ref-neblettfanfair2012"/>
    <w:p>
      <w:pPr>
        <w:pStyle w:val="Bibliography"/>
      </w:pPr>
      <w:r>
        <w:t xml:space="preserve">Neblett Fanfair R, Benedict K, Bos J, et al (2012) Necrotizing cutaneous mucormycosis after a tornado in joplin, missouri, in 2011. New England Journal of Medicine 367:2214–2225.</w:t>
      </w:r>
      <w:r>
        <w:t xml:space="preserve"> </w:t>
      </w:r>
      <w:hyperlink r:id="rId252">
        <w:r>
          <w:rPr>
            <w:rStyle w:val="Hyperlink"/>
          </w:rPr>
          <w:t xml:space="preserve">https://doi.org/10.1056/nejmoa1204781</w:t>
        </w:r>
      </w:hyperlink>
    </w:p>
    <w:bookmarkEnd w:id="253"/>
    <w:bookmarkStart w:id="255" w:name="ref-nicholls2010"/>
    <w:p>
      <w:pPr>
        <w:pStyle w:val="Bibliography"/>
      </w:pPr>
      <w:r>
        <w:t xml:space="preserve">Nicholls S, MacCallum DM, Kaffarnik FAR, et al (2010) Activation of the heat shock transcription factor Hsf1 is essential for the full virulence of the fungal pathogen candida albicans. Fungal Genetics and Biology 48:297–305.</w:t>
      </w:r>
      <w:r>
        <w:t xml:space="preserve"> </w:t>
      </w:r>
      <w:hyperlink r:id="rId254">
        <w:r>
          <w:rPr>
            <w:rStyle w:val="Hyperlink"/>
          </w:rPr>
          <w:t xml:space="preserve">https://doi.org/10.1016/j.fgb.2010.08.010</w:t>
        </w:r>
      </w:hyperlink>
    </w:p>
    <w:bookmarkEnd w:id="255"/>
    <w:bookmarkStart w:id="257" w:name="ref-nnadi2021"/>
    <w:p>
      <w:pPr>
        <w:pStyle w:val="Bibliography"/>
      </w:pPr>
      <w:r>
        <w:t xml:space="preserve">Nnadi NE, Carter DA (2021) Climate change and the emergence of fungal pathogens. PLOS Pathogens 17:e1009503.</w:t>
      </w:r>
      <w:r>
        <w:t xml:space="preserve"> </w:t>
      </w:r>
      <w:hyperlink r:id="rId256">
        <w:r>
          <w:rPr>
            <w:rStyle w:val="Hyperlink"/>
          </w:rPr>
          <w:t xml:space="preserve">https://doi.org/10.1371/journal.ppat.1009503</w:t>
        </w:r>
      </w:hyperlink>
    </w:p>
    <w:bookmarkEnd w:id="257"/>
    <w:bookmarkStart w:id="259" w:name="ref-protsiv2020"/>
    <w:p>
      <w:pPr>
        <w:pStyle w:val="Bibliography"/>
      </w:pPr>
      <w:r>
        <w:t xml:space="preserve">Protsiv M, Ley C, Lankester J, et al (2020) Decreasing human body temperature in the united states since the industrial revolution. eLife 9:</w:t>
      </w:r>
      <w:r>
        <w:t xml:space="preserve"> </w:t>
      </w:r>
      <w:hyperlink r:id="rId258">
        <w:r>
          <w:rPr>
            <w:rStyle w:val="Hyperlink"/>
          </w:rPr>
          <w:t xml:space="preserve">https://doi.org/10.7554/elife.49555</w:t>
        </w:r>
      </w:hyperlink>
    </w:p>
    <w:bookmarkEnd w:id="259"/>
    <w:bookmarkStart w:id="261" w:name="ref-rao2007"/>
    <w:p>
      <w:pPr>
        <w:pStyle w:val="Bibliography"/>
      </w:pPr>
      <w:r>
        <w:t xml:space="preserve">Rao CY, Riggs MA, Chew GL, et al (2007) Characterization of airborne molds, endotoxins, and glucans in homes in new orleans after hurricanes katrina and rita. Applied and Environmental Microbiology 73:1630–1634.</w:t>
      </w:r>
      <w:r>
        <w:t xml:space="preserve"> </w:t>
      </w:r>
      <w:hyperlink r:id="rId260">
        <w:r>
          <w:rPr>
            <w:rStyle w:val="Hyperlink"/>
          </w:rPr>
          <w:t xml:space="preserve">https://doi.org/10.1128/aem.01973-06</w:t>
        </w:r>
      </w:hyperlink>
    </w:p>
    <w:bookmarkEnd w:id="261"/>
    <w:bookmarkStart w:id="263" w:name="ref-rhodes2022"/>
    <w:p>
      <w:pPr>
        <w:pStyle w:val="Bibliography"/>
      </w:pPr>
      <w:r>
        <w:t xml:space="preserve">Rhodes J, Abdolrasouli A, Dunne K, et al</w:t>
      </w:r>
      <w:r>
        <w:t xml:space="preserve"> </w:t>
      </w:r>
      <w:r>
        <w:t xml:space="preserve">(2022) Population genomics confirms acquisition of drug-resistant aspergillus fumigatus infection by humans from the environment. Nature Microbiology 7:663–674.</w:t>
      </w:r>
      <w:r>
        <w:t xml:space="preserve"> </w:t>
      </w:r>
      <w:hyperlink r:id="rId262">
        <w:r>
          <w:rPr>
            <w:rStyle w:val="Hyperlink"/>
          </w:rPr>
          <w:t xml:space="preserve">https://doi.org/10.1038/s41564-022-01091-2</w:t>
        </w:r>
      </w:hyperlink>
    </w:p>
    <w:bookmarkEnd w:id="263"/>
    <w:bookmarkStart w:id="265" w:name="ref-robert2009"/>
    <w:p>
      <w:pPr>
        <w:pStyle w:val="Bibliography"/>
      </w:pPr>
      <w:r>
        <w:t xml:space="preserve">Robert VA, Casadevall A (2009) Vertebrate endothermy restricts most fungi as potential pathogens. The Journal of Infectious Diseases 200:1623–1626.</w:t>
      </w:r>
      <w:r>
        <w:t xml:space="preserve"> </w:t>
      </w:r>
      <w:hyperlink r:id="rId264">
        <w:r>
          <w:rPr>
            <w:rStyle w:val="Hyperlink"/>
          </w:rPr>
          <w:t xml:space="preserve">https://doi.org/10.1086/644642</w:t>
        </w:r>
      </w:hyperlink>
    </w:p>
    <w:bookmarkEnd w:id="265"/>
    <w:bookmarkStart w:id="267" w:name="ref-rodrigues2013"/>
    <w:p>
      <w:pPr>
        <w:pStyle w:val="Bibliography"/>
      </w:pPr>
      <w:r>
        <w:t xml:space="preserve">Rodrigues AM, de Melo Teixeira M, de Hoog GS, et al</w:t>
      </w:r>
      <w:r>
        <w:t xml:space="preserve"> </w:t>
      </w:r>
      <w:r>
        <w:t xml:space="preserve">(2013) Phylogenetic analysis reveals a high prevalence of sporothrix brasiliensis in feline sporotrichosis outbreaks. PLoS Neglected Tropical Diseases 7:e2281.</w:t>
      </w:r>
      <w:r>
        <w:t xml:space="preserve"> </w:t>
      </w:r>
      <w:hyperlink r:id="rId266">
        <w:r>
          <w:rPr>
            <w:rStyle w:val="Hyperlink"/>
          </w:rPr>
          <w:t xml:space="preserve">https://doi.org/10.1371/journal.pntd.0002281</w:t>
        </w:r>
      </w:hyperlink>
    </w:p>
    <w:bookmarkEnd w:id="267"/>
    <w:bookmarkStart w:id="269" w:name="ref-rohr2010"/>
    <w:p>
      <w:pPr>
        <w:pStyle w:val="Bibliography"/>
      </w:pPr>
      <w:r>
        <w:t xml:space="preserve">Rohr JR, Raffel TR (2010) Linking global climate and temperature variability to widespread amphibian declines putatively caused by disease. Proceedings of the National Academy of Sciences 107:8269–8274.</w:t>
      </w:r>
      <w:r>
        <w:t xml:space="preserve"> </w:t>
      </w:r>
      <w:hyperlink r:id="rId268">
        <w:r>
          <w:rPr>
            <w:rStyle w:val="Hyperlink"/>
          </w:rPr>
          <w:t xml:space="preserve">https://doi.org/10.1073/pnas.0912883107</w:t>
        </w:r>
      </w:hyperlink>
    </w:p>
    <w:bookmarkEnd w:id="269"/>
    <w:bookmarkStart w:id="271" w:name="ref-rokas2022"/>
    <w:p>
      <w:pPr>
        <w:pStyle w:val="Bibliography"/>
      </w:pPr>
      <w:r>
        <w:t xml:space="preserve">Rokas A (2022) Evolution of the human pathogenic lifestyle in fungi. Nature Microbiology 7:607–619.</w:t>
      </w:r>
      <w:r>
        <w:t xml:space="preserve"> </w:t>
      </w:r>
      <w:hyperlink r:id="rId270">
        <w:r>
          <w:rPr>
            <w:rStyle w:val="Hyperlink"/>
          </w:rPr>
          <w:t xml:space="preserve">https://doi.org/10.1038/s41564-022-01112-0</w:t>
        </w:r>
      </w:hyperlink>
    </w:p>
    <w:bookmarkEnd w:id="271"/>
    <w:bookmarkStart w:id="273" w:name="ref-rossow2020"/>
    <w:p>
      <w:pPr>
        <w:pStyle w:val="Bibliography"/>
      </w:pPr>
      <w:r>
        <w:t xml:space="preserve">Rossow JA, Queiroz-Telles F, Caceres DH, et al (2020) A one health approach to combatting sporothrix brasiliensis: Narrative review of an emerging zoonotic fungal pathogen in south america. Journal of Fungi 6:247.</w:t>
      </w:r>
      <w:r>
        <w:t xml:space="preserve"> </w:t>
      </w:r>
      <w:hyperlink r:id="rId272">
        <w:r>
          <w:rPr>
            <w:rStyle w:val="Hyperlink"/>
          </w:rPr>
          <w:t xml:space="preserve">https://doi.org/10.3390/jof6040247</w:t>
        </w:r>
      </w:hyperlink>
    </w:p>
    <w:bookmarkEnd w:id="273"/>
    <w:bookmarkStart w:id="275" w:name="ref-Rutherford2007"/>
    <w:p>
      <w:pPr>
        <w:pStyle w:val="Bibliography"/>
      </w:pPr>
      <w:r>
        <w:t xml:space="preserve">Rutherford S, Hirate Y, Swalla BJ (2007) The Hsp90 capacitor, developmental remodeling, and evolution: The robustness of gene networks and the curious evolvability of metamorphosis. Critical Reviews in Biochemistry and Molecular Biology 42:355–372.</w:t>
      </w:r>
      <w:r>
        <w:t xml:space="preserve"> </w:t>
      </w:r>
      <w:hyperlink r:id="rId274">
        <w:r>
          <w:rPr>
            <w:rStyle w:val="Hyperlink"/>
          </w:rPr>
          <w:t xml:space="preserve">https://doi.org/10.1080/10409230701597782</w:t>
        </w:r>
      </w:hyperlink>
    </w:p>
    <w:bookmarkEnd w:id="275"/>
    <w:bookmarkStart w:id="277" w:name="ref-scheele2019"/>
    <w:p>
      <w:pPr>
        <w:pStyle w:val="Bibliography"/>
      </w:pPr>
      <w:r>
        <w:t xml:space="preserve">Scheele BC, Pasmans F, Skerratt LF, et al (2019) Amphibian fungal panzootic causes catastrophic and ongoing loss of biodiversity. Science 363:1459–1463.</w:t>
      </w:r>
      <w:r>
        <w:t xml:space="preserve"> </w:t>
      </w:r>
      <w:hyperlink r:id="rId276">
        <w:r>
          <w:rPr>
            <w:rStyle w:val="Hyperlink"/>
          </w:rPr>
          <w:t xml:space="preserve">https://doi.org/10.1126/science.aav0379</w:t>
        </w:r>
      </w:hyperlink>
    </w:p>
    <w:bookmarkEnd w:id="277"/>
    <w:bookmarkStart w:id="279" w:name="ref-schelenz2016"/>
    <w:p>
      <w:pPr>
        <w:pStyle w:val="Bibliography"/>
      </w:pPr>
      <w:r>
        <w:t xml:space="preserve">Schelenz S, Hagen F, Rhodes JL, et al (2016) First hospital outbreak of the globally emerging candida auris in a european hospital. Antimicrobial Resistance &amp;amp; Infection Control 5:</w:t>
      </w:r>
      <w:r>
        <w:t xml:space="preserve"> </w:t>
      </w:r>
      <w:hyperlink r:id="rId278">
        <w:r>
          <w:rPr>
            <w:rStyle w:val="Hyperlink"/>
          </w:rPr>
          <w:t xml:space="preserve">https://doi.org/10.1186/s13756-016-0132-5</w:t>
        </w:r>
      </w:hyperlink>
    </w:p>
    <w:bookmarkEnd w:id="279"/>
    <w:bookmarkStart w:id="281" w:name="ref-Schmidt-Heydt2008"/>
    <w:p>
      <w:pPr>
        <w:pStyle w:val="Bibliography"/>
      </w:pPr>
      <w:r>
        <w:t xml:space="preserve">Schmidt-Heydt M, Magan N, Geisen R (2008) Stress induction of mycotoxin biosynthesis genes by abiotic factors. FEMS Microbiology Letters 284:142–149.</w:t>
      </w:r>
      <w:r>
        <w:t xml:space="preserve"> </w:t>
      </w:r>
      <w:hyperlink r:id="rId280">
        <w:r>
          <w:rPr>
            <w:rStyle w:val="Hyperlink"/>
          </w:rPr>
          <w:t xml:space="preserve">https://doi.org/10.1111/j.1574-6968.2008.01182.x</w:t>
        </w:r>
      </w:hyperlink>
    </w:p>
    <w:bookmarkEnd w:id="281"/>
    <w:bookmarkStart w:id="283" w:name="ref-seidel2024"/>
    <w:p>
      <w:pPr>
        <w:pStyle w:val="Bibliography"/>
      </w:pPr>
      <w:r>
        <w:t xml:space="preserve">Seidel D, Wurster S, Jenks JD, et al (2024) Impact of climate change and natural disasters on fungal infections. The Lancet Microbe 5:e594–e605.</w:t>
      </w:r>
      <w:r>
        <w:t xml:space="preserve"> </w:t>
      </w:r>
      <w:hyperlink r:id="rId282">
        <w:r>
          <w:rPr>
            <w:rStyle w:val="Hyperlink"/>
          </w:rPr>
          <w:t xml:space="preserve">https://doi.org/10.1016/s2666-5247(24)00039-9</w:t>
        </w:r>
      </w:hyperlink>
    </w:p>
    <w:bookmarkEnd w:id="283"/>
    <w:bookmarkStart w:id="285" w:name="ref-selmecki2006"/>
    <w:p>
      <w:pPr>
        <w:pStyle w:val="Bibliography"/>
      </w:pPr>
      <w:r>
        <w:t xml:space="preserve">Selmecki A, Forche A, Berman J (2006) Aneuploidy and isochromosome formation in drug-resistant &lt;i&gt;candida albicans&lt;/i&gt;. Science 313:367–370.</w:t>
      </w:r>
      <w:r>
        <w:t xml:space="preserve"> </w:t>
      </w:r>
      <w:hyperlink r:id="rId284">
        <w:r>
          <w:rPr>
            <w:rStyle w:val="Hyperlink"/>
          </w:rPr>
          <w:t xml:space="preserve">https://doi.org/10.1126/science.1128242</w:t>
        </w:r>
      </w:hyperlink>
    </w:p>
    <w:bookmarkEnd w:id="285"/>
    <w:bookmarkStart w:id="287" w:name="ref-singh2023"/>
    <w:p>
      <w:pPr>
        <w:pStyle w:val="Bibliography"/>
      </w:pPr>
      <w:r>
        <w:t xml:space="preserve">Singh BK, Delgado-Baquerizo M, Egidi E, et al (2023) Climate change impacts on plant pathogens, food security and paths forward. Nature Reviews Microbiology 21:640–656.</w:t>
      </w:r>
      <w:r>
        <w:t xml:space="preserve"> </w:t>
      </w:r>
      <w:hyperlink r:id="rId286">
        <w:r>
          <w:rPr>
            <w:rStyle w:val="Hyperlink"/>
          </w:rPr>
          <w:t xml:space="preserve">https://doi.org/10.1038/s41579-023-00900-7</w:t>
        </w:r>
      </w:hyperlink>
    </w:p>
    <w:bookmarkEnd w:id="287"/>
    <w:bookmarkStart w:id="289" w:name="ref-smith2023"/>
    <w:p>
      <w:pPr>
        <w:pStyle w:val="Bibliography"/>
      </w:pPr>
      <w:r>
        <w:t xml:space="preserve">Smith DFQ, Casadevall A (2023) Disaster mycology. Biomédica 43:267–277.</w:t>
      </w:r>
      <w:r>
        <w:t xml:space="preserve"> </w:t>
      </w:r>
      <w:hyperlink r:id="rId288">
        <w:r>
          <w:rPr>
            <w:rStyle w:val="Hyperlink"/>
          </w:rPr>
          <w:t xml:space="preserve">https://doi.org/10.7705/biomedica.6943</w:t>
        </w:r>
      </w:hyperlink>
    </w:p>
    <w:bookmarkEnd w:id="289"/>
    <w:bookmarkStart w:id="291" w:name="ref-smithcasadevall2022"/>
    <w:p>
      <w:pPr>
        <w:pStyle w:val="Bibliography"/>
      </w:pPr>
      <w:r>
        <w:t xml:space="preserve">Smith DFQ, Casadevall A (2022) Disaster microbiology—a new field of study. mBio 13:</w:t>
      </w:r>
      <w:r>
        <w:t xml:space="preserve"> </w:t>
      </w:r>
      <w:hyperlink r:id="rId290">
        <w:r>
          <w:rPr>
            <w:rStyle w:val="Hyperlink"/>
          </w:rPr>
          <w:t xml:space="preserve">https://doi.org/10.1128/mbio.01680-22</w:t>
        </w:r>
      </w:hyperlink>
    </w:p>
    <w:bookmarkEnd w:id="291"/>
    <w:bookmarkStart w:id="293" w:name="ref-smith2025"/>
    <w:p>
      <w:pPr>
        <w:pStyle w:val="Bibliography"/>
      </w:pPr>
      <w:r>
        <w:t xml:space="preserve">Smith DFQ, Kulkarni M, Bencomo A, et al (2025) Environmental fungi from cool and warm neighborhoods in the heat island of baltimore city show differences in thermal susceptibility and pigmentation. ISME Communications 5:</w:t>
      </w:r>
      <w:r>
        <w:t xml:space="preserve"> </w:t>
      </w:r>
      <w:hyperlink r:id="rId292">
        <w:r>
          <w:rPr>
            <w:rStyle w:val="Hyperlink"/>
          </w:rPr>
          <w:t xml:space="preserve">https://doi.org/10.1093/ismeco/ycaf177</w:t>
        </w:r>
      </w:hyperlink>
    </w:p>
    <w:bookmarkEnd w:id="293"/>
    <w:bookmarkStart w:id="295" w:name="ref-smith2022"/>
    <w:p>
      <w:pPr>
        <w:pStyle w:val="Bibliography"/>
      </w:pPr>
      <w:r>
        <w:t xml:space="preserve">Smith DJ, Williams SL, Benedict KM, et al (2022) Surveillance for coccidioidomycosis, histoplasmosis, and blastomycosis — united states, 2019. MMWR Surveillance Summaries 71:1–14.</w:t>
      </w:r>
      <w:r>
        <w:t xml:space="preserve"> </w:t>
      </w:r>
      <w:hyperlink r:id="rId294">
        <w:r>
          <w:rPr>
            <w:rStyle w:val="Hyperlink"/>
          </w:rPr>
          <w:t xml:space="preserve">https://doi.org/10.15585/mmwr.ss7107a1</w:t>
        </w:r>
      </w:hyperlink>
    </w:p>
    <w:bookmarkEnd w:id="295"/>
    <w:bookmarkStart w:id="297" w:name="ref-snelders2012"/>
    <w:p>
      <w:pPr>
        <w:pStyle w:val="Bibliography"/>
      </w:pPr>
      <w:r>
        <w:t xml:space="preserve">Snelders E, Camps SMT, Karawajczyk A, et al</w:t>
      </w:r>
      <w:r>
        <w:t xml:space="preserve"> </w:t>
      </w:r>
      <w:r>
        <w:t xml:space="preserve">(2012) Triazole fungicides can induce cross-resistance to medical triazoles in aspergillus fumigatus. PLoS ONE 7:e31801.</w:t>
      </w:r>
      <w:r>
        <w:t xml:space="preserve"> </w:t>
      </w:r>
      <w:hyperlink r:id="rId296">
        <w:r>
          <w:rPr>
            <w:rStyle w:val="Hyperlink"/>
          </w:rPr>
          <w:t xml:space="preserve">https://doi.org/10.1371/journal.pone.0031801</w:t>
        </w:r>
      </w:hyperlink>
    </w:p>
    <w:bookmarkEnd w:id="297"/>
    <w:bookmarkStart w:id="299" w:name="ref-cooksey2017"/>
    <w:p>
      <w:pPr>
        <w:pStyle w:val="Bibliography"/>
      </w:pPr>
      <w:r>
        <w:t xml:space="preserve">Sondermeyer Cooksey GL, Wilken JA, McNary J, et al (2017) Dust exposure and coccidioidomycosis prevention among solar power farm construction workers in california. American Journal of Public Health 107:1296–1303.</w:t>
      </w:r>
      <w:r>
        <w:t xml:space="preserve"> </w:t>
      </w:r>
      <w:hyperlink r:id="rId298">
        <w:r>
          <w:rPr>
            <w:rStyle w:val="Hyperlink"/>
          </w:rPr>
          <w:t xml:space="preserve">https://doi.org/10.2105/ajph.2017.303820</w:t>
        </w:r>
      </w:hyperlink>
    </w:p>
    <w:bookmarkEnd w:id="299"/>
    <w:bookmarkStart w:id="301" w:name="ref-steenwyk2016"/>
    <w:p>
      <w:pPr>
        <w:pStyle w:val="Bibliography"/>
      </w:pPr>
      <w:r>
        <w:t xml:space="preserve">Steenwyk JL, Soghigian JS, Perfect JR, Gibbons JG (2016) Copy number variation contributes to cryptic genetic variation in outbreak lineages of cryptococcus gattii from the north american pacific northwest. BMC Genomics 17:</w:t>
      </w:r>
      <w:r>
        <w:t xml:space="preserve"> </w:t>
      </w:r>
      <w:hyperlink r:id="rId300">
        <w:r>
          <w:rPr>
            <w:rStyle w:val="Hyperlink"/>
          </w:rPr>
          <w:t xml:space="preserve">https://doi.org/10.1186/s12864-016-3044-0</w:t>
        </w:r>
      </w:hyperlink>
    </w:p>
    <w:bookmarkEnd w:id="301"/>
    <w:bookmarkStart w:id="303" w:name="ref-steinbach2007"/>
    <w:p>
      <w:pPr>
        <w:pStyle w:val="Bibliography"/>
      </w:pPr>
      <w:r>
        <w:t xml:space="preserve">Steinbach WJ, Reedy JL, Cramer RA, et al (2007) Harnessing calcineurin as a novel anti-infective agent against invasive fungal infections. Nature Reviews Microbiology 5:418–430.</w:t>
      </w:r>
      <w:r>
        <w:t xml:space="preserve"> </w:t>
      </w:r>
      <w:hyperlink r:id="rId302">
        <w:r>
          <w:rPr>
            <w:rStyle w:val="Hyperlink"/>
          </w:rPr>
          <w:t xml:space="preserve">https://doi.org/10.1038/nrmicro1680</w:t>
        </w:r>
      </w:hyperlink>
    </w:p>
    <w:bookmarkEnd w:id="303"/>
    <w:bookmarkStart w:id="305" w:name="ref-stevenson2013"/>
    <w:p>
      <w:pPr>
        <w:pStyle w:val="Bibliography"/>
      </w:pPr>
      <w:r>
        <w:t xml:space="preserve">Stevenson LA, Alford RA, Bell SC, et al (2013) Variation in thermal performance of a widespread pathogen, the amphibian chytrid fungus batrachochytrium dendrobatidis. PLoS ONE 8:e73830.</w:t>
      </w:r>
      <w:r>
        <w:t xml:space="preserve"> </w:t>
      </w:r>
      <w:hyperlink r:id="rId304">
        <w:r>
          <w:rPr>
            <w:rStyle w:val="Hyperlink"/>
          </w:rPr>
          <w:t xml:space="preserve">https://doi.org/10.1371/journal.pone.0073830</w:t>
        </w:r>
      </w:hyperlink>
    </w:p>
    <w:bookmarkEnd w:id="305"/>
    <w:bookmarkStart w:id="307" w:name="ref-toda2023"/>
    <w:p>
      <w:pPr>
        <w:pStyle w:val="Bibliography"/>
      </w:pPr>
      <w:r>
        <w:t xml:space="preserve">Toda M, Williams S, Jackson BR, et al (2023) Invasive mold infections following hurricane harvey—houston, texas. Open Forum Infectious Diseases 10:</w:t>
      </w:r>
      <w:r>
        <w:t xml:space="preserve"> </w:t>
      </w:r>
      <w:hyperlink r:id="rId306">
        <w:r>
          <w:rPr>
            <w:rStyle w:val="Hyperlink"/>
          </w:rPr>
          <w:t xml:space="preserve">https://doi.org/10.1093/ofid/ofad093</w:t>
        </w:r>
      </w:hyperlink>
    </w:p>
    <w:bookmarkEnd w:id="307"/>
    <w:bookmarkStart w:id="309" w:name="ref-tong2017"/>
    <w:p>
      <w:pPr>
        <w:pStyle w:val="Bibliography"/>
      </w:pPr>
      <w:r>
        <w:t xml:space="preserve">Tong DQ, Wang JXL, Gill TE, et al (2017) Intensified dust storm activity and valley fever infection in the southwestern united states. Geophysical Research Letters 44:4304–4312.</w:t>
      </w:r>
      <w:r>
        <w:t xml:space="preserve"> </w:t>
      </w:r>
      <w:hyperlink r:id="rId308">
        <w:r>
          <w:rPr>
            <w:rStyle w:val="Hyperlink"/>
          </w:rPr>
          <w:t xml:space="preserve">https://doi.org/10.1002/2017gl073524</w:t>
        </w:r>
      </w:hyperlink>
    </w:p>
    <w:bookmarkEnd w:id="309"/>
    <w:bookmarkStart w:id="311" w:name="ref-Tsai2019a"/>
    <w:p>
      <w:pPr>
        <w:pStyle w:val="Bibliography"/>
      </w:pPr>
      <w:r>
        <w:t xml:space="preserve">Tsai H-J, Nelliat A (2019) A double-edged sword: Aneuploidy is a prevalent strategy in fungal adaptation. Genes 10:787.</w:t>
      </w:r>
      <w:r>
        <w:t xml:space="preserve"> </w:t>
      </w:r>
      <w:hyperlink r:id="rId310">
        <w:r>
          <w:rPr>
            <w:rStyle w:val="Hyperlink"/>
          </w:rPr>
          <w:t xml:space="preserve">https://doi.org/10.3390/genes10100787</w:t>
        </w:r>
      </w:hyperlink>
    </w:p>
    <w:bookmarkEnd w:id="311"/>
    <w:bookmarkStart w:id="313" w:name="ref-uhrla2022"/>
    <w:p>
      <w:pPr>
        <w:pStyle w:val="Bibliography"/>
      </w:pPr>
      <w:r>
        <w:t xml:space="preserve">Uhrlaß S, Verma SB, Gräser Y, et al (2022) Trichophyton indotineae—an emerging pathogen causing recalcitrant dermatophytoses in india and worldwide—a multidimensional perspective. Journal of Fungi 8:757.</w:t>
      </w:r>
      <w:r>
        <w:t xml:space="preserve"> </w:t>
      </w:r>
      <w:hyperlink r:id="rId312">
        <w:r>
          <w:rPr>
            <w:rStyle w:val="Hyperlink"/>
          </w:rPr>
          <w:t xml:space="preserve">https://doi.org/10.3390/jof8070757</w:t>
        </w:r>
      </w:hyperlink>
    </w:p>
    <w:bookmarkEnd w:id="313"/>
    <w:bookmarkStart w:id="315" w:name="ref-vanrhijn2025"/>
    <w:p>
      <w:pPr>
        <w:pStyle w:val="Bibliography"/>
      </w:pPr>
      <w:r>
        <w:t xml:space="preserve">van Rhijn N, Rhodes J</w:t>
      </w:r>
      <w:r>
        <w:t xml:space="preserve"> </w:t>
      </w:r>
      <w:r>
        <w:t xml:space="preserve">(2025) Evolution of antifungal resistance in the environment. Nature Microbiology 10:1804–1815.</w:t>
      </w:r>
      <w:r>
        <w:t xml:space="preserve"> </w:t>
      </w:r>
      <w:hyperlink r:id="rId314">
        <w:r>
          <w:rPr>
            <w:rStyle w:val="Hyperlink"/>
          </w:rPr>
          <w:t xml:space="preserve">https://doi.org/10.1038/s41564-025-02055-y</w:t>
        </w:r>
      </w:hyperlink>
    </w:p>
    <w:bookmarkEnd w:id="315"/>
    <w:bookmarkStart w:id="317" w:name="ref-verweij2015"/>
    <w:p>
      <w:pPr>
        <w:pStyle w:val="Bibliography"/>
      </w:pPr>
      <w:r>
        <w:t xml:space="preserve">Verweij PE, Chowdhary A, Melchers WJG, Meis JF (2015) Azole resistance in &lt;i&gt;aspergillus fumigatus&lt;/i&gt; : Can we retain the clinical use of mold-active antifungal azoles? Clinical Infectious Diseases 62:362–368.</w:t>
      </w:r>
      <w:r>
        <w:t xml:space="preserve"> </w:t>
      </w:r>
      <w:hyperlink r:id="rId316">
        <w:r>
          <w:rPr>
            <w:rStyle w:val="Hyperlink"/>
          </w:rPr>
          <w:t xml:space="preserve">https://doi.org/10.1093/cid/civ885</w:t>
        </w:r>
      </w:hyperlink>
    </w:p>
    <w:bookmarkEnd w:id="317"/>
    <w:bookmarkStart w:id="319" w:name="ref-verweij2009"/>
    <w:p>
      <w:pPr>
        <w:pStyle w:val="Bibliography"/>
      </w:pPr>
      <w:r>
        <w:t xml:space="preserve">Verweij PE, Snelders E, Kema GH, et al (2009) Azole resistance in aspergillus fumigatus: A side-effect of environmental fungicide use? The Lancet Infectious Diseases 9:789–795.</w:t>
      </w:r>
      <w:r>
        <w:t xml:space="preserve"> </w:t>
      </w:r>
      <w:hyperlink r:id="rId318">
        <w:r>
          <w:rPr>
            <w:rStyle w:val="Hyperlink"/>
          </w:rPr>
          <w:t xml:space="preserve">https://doi.org/10.1016/s1473-3099(09)70265-8</w:t>
        </w:r>
      </w:hyperlink>
    </w:p>
    <w:bookmarkEnd w:id="319"/>
    <w:bookmarkStart w:id="321" w:name="ref-wilken2015"/>
    <w:p>
      <w:pPr>
        <w:pStyle w:val="Bibliography"/>
      </w:pPr>
      <w:r>
        <w:t xml:space="preserve">Wilken JA, Sondermeyer G, Shusterman D, et al (2015) Coccidioidomycosis among workers constructing solar power farms, california, USA, 2011–2014. Emerging Infectious Diseases 21:1997–2005.</w:t>
      </w:r>
      <w:r>
        <w:t xml:space="preserve"> </w:t>
      </w:r>
      <w:hyperlink r:id="rId320">
        <w:r>
          <w:rPr>
            <w:rStyle w:val="Hyperlink"/>
          </w:rPr>
          <w:t xml:space="preserve">https://doi.org/10.3201/eid2111.150129</w:t>
        </w:r>
      </w:hyperlink>
    </w:p>
    <w:bookmarkEnd w:id="321"/>
    <w:bookmarkStart w:id="323" w:name="ref-wu2022"/>
    <w:p>
      <w:pPr>
        <w:pStyle w:val="Bibliography"/>
      </w:pPr>
      <w:r>
        <w:t xml:space="preserve">Wu R, Trubl G, Taş N, Jansson JK (2022) Permafrost as a potential pathogen reservoir. One Earth 5:351–360.</w:t>
      </w:r>
      <w:r>
        <w:t xml:space="preserve"> </w:t>
      </w:r>
      <w:hyperlink r:id="rId322">
        <w:r>
          <w:rPr>
            <w:rStyle w:val="Hyperlink"/>
          </w:rPr>
          <w:t xml:space="preserve">https://doi.org/10.1016/j.oneear.2022.03.010</w:t>
        </w:r>
      </w:hyperlink>
    </w:p>
    <w:bookmarkEnd w:id="323"/>
    <w:bookmarkStart w:id="324" w:name="ref-wurster2020"/>
    <w:p>
      <w:pPr>
        <w:pStyle w:val="Bibliography"/>
      </w:pPr>
      <w:r>
        <w:t xml:space="preserve">Wurster S et al</w:t>
      </w:r>
      <w:r>
        <w:t xml:space="preserve"> </w:t>
      </w:r>
      <w:r>
        <w:t xml:space="preserve">(2020) [VERIFY] tornadic shear stress induces calcineurin/Hsp90-dependent transient hypervirulence in mucorales. mBio</w:t>
      </w:r>
    </w:p>
    <w:bookmarkEnd w:id="324"/>
    <w:bookmarkStart w:id="326" w:name="ref-zingales2022"/>
    <w:p>
      <w:pPr>
        <w:pStyle w:val="Bibliography"/>
      </w:pPr>
      <w:r>
        <w:t xml:space="preserve">Zingales V, Taroncher M, Martino PA, et al (2022) Climate change and effects on molds and mycotoxins. Toxins 14:445.</w:t>
      </w:r>
      <w:r>
        <w:t xml:space="preserve"> </w:t>
      </w:r>
      <w:hyperlink r:id="rId325">
        <w:r>
          <w:rPr>
            <w:rStyle w:val="Hyperlink"/>
          </w:rPr>
          <w:t xml:space="preserve">https://doi.org/10.3390/toxins14070445</w:t>
        </w:r>
      </w:hyperlink>
    </w:p>
    <w:bookmarkEnd w:id="326"/>
    <w:bookmarkEnd w:id="327"/>
    <w:bookmarkEnd w:id="328"/>
    <w:bookmarkEnd w:id="3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top w:type="dxa" w:w="60"/>
        <w:left w:type="dxa" w:w="108"/>
        <w:bottom w:type="dxa" w:w="60"/>
        <w:right w:type="dxa" w:w="108"/>
      </w:tblCellMar>
    </w:tblPr>
    <w:tblStylePr w:type="firstRow">
      <w:pPr>
        <w:keepNext/>
      </w:pPr>
      <w:rPr>
        <w:b/>
      </w:rPr>
      <w:tcPr>
        <w:shd w:color="auto" w:fill="D9E2F3" w:val="clear"/>
        <w:tcBorders>
          <w:bottom w:color="808080"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27" Target="media/rId27.png" /><Relationship Type="http://schemas.openxmlformats.org/officeDocument/2006/relationships/image" Id="rId47" Target="media/rId47.png" /><Relationship Type="http://schemas.openxmlformats.org/officeDocument/2006/relationships/hyperlink" Id="rId308" Target="https://doi.org/10.1002/2017gl073524" TargetMode="External" /><Relationship Type="http://schemas.openxmlformats.org/officeDocument/2006/relationships/hyperlink" Id="rId206" Target="https://doi.org/10.1002/hsr2.70627" TargetMode="External" /><Relationship Type="http://schemas.openxmlformats.org/officeDocument/2006/relationships/hyperlink" Id="rId242" Target="https://doi.org/10.1016/j.cofs.2017.11.009" TargetMode="External" /><Relationship Type="http://schemas.openxmlformats.org/officeDocument/2006/relationships/hyperlink" Id="rId196" Target="https://doi.org/10.1016/j.cub.2023.02.027" TargetMode="External" /><Relationship Type="http://schemas.openxmlformats.org/officeDocument/2006/relationships/hyperlink" Id="rId210" Target="https://doi.org/10.1016/j.eclinm.2023.102325" TargetMode="External" /><Relationship Type="http://schemas.openxmlformats.org/officeDocument/2006/relationships/hyperlink" Id="rId216" Target="https://doi.org/10.1016/j.envpol.2017.03.012" TargetMode="External" /><Relationship Type="http://schemas.openxmlformats.org/officeDocument/2006/relationships/hyperlink" Id="rId146" Target="https://doi.org/10.1016/j.fbr.2016.12.003" TargetMode="External" /><Relationship Type="http://schemas.openxmlformats.org/officeDocument/2006/relationships/hyperlink" Id="rId254" Target="https://doi.org/10.1016/j.fgb.2010.08.010" TargetMode="External" /><Relationship Type="http://schemas.openxmlformats.org/officeDocument/2006/relationships/hyperlink" Id="rId244" Target="https://doi.org/10.1016/j.funbio.2024.01.005" TargetMode="External" /><Relationship Type="http://schemas.openxmlformats.org/officeDocument/2006/relationships/hyperlink" Id="rId130" Target="https://doi.org/10.1016/j.jaci.2023.09.001" TargetMode="External" /><Relationship Type="http://schemas.openxmlformats.org/officeDocument/2006/relationships/hyperlink" Id="rId322" Target="https://doi.org/10.1016/j.oneear.2022.03.010" TargetMode="External" /><Relationship Type="http://schemas.openxmlformats.org/officeDocument/2006/relationships/hyperlink" Id="rId110" Target="https://doi.org/10.1016/j.tim.2018.11.001" TargetMode="External" /><Relationship Type="http://schemas.openxmlformats.org/officeDocument/2006/relationships/hyperlink" Id="rId136" Target="https://doi.org/10.1016/s1473-3099(06)70686-7" TargetMode="External" /><Relationship Type="http://schemas.openxmlformats.org/officeDocument/2006/relationships/hyperlink" Id="rId318" Target="https://doi.org/10.1016/s1473-3099(09)70265-8" TargetMode="External" /><Relationship Type="http://schemas.openxmlformats.org/officeDocument/2006/relationships/hyperlink" Id="rId158" Target="https://doi.org/10.1016/s1473-3099(23)00692-8" TargetMode="External" /><Relationship Type="http://schemas.openxmlformats.org/officeDocument/2006/relationships/hyperlink" Id="rId200" Target="https://doi.org/10.1016/s2542-5196(22)00202-9" TargetMode="External" /><Relationship Type="http://schemas.openxmlformats.org/officeDocument/2006/relationships/hyperlink" Id="rId282" Target="https://doi.org/10.1016/s2666-5247(24)00039-9" TargetMode="External" /><Relationship Type="http://schemas.openxmlformats.org/officeDocument/2006/relationships/hyperlink" Id="rId182" Target="https://doi.org/10.1029/2019gh000209" TargetMode="External" /><Relationship Type="http://schemas.openxmlformats.org/officeDocument/2006/relationships/hyperlink" Id="rId138" Target="https://doi.org/10.1038/nature10795" TargetMode="External" /><Relationship Type="http://schemas.openxmlformats.org/officeDocument/2006/relationships/hyperlink" Id="rId170" Target="https://doi.org/10.1038/nature10947" TargetMode="External" /><Relationship Type="http://schemas.openxmlformats.org/officeDocument/2006/relationships/hyperlink" Id="rId112" Target="https://doi.org/10.1038/nature13575" TargetMode="External" /><Relationship Type="http://schemas.openxmlformats.org/officeDocument/2006/relationships/hyperlink" Id="rId94" Target="https://doi.org/10.1038/nclimate1990" TargetMode="External" /><Relationship Type="http://schemas.openxmlformats.org/officeDocument/2006/relationships/hyperlink" Id="rId302" Target="https://doi.org/10.1038/nrmicro1680" TargetMode="External" /><Relationship Type="http://schemas.openxmlformats.org/officeDocument/2006/relationships/hyperlink" Id="rId194" Target="https://doi.org/10.1038/nrmicro2519" TargetMode="External" /><Relationship Type="http://schemas.openxmlformats.org/officeDocument/2006/relationships/hyperlink" Id="rId234" Target="https://doi.org/10.1038/s41558-018-0161-6" TargetMode="External" /><Relationship Type="http://schemas.openxmlformats.org/officeDocument/2006/relationships/hyperlink" Id="rId132" Target="https://doi.org/10.1038/s41558-021-01104-8" TargetMode="External" /><Relationship Type="http://schemas.openxmlformats.org/officeDocument/2006/relationships/hyperlink" Id="rId246" Target="https://doi.org/10.1038/s41558-022-01426-1" TargetMode="External" /><Relationship Type="http://schemas.openxmlformats.org/officeDocument/2006/relationships/hyperlink" Id="rId262" Target="https://doi.org/10.1038/s41564-022-01091-2" TargetMode="External" /><Relationship Type="http://schemas.openxmlformats.org/officeDocument/2006/relationships/hyperlink" Id="rId270" Target="https://doi.org/10.1038/s41564-022-01112-0" TargetMode="External" /><Relationship Type="http://schemas.openxmlformats.org/officeDocument/2006/relationships/hyperlink" Id="rId202" Target="https://doi.org/10.1038/s41564-024-01720-y" TargetMode="External" /><Relationship Type="http://schemas.openxmlformats.org/officeDocument/2006/relationships/hyperlink" Id="rId314" Target="https://doi.org/10.1038/s41564-025-02055-y" TargetMode="External" /><Relationship Type="http://schemas.openxmlformats.org/officeDocument/2006/relationships/hyperlink" Id="rId96" Target="https://doi.org/10.1038/s41564-025-02084-7" TargetMode="External" /><Relationship Type="http://schemas.openxmlformats.org/officeDocument/2006/relationships/hyperlink" Id="rId166" Target="https://doi.org/10.1038/s41579-020-0335-x" TargetMode="External" /><Relationship Type="http://schemas.openxmlformats.org/officeDocument/2006/relationships/hyperlink" Id="rId90" Target="https://doi.org/10.1038/s41579-021-00639-z" TargetMode="External" /><Relationship Type="http://schemas.openxmlformats.org/officeDocument/2006/relationships/hyperlink" Id="rId162" Target="https://doi.org/10.1038/s41579-022-00720-1" TargetMode="External" /><Relationship Type="http://schemas.openxmlformats.org/officeDocument/2006/relationships/hyperlink" Id="rId164" Target="https://doi.org/10.1038/s41579-023-00861-x" TargetMode="External" /><Relationship Type="http://schemas.openxmlformats.org/officeDocument/2006/relationships/hyperlink" Id="rId286" Target="https://doi.org/10.1038/s41579-023-00900-7" TargetMode="External" /><Relationship Type="http://schemas.openxmlformats.org/officeDocument/2006/relationships/hyperlink" Id="rId214" Target="https://doi.org/10.1038/s41579-026-01285-z" TargetMode="External" /><Relationship Type="http://schemas.openxmlformats.org/officeDocument/2006/relationships/hyperlink" Id="rId114" Target="https://doi.org/10.1038/s41586-022-04788-w" TargetMode="External" /><Relationship Type="http://schemas.openxmlformats.org/officeDocument/2006/relationships/hyperlink" Id="rId126" Target="https://doi.org/10.1038/s41586-024-08419-4" TargetMode="External" /><Relationship Type="http://schemas.openxmlformats.org/officeDocument/2006/relationships/hyperlink" Id="rId180" Target="https://doi.org/10.1038/s41598-021-92405-7" TargetMode="External" /><Relationship Type="http://schemas.openxmlformats.org/officeDocument/2006/relationships/hyperlink" Id="rId178" Target="https://doi.org/10.1038/s43247-023-01127-3" TargetMode="External" /><Relationship Type="http://schemas.openxmlformats.org/officeDocument/2006/relationships/hyperlink" Id="rId220" Target="https://doi.org/10.1038/s43705-022-00089-5" TargetMode="External" /><Relationship Type="http://schemas.openxmlformats.org/officeDocument/2006/relationships/hyperlink" Id="rId116" Target="https://doi.org/10.1038/s44358-024-00005-w" TargetMode="External" /><Relationship Type="http://schemas.openxmlformats.org/officeDocument/2006/relationships/hyperlink" Id="rId92" Target="https://doi.org/10.1038/srep24328" TargetMode="External" /><Relationship Type="http://schemas.openxmlformats.org/officeDocument/2006/relationships/hyperlink" Id="rId252" Target="https://doi.org/10.1056/nejmoa1204781" TargetMode="External" /><Relationship Type="http://schemas.openxmlformats.org/officeDocument/2006/relationships/hyperlink" Id="rId218" Target="https://doi.org/10.1073/pnas.0402981101" TargetMode="External" /><Relationship Type="http://schemas.openxmlformats.org/officeDocument/2006/relationships/hyperlink" Id="rId134" Target="https://doi.org/10.1073/pnas.0709578105" TargetMode="External" /><Relationship Type="http://schemas.openxmlformats.org/officeDocument/2006/relationships/hyperlink" Id="rId150" Target="https://doi.org/10.1073/pnas.0813394106" TargetMode="External" /><Relationship Type="http://schemas.openxmlformats.org/officeDocument/2006/relationships/hyperlink" Id="rId268" Target="https://doi.org/10.1073/pnas.0912883107" TargetMode="External" /><Relationship Type="http://schemas.openxmlformats.org/officeDocument/2006/relationships/hyperlink" Id="rId238" Target="https://doi.org/10.1073/pnas.1307356110" TargetMode="External" /><Relationship Type="http://schemas.openxmlformats.org/officeDocument/2006/relationships/hyperlink" Id="rId188" Target="https://doi.org/10.1073/pnas.2001451117" TargetMode="External" /><Relationship Type="http://schemas.openxmlformats.org/officeDocument/2006/relationships/hyperlink" Id="rId190" Target="https://doi.org/10.1073/pnas.2209831120" TargetMode="External" /><Relationship Type="http://schemas.openxmlformats.org/officeDocument/2006/relationships/hyperlink" Id="rId274" Target="https://doi.org/10.1080/10409230701597782" TargetMode="External" /><Relationship Type="http://schemas.openxmlformats.org/officeDocument/2006/relationships/hyperlink" Id="rId212" Target="https://doi.org/10.1080/21505594.2016.1201250" TargetMode="External" /><Relationship Type="http://schemas.openxmlformats.org/officeDocument/2006/relationships/hyperlink" Id="rId264" Target="https://doi.org/10.1086/644642" TargetMode="External" /><Relationship Type="http://schemas.openxmlformats.org/officeDocument/2006/relationships/hyperlink" Id="rId240" Target="https://doi.org/10.1093/cid/ciac882" TargetMode="External" /><Relationship Type="http://schemas.openxmlformats.org/officeDocument/2006/relationships/hyperlink" Id="rId316" Target="https://doi.org/10.1093/cid/civ885" TargetMode="External" /><Relationship Type="http://schemas.openxmlformats.org/officeDocument/2006/relationships/hyperlink" Id="rId232" Target="https://doi.org/10.1093/cid/ciw691" TargetMode="External" /><Relationship Type="http://schemas.openxmlformats.org/officeDocument/2006/relationships/hyperlink" Id="rId292" Target="https://doi.org/10.1093/ismeco/ycaf177" TargetMode="External" /><Relationship Type="http://schemas.openxmlformats.org/officeDocument/2006/relationships/hyperlink" Id="rId160" Target="https://doi.org/10.1093/ismejo/wrae203" TargetMode="External" /><Relationship Type="http://schemas.openxmlformats.org/officeDocument/2006/relationships/hyperlink" Id="rId172" Target="https://doi.org/10.1093/mmy/myy054" TargetMode="External" /><Relationship Type="http://schemas.openxmlformats.org/officeDocument/2006/relationships/hyperlink" Id="rId306" Target="https://doi.org/10.1093/ofid/ofad093" TargetMode="External" /><Relationship Type="http://schemas.openxmlformats.org/officeDocument/2006/relationships/hyperlink" Id="rId208" Target="https://doi.org/10.1093/ofid/ofaf441" TargetMode="External" /><Relationship Type="http://schemas.openxmlformats.org/officeDocument/2006/relationships/hyperlink" Id="rId224" Target="https://doi.org/10.1093/ofid/ofz385" TargetMode="External" /><Relationship Type="http://schemas.openxmlformats.org/officeDocument/2006/relationships/hyperlink" Id="rId100" Target="https://doi.org/10.1101/cshperspect.a019604" TargetMode="External" /><Relationship Type="http://schemas.openxmlformats.org/officeDocument/2006/relationships/hyperlink" Id="rId226" Target="https://doi.org/10.1101/cshperspect.a019760" TargetMode="External" /><Relationship Type="http://schemas.openxmlformats.org/officeDocument/2006/relationships/hyperlink" Id="rId128" Target="https://doi.org/10.1111/1541-4337.13323" TargetMode="External" /><Relationship Type="http://schemas.openxmlformats.org/officeDocument/2006/relationships/hyperlink" Id="rId186" Target="https://doi.org/10.1111/ijd.17908" TargetMode="External" /><Relationship Type="http://schemas.openxmlformats.org/officeDocument/2006/relationships/hyperlink" Id="rId280" Target="https://doi.org/10.1111/j.1574-6968.2008.01182.x" TargetMode="External" /><Relationship Type="http://schemas.openxmlformats.org/officeDocument/2006/relationships/hyperlink" Id="rId148" Target="https://doi.org/10.1126/science.1118370" TargetMode="External" /><Relationship Type="http://schemas.openxmlformats.org/officeDocument/2006/relationships/hyperlink" Id="rId284" Target="https://doi.org/10.1126/science.1128242" TargetMode="External" /><Relationship Type="http://schemas.openxmlformats.org/officeDocument/2006/relationships/hyperlink" Id="rId108" Target="https://doi.org/10.1126/science.1163874" TargetMode="External" /><Relationship Type="http://schemas.openxmlformats.org/officeDocument/2006/relationships/hyperlink" Id="rId168" Target="https://doi.org/10.1126/science.aap7999" TargetMode="External" /><Relationship Type="http://schemas.openxmlformats.org/officeDocument/2006/relationships/hyperlink" Id="rId276" Target="https://doi.org/10.1126/science.aav0379" TargetMode="External" /><Relationship Type="http://schemas.openxmlformats.org/officeDocument/2006/relationships/hyperlink" Id="rId260" Target="https://doi.org/10.1128/aem.01973-06" TargetMode="External" /><Relationship Type="http://schemas.openxmlformats.org/officeDocument/2006/relationships/hyperlink" Id="rId176" Target="https://doi.org/10.1128/mbio.00061-10" TargetMode="External" /><Relationship Type="http://schemas.openxmlformats.org/officeDocument/2006/relationships/hyperlink" Id="rId104" Target="https://doi.org/10.1128/mbio.00212-10" TargetMode="External" /><Relationship Type="http://schemas.openxmlformats.org/officeDocument/2006/relationships/hyperlink" Id="rId228" Target="https://doi.org/10.1128/mbio.00750-26" TargetMode="External" /><Relationship Type="http://schemas.openxmlformats.org/officeDocument/2006/relationships/hyperlink" Id="rId124" Target="https://doi.org/10.1128/mbio.01397-19" TargetMode="External" /><Relationship Type="http://schemas.openxmlformats.org/officeDocument/2006/relationships/hyperlink" Id="rId106" Target="https://doi.org/10.1128/mbio.01494-14" TargetMode="External" /><Relationship Type="http://schemas.openxmlformats.org/officeDocument/2006/relationships/hyperlink" Id="rId290" Target="https://doi.org/10.1128/mbio.01680-22" TargetMode="External" /><Relationship Type="http://schemas.openxmlformats.org/officeDocument/2006/relationships/hyperlink" Id="rId84" Target="https://doi.org/10.1128/mbio.03181-20" TargetMode="External" /><Relationship Type="http://schemas.openxmlformats.org/officeDocument/2006/relationships/hyperlink" Id="rId142" Target="https://doi.org/10.1128/mbio.03364-19" TargetMode="External" /><Relationship Type="http://schemas.openxmlformats.org/officeDocument/2006/relationships/hyperlink" Id="rId222" Target="https://doi.org/10.1128/mbio.03447-24" TargetMode="External" /><Relationship Type="http://schemas.openxmlformats.org/officeDocument/2006/relationships/hyperlink" Id="rId198" Target="https://doi.org/10.1128/microbiolspec.funk-0052-2016" TargetMode="External" /><Relationship Type="http://schemas.openxmlformats.org/officeDocument/2006/relationships/hyperlink" Id="rId230" Target="https://doi.org/10.1128/mmbr.00188-22" TargetMode="External" /><Relationship Type="http://schemas.openxmlformats.org/officeDocument/2006/relationships/hyperlink" Id="rId122" Target="https://doi.org/10.1128/msphere.00103-17" TargetMode="External" /><Relationship Type="http://schemas.openxmlformats.org/officeDocument/2006/relationships/hyperlink" Id="rId120" Target="https://doi.org/10.1172/jci135003" TargetMode="External" /><Relationship Type="http://schemas.openxmlformats.org/officeDocument/2006/relationships/hyperlink" Id="rId156" Target="https://doi.org/10.1186/1472-6750-9-74" TargetMode="External" /><Relationship Type="http://schemas.openxmlformats.org/officeDocument/2006/relationships/hyperlink" Id="rId204" Target="https://doi.org/10.1186/1472-6785-11-13" TargetMode="External" /><Relationship Type="http://schemas.openxmlformats.org/officeDocument/2006/relationships/hyperlink" Id="rId300" Target="https://doi.org/10.1186/s12864-016-3044-0" TargetMode="External" /><Relationship Type="http://schemas.openxmlformats.org/officeDocument/2006/relationships/hyperlink" Id="rId278" Target="https://doi.org/10.1186/s13756-016-0132-5" TargetMode="External" /><Relationship Type="http://schemas.openxmlformats.org/officeDocument/2006/relationships/hyperlink" Id="rId140" Target="https://doi.org/10.1289/ehp.9258" TargetMode="External" /><Relationship Type="http://schemas.openxmlformats.org/officeDocument/2006/relationships/hyperlink" Id="rId266" Target="https://doi.org/10.1371/journal.pntd.0002281" TargetMode="External" /><Relationship Type="http://schemas.openxmlformats.org/officeDocument/2006/relationships/hyperlink" Id="rId152" Target="https://doi.org/10.1371/journal.pone.0000457" TargetMode="External" /><Relationship Type="http://schemas.openxmlformats.org/officeDocument/2006/relationships/hyperlink" Id="rId296" Target="https://doi.org/10.1371/journal.pone.0031801" TargetMode="External" /><Relationship Type="http://schemas.openxmlformats.org/officeDocument/2006/relationships/hyperlink" Id="rId304" Target="https://doi.org/10.1371/journal.pone.0073830" TargetMode="External" /><Relationship Type="http://schemas.openxmlformats.org/officeDocument/2006/relationships/hyperlink" Id="rId118" Target="https://doi.org/10.1371/journal.ppat.1002808" TargetMode="External" /><Relationship Type="http://schemas.openxmlformats.org/officeDocument/2006/relationships/hyperlink" Id="rId184" Target="https://doi.org/10.1371/journal.ppat.1006077" TargetMode="External" /><Relationship Type="http://schemas.openxmlformats.org/officeDocument/2006/relationships/hyperlink" Id="rId144" Target="https://doi.org/10.1371/journal.ppat.1006290" TargetMode="External" /><Relationship Type="http://schemas.openxmlformats.org/officeDocument/2006/relationships/hyperlink" Id="rId256" Target="https://doi.org/10.1371/journal.ppat.1009503" TargetMode="External" /><Relationship Type="http://schemas.openxmlformats.org/officeDocument/2006/relationships/hyperlink" Id="rId248" Target="https://doi.org/10.1534/genetics.111.128033" TargetMode="External" /><Relationship Type="http://schemas.openxmlformats.org/officeDocument/2006/relationships/hyperlink" Id="rId294" Target="https://doi.org/10.15585/mmwr.ss7107a1" TargetMode="External" /><Relationship Type="http://schemas.openxmlformats.org/officeDocument/2006/relationships/hyperlink" Id="rId298" Target="https://doi.org/10.2105/ajph.2017.303820" TargetMode="External" /><Relationship Type="http://schemas.openxmlformats.org/officeDocument/2006/relationships/hyperlink" Id="rId174" Target="https://doi.org/10.3201/eid1602.090900" TargetMode="External" /><Relationship Type="http://schemas.openxmlformats.org/officeDocument/2006/relationships/hyperlink" Id="rId88" Target="https://doi.org/10.3201/eid1709.101987" TargetMode="External" /><Relationship Type="http://schemas.openxmlformats.org/officeDocument/2006/relationships/hyperlink" Id="rId98" Target="https://doi.org/10.3201/eid2003.131230" TargetMode="External" /><Relationship Type="http://schemas.openxmlformats.org/officeDocument/2006/relationships/hyperlink" Id="rId320" Target="https://doi.org/10.3201/eid2111.150129" TargetMode="External" /><Relationship Type="http://schemas.openxmlformats.org/officeDocument/2006/relationships/hyperlink" Id="rId236" Target="https://doi.org/10.3201/eid2410.180032" TargetMode="External" /><Relationship Type="http://schemas.openxmlformats.org/officeDocument/2006/relationships/hyperlink" Id="rId154" Target="https://doi.org/10.3389/fcimb.2019.00261" TargetMode="External" /><Relationship Type="http://schemas.openxmlformats.org/officeDocument/2006/relationships/hyperlink" Id="rId102" Target="https://doi.org/10.3389/fmicb.2017.01024" TargetMode="External" /><Relationship Type="http://schemas.openxmlformats.org/officeDocument/2006/relationships/hyperlink" Id="rId310" Target="https://doi.org/10.3390/genes10100787" TargetMode="External" /><Relationship Type="http://schemas.openxmlformats.org/officeDocument/2006/relationships/hyperlink" Id="rId272" Target="https://doi.org/10.3390/jof6040247" TargetMode="External" /><Relationship Type="http://schemas.openxmlformats.org/officeDocument/2006/relationships/hyperlink" Id="rId86" Target="https://doi.org/10.3390/jof8020150" TargetMode="External" /><Relationship Type="http://schemas.openxmlformats.org/officeDocument/2006/relationships/hyperlink" Id="rId250" Target="https://doi.org/10.3390/jof8030220" TargetMode="External" /><Relationship Type="http://schemas.openxmlformats.org/officeDocument/2006/relationships/hyperlink" Id="rId192" Target="https://doi.org/10.3390/jof8050448" TargetMode="External" /><Relationship Type="http://schemas.openxmlformats.org/officeDocument/2006/relationships/hyperlink" Id="rId312" Target="https://doi.org/10.3390/jof8070757" TargetMode="External" /><Relationship Type="http://schemas.openxmlformats.org/officeDocument/2006/relationships/hyperlink" Id="rId325" Target="https://doi.org/10.3390/toxins14070445" TargetMode="External" /><Relationship Type="http://schemas.openxmlformats.org/officeDocument/2006/relationships/hyperlink" Id="rId82" Target="https://doi.org/10.3390/v15020564" TargetMode="External" /><Relationship Type="http://schemas.openxmlformats.org/officeDocument/2006/relationships/hyperlink" Id="rId258" Target="https://doi.org/10.7554/elife.49555" TargetMode="External" /><Relationship Type="http://schemas.openxmlformats.org/officeDocument/2006/relationships/hyperlink" Id="rId288" Target="https://doi.org/10.7705/biomedica.6943" TargetMode="External" /></Relationships>
</file>

<file path=word/_rels/footnotes.xml.rels><?xml version="1.0" encoding="UTF-8"?><Relationships xmlns="http://schemas.openxmlformats.org/package/2006/relationships"><Relationship Type="http://schemas.openxmlformats.org/officeDocument/2006/relationships/hyperlink" Id="rId308" Target="https://doi.org/10.1002/2017gl073524" TargetMode="External" /><Relationship Type="http://schemas.openxmlformats.org/officeDocument/2006/relationships/hyperlink" Id="rId206" Target="https://doi.org/10.1002/hsr2.70627" TargetMode="External" /><Relationship Type="http://schemas.openxmlformats.org/officeDocument/2006/relationships/hyperlink" Id="rId242" Target="https://doi.org/10.1016/j.cofs.2017.11.009" TargetMode="External" /><Relationship Type="http://schemas.openxmlformats.org/officeDocument/2006/relationships/hyperlink" Id="rId196" Target="https://doi.org/10.1016/j.cub.2023.02.027" TargetMode="External" /><Relationship Type="http://schemas.openxmlformats.org/officeDocument/2006/relationships/hyperlink" Id="rId210" Target="https://doi.org/10.1016/j.eclinm.2023.102325" TargetMode="External" /><Relationship Type="http://schemas.openxmlformats.org/officeDocument/2006/relationships/hyperlink" Id="rId216" Target="https://doi.org/10.1016/j.envpol.2017.03.012" TargetMode="External" /><Relationship Type="http://schemas.openxmlformats.org/officeDocument/2006/relationships/hyperlink" Id="rId146" Target="https://doi.org/10.1016/j.fbr.2016.12.003" TargetMode="External" /><Relationship Type="http://schemas.openxmlformats.org/officeDocument/2006/relationships/hyperlink" Id="rId254" Target="https://doi.org/10.1016/j.fgb.2010.08.010" TargetMode="External" /><Relationship Type="http://schemas.openxmlformats.org/officeDocument/2006/relationships/hyperlink" Id="rId244" Target="https://doi.org/10.1016/j.funbio.2024.01.005" TargetMode="External" /><Relationship Type="http://schemas.openxmlformats.org/officeDocument/2006/relationships/hyperlink" Id="rId130" Target="https://doi.org/10.1016/j.jaci.2023.09.001" TargetMode="External" /><Relationship Type="http://schemas.openxmlformats.org/officeDocument/2006/relationships/hyperlink" Id="rId322" Target="https://doi.org/10.1016/j.oneear.2022.03.010" TargetMode="External" /><Relationship Type="http://schemas.openxmlformats.org/officeDocument/2006/relationships/hyperlink" Id="rId110" Target="https://doi.org/10.1016/j.tim.2018.11.001" TargetMode="External" /><Relationship Type="http://schemas.openxmlformats.org/officeDocument/2006/relationships/hyperlink" Id="rId136" Target="https://doi.org/10.1016/s1473-3099(06)70686-7" TargetMode="External" /><Relationship Type="http://schemas.openxmlformats.org/officeDocument/2006/relationships/hyperlink" Id="rId318" Target="https://doi.org/10.1016/s1473-3099(09)70265-8" TargetMode="External" /><Relationship Type="http://schemas.openxmlformats.org/officeDocument/2006/relationships/hyperlink" Id="rId158" Target="https://doi.org/10.1016/s1473-3099(23)00692-8" TargetMode="External" /><Relationship Type="http://schemas.openxmlformats.org/officeDocument/2006/relationships/hyperlink" Id="rId200" Target="https://doi.org/10.1016/s2542-5196(22)00202-9" TargetMode="External" /><Relationship Type="http://schemas.openxmlformats.org/officeDocument/2006/relationships/hyperlink" Id="rId282" Target="https://doi.org/10.1016/s2666-5247(24)00039-9" TargetMode="External" /><Relationship Type="http://schemas.openxmlformats.org/officeDocument/2006/relationships/hyperlink" Id="rId182" Target="https://doi.org/10.1029/2019gh000209" TargetMode="External" /><Relationship Type="http://schemas.openxmlformats.org/officeDocument/2006/relationships/hyperlink" Id="rId138" Target="https://doi.org/10.1038/nature10795" TargetMode="External" /><Relationship Type="http://schemas.openxmlformats.org/officeDocument/2006/relationships/hyperlink" Id="rId170" Target="https://doi.org/10.1038/nature10947" TargetMode="External" /><Relationship Type="http://schemas.openxmlformats.org/officeDocument/2006/relationships/hyperlink" Id="rId112" Target="https://doi.org/10.1038/nature13575" TargetMode="External" /><Relationship Type="http://schemas.openxmlformats.org/officeDocument/2006/relationships/hyperlink" Id="rId94" Target="https://doi.org/10.1038/nclimate1990" TargetMode="External" /><Relationship Type="http://schemas.openxmlformats.org/officeDocument/2006/relationships/hyperlink" Id="rId302" Target="https://doi.org/10.1038/nrmicro1680" TargetMode="External" /><Relationship Type="http://schemas.openxmlformats.org/officeDocument/2006/relationships/hyperlink" Id="rId194" Target="https://doi.org/10.1038/nrmicro2519" TargetMode="External" /><Relationship Type="http://schemas.openxmlformats.org/officeDocument/2006/relationships/hyperlink" Id="rId234" Target="https://doi.org/10.1038/s41558-018-0161-6" TargetMode="External" /><Relationship Type="http://schemas.openxmlformats.org/officeDocument/2006/relationships/hyperlink" Id="rId132" Target="https://doi.org/10.1038/s41558-021-01104-8" TargetMode="External" /><Relationship Type="http://schemas.openxmlformats.org/officeDocument/2006/relationships/hyperlink" Id="rId246" Target="https://doi.org/10.1038/s41558-022-01426-1" TargetMode="External" /><Relationship Type="http://schemas.openxmlformats.org/officeDocument/2006/relationships/hyperlink" Id="rId262" Target="https://doi.org/10.1038/s41564-022-01091-2" TargetMode="External" /><Relationship Type="http://schemas.openxmlformats.org/officeDocument/2006/relationships/hyperlink" Id="rId270" Target="https://doi.org/10.1038/s41564-022-01112-0" TargetMode="External" /><Relationship Type="http://schemas.openxmlformats.org/officeDocument/2006/relationships/hyperlink" Id="rId202" Target="https://doi.org/10.1038/s41564-024-01720-y" TargetMode="External" /><Relationship Type="http://schemas.openxmlformats.org/officeDocument/2006/relationships/hyperlink" Id="rId314" Target="https://doi.org/10.1038/s41564-025-02055-y" TargetMode="External" /><Relationship Type="http://schemas.openxmlformats.org/officeDocument/2006/relationships/hyperlink" Id="rId96" Target="https://doi.org/10.1038/s41564-025-02084-7" TargetMode="External" /><Relationship Type="http://schemas.openxmlformats.org/officeDocument/2006/relationships/hyperlink" Id="rId166" Target="https://doi.org/10.1038/s41579-020-0335-x" TargetMode="External" /><Relationship Type="http://schemas.openxmlformats.org/officeDocument/2006/relationships/hyperlink" Id="rId90" Target="https://doi.org/10.1038/s41579-021-00639-z" TargetMode="External" /><Relationship Type="http://schemas.openxmlformats.org/officeDocument/2006/relationships/hyperlink" Id="rId162" Target="https://doi.org/10.1038/s41579-022-00720-1" TargetMode="External" /><Relationship Type="http://schemas.openxmlformats.org/officeDocument/2006/relationships/hyperlink" Id="rId164" Target="https://doi.org/10.1038/s41579-023-00861-x" TargetMode="External" /><Relationship Type="http://schemas.openxmlformats.org/officeDocument/2006/relationships/hyperlink" Id="rId286" Target="https://doi.org/10.1038/s41579-023-00900-7" TargetMode="External" /><Relationship Type="http://schemas.openxmlformats.org/officeDocument/2006/relationships/hyperlink" Id="rId214" Target="https://doi.org/10.1038/s41579-026-01285-z" TargetMode="External" /><Relationship Type="http://schemas.openxmlformats.org/officeDocument/2006/relationships/hyperlink" Id="rId114" Target="https://doi.org/10.1038/s41586-022-04788-w" TargetMode="External" /><Relationship Type="http://schemas.openxmlformats.org/officeDocument/2006/relationships/hyperlink" Id="rId126" Target="https://doi.org/10.1038/s41586-024-08419-4" TargetMode="External" /><Relationship Type="http://schemas.openxmlformats.org/officeDocument/2006/relationships/hyperlink" Id="rId180" Target="https://doi.org/10.1038/s41598-021-92405-7" TargetMode="External" /><Relationship Type="http://schemas.openxmlformats.org/officeDocument/2006/relationships/hyperlink" Id="rId178" Target="https://doi.org/10.1038/s43247-023-01127-3" TargetMode="External" /><Relationship Type="http://schemas.openxmlformats.org/officeDocument/2006/relationships/hyperlink" Id="rId220" Target="https://doi.org/10.1038/s43705-022-00089-5" TargetMode="External" /><Relationship Type="http://schemas.openxmlformats.org/officeDocument/2006/relationships/hyperlink" Id="rId116" Target="https://doi.org/10.1038/s44358-024-00005-w" TargetMode="External" /><Relationship Type="http://schemas.openxmlformats.org/officeDocument/2006/relationships/hyperlink" Id="rId92" Target="https://doi.org/10.1038/srep24328" TargetMode="External" /><Relationship Type="http://schemas.openxmlformats.org/officeDocument/2006/relationships/hyperlink" Id="rId252" Target="https://doi.org/10.1056/nejmoa1204781" TargetMode="External" /><Relationship Type="http://schemas.openxmlformats.org/officeDocument/2006/relationships/hyperlink" Id="rId218" Target="https://doi.org/10.1073/pnas.0402981101" TargetMode="External" /><Relationship Type="http://schemas.openxmlformats.org/officeDocument/2006/relationships/hyperlink" Id="rId134" Target="https://doi.org/10.1073/pnas.0709578105" TargetMode="External" /><Relationship Type="http://schemas.openxmlformats.org/officeDocument/2006/relationships/hyperlink" Id="rId150" Target="https://doi.org/10.1073/pnas.0813394106" TargetMode="External" /><Relationship Type="http://schemas.openxmlformats.org/officeDocument/2006/relationships/hyperlink" Id="rId268" Target="https://doi.org/10.1073/pnas.0912883107" TargetMode="External" /><Relationship Type="http://schemas.openxmlformats.org/officeDocument/2006/relationships/hyperlink" Id="rId238" Target="https://doi.org/10.1073/pnas.1307356110" TargetMode="External" /><Relationship Type="http://schemas.openxmlformats.org/officeDocument/2006/relationships/hyperlink" Id="rId188" Target="https://doi.org/10.1073/pnas.2001451117" TargetMode="External" /><Relationship Type="http://schemas.openxmlformats.org/officeDocument/2006/relationships/hyperlink" Id="rId190" Target="https://doi.org/10.1073/pnas.2209831120" TargetMode="External" /><Relationship Type="http://schemas.openxmlformats.org/officeDocument/2006/relationships/hyperlink" Id="rId274" Target="https://doi.org/10.1080/10409230701597782" TargetMode="External" /><Relationship Type="http://schemas.openxmlformats.org/officeDocument/2006/relationships/hyperlink" Id="rId212" Target="https://doi.org/10.1080/21505594.2016.1201250" TargetMode="External" /><Relationship Type="http://schemas.openxmlformats.org/officeDocument/2006/relationships/hyperlink" Id="rId264" Target="https://doi.org/10.1086/644642" TargetMode="External" /><Relationship Type="http://schemas.openxmlformats.org/officeDocument/2006/relationships/hyperlink" Id="rId240" Target="https://doi.org/10.1093/cid/ciac882" TargetMode="External" /><Relationship Type="http://schemas.openxmlformats.org/officeDocument/2006/relationships/hyperlink" Id="rId316" Target="https://doi.org/10.1093/cid/civ885" TargetMode="External" /><Relationship Type="http://schemas.openxmlformats.org/officeDocument/2006/relationships/hyperlink" Id="rId232" Target="https://doi.org/10.1093/cid/ciw691" TargetMode="External" /><Relationship Type="http://schemas.openxmlformats.org/officeDocument/2006/relationships/hyperlink" Id="rId292" Target="https://doi.org/10.1093/ismeco/ycaf177" TargetMode="External" /><Relationship Type="http://schemas.openxmlformats.org/officeDocument/2006/relationships/hyperlink" Id="rId160" Target="https://doi.org/10.1093/ismejo/wrae203" TargetMode="External" /><Relationship Type="http://schemas.openxmlformats.org/officeDocument/2006/relationships/hyperlink" Id="rId172" Target="https://doi.org/10.1093/mmy/myy054" TargetMode="External" /><Relationship Type="http://schemas.openxmlformats.org/officeDocument/2006/relationships/hyperlink" Id="rId306" Target="https://doi.org/10.1093/ofid/ofad093" TargetMode="External" /><Relationship Type="http://schemas.openxmlformats.org/officeDocument/2006/relationships/hyperlink" Id="rId208" Target="https://doi.org/10.1093/ofid/ofaf441" TargetMode="External" /><Relationship Type="http://schemas.openxmlformats.org/officeDocument/2006/relationships/hyperlink" Id="rId224" Target="https://doi.org/10.1093/ofid/ofz385" TargetMode="External" /><Relationship Type="http://schemas.openxmlformats.org/officeDocument/2006/relationships/hyperlink" Id="rId100" Target="https://doi.org/10.1101/cshperspect.a019604" TargetMode="External" /><Relationship Type="http://schemas.openxmlformats.org/officeDocument/2006/relationships/hyperlink" Id="rId226" Target="https://doi.org/10.1101/cshperspect.a019760" TargetMode="External" /><Relationship Type="http://schemas.openxmlformats.org/officeDocument/2006/relationships/hyperlink" Id="rId128" Target="https://doi.org/10.1111/1541-4337.13323" TargetMode="External" /><Relationship Type="http://schemas.openxmlformats.org/officeDocument/2006/relationships/hyperlink" Id="rId186" Target="https://doi.org/10.1111/ijd.17908" TargetMode="External" /><Relationship Type="http://schemas.openxmlformats.org/officeDocument/2006/relationships/hyperlink" Id="rId280" Target="https://doi.org/10.1111/j.1574-6968.2008.01182.x" TargetMode="External" /><Relationship Type="http://schemas.openxmlformats.org/officeDocument/2006/relationships/hyperlink" Id="rId148" Target="https://doi.org/10.1126/science.1118370" TargetMode="External" /><Relationship Type="http://schemas.openxmlformats.org/officeDocument/2006/relationships/hyperlink" Id="rId284" Target="https://doi.org/10.1126/science.1128242" TargetMode="External" /><Relationship Type="http://schemas.openxmlformats.org/officeDocument/2006/relationships/hyperlink" Id="rId108" Target="https://doi.org/10.1126/science.1163874" TargetMode="External" /><Relationship Type="http://schemas.openxmlformats.org/officeDocument/2006/relationships/hyperlink" Id="rId168" Target="https://doi.org/10.1126/science.aap7999" TargetMode="External" /><Relationship Type="http://schemas.openxmlformats.org/officeDocument/2006/relationships/hyperlink" Id="rId276" Target="https://doi.org/10.1126/science.aav0379" TargetMode="External" /><Relationship Type="http://schemas.openxmlformats.org/officeDocument/2006/relationships/hyperlink" Id="rId260" Target="https://doi.org/10.1128/aem.01973-06" TargetMode="External" /><Relationship Type="http://schemas.openxmlformats.org/officeDocument/2006/relationships/hyperlink" Id="rId176" Target="https://doi.org/10.1128/mbio.00061-10" TargetMode="External" /><Relationship Type="http://schemas.openxmlformats.org/officeDocument/2006/relationships/hyperlink" Id="rId104" Target="https://doi.org/10.1128/mbio.00212-10" TargetMode="External" /><Relationship Type="http://schemas.openxmlformats.org/officeDocument/2006/relationships/hyperlink" Id="rId228" Target="https://doi.org/10.1128/mbio.00750-26" TargetMode="External" /><Relationship Type="http://schemas.openxmlformats.org/officeDocument/2006/relationships/hyperlink" Id="rId124" Target="https://doi.org/10.1128/mbio.01397-19" TargetMode="External" /><Relationship Type="http://schemas.openxmlformats.org/officeDocument/2006/relationships/hyperlink" Id="rId106" Target="https://doi.org/10.1128/mbio.01494-14" TargetMode="External" /><Relationship Type="http://schemas.openxmlformats.org/officeDocument/2006/relationships/hyperlink" Id="rId290" Target="https://doi.org/10.1128/mbio.01680-22" TargetMode="External" /><Relationship Type="http://schemas.openxmlformats.org/officeDocument/2006/relationships/hyperlink" Id="rId84" Target="https://doi.org/10.1128/mbio.03181-20" TargetMode="External" /><Relationship Type="http://schemas.openxmlformats.org/officeDocument/2006/relationships/hyperlink" Id="rId142" Target="https://doi.org/10.1128/mbio.03364-19" TargetMode="External" /><Relationship Type="http://schemas.openxmlformats.org/officeDocument/2006/relationships/hyperlink" Id="rId222" Target="https://doi.org/10.1128/mbio.03447-24" TargetMode="External" /><Relationship Type="http://schemas.openxmlformats.org/officeDocument/2006/relationships/hyperlink" Id="rId198" Target="https://doi.org/10.1128/microbiolspec.funk-0052-2016" TargetMode="External" /><Relationship Type="http://schemas.openxmlformats.org/officeDocument/2006/relationships/hyperlink" Id="rId230" Target="https://doi.org/10.1128/mmbr.00188-22" TargetMode="External" /><Relationship Type="http://schemas.openxmlformats.org/officeDocument/2006/relationships/hyperlink" Id="rId122" Target="https://doi.org/10.1128/msphere.00103-17" TargetMode="External" /><Relationship Type="http://schemas.openxmlformats.org/officeDocument/2006/relationships/hyperlink" Id="rId120" Target="https://doi.org/10.1172/jci135003" TargetMode="External" /><Relationship Type="http://schemas.openxmlformats.org/officeDocument/2006/relationships/hyperlink" Id="rId156" Target="https://doi.org/10.1186/1472-6750-9-74" TargetMode="External" /><Relationship Type="http://schemas.openxmlformats.org/officeDocument/2006/relationships/hyperlink" Id="rId204" Target="https://doi.org/10.1186/1472-6785-11-13" TargetMode="External" /><Relationship Type="http://schemas.openxmlformats.org/officeDocument/2006/relationships/hyperlink" Id="rId300" Target="https://doi.org/10.1186/s12864-016-3044-0" TargetMode="External" /><Relationship Type="http://schemas.openxmlformats.org/officeDocument/2006/relationships/hyperlink" Id="rId278" Target="https://doi.org/10.1186/s13756-016-0132-5" TargetMode="External" /><Relationship Type="http://schemas.openxmlformats.org/officeDocument/2006/relationships/hyperlink" Id="rId140" Target="https://doi.org/10.1289/ehp.9258" TargetMode="External" /><Relationship Type="http://schemas.openxmlformats.org/officeDocument/2006/relationships/hyperlink" Id="rId266" Target="https://doi.org/10.1371/journal.pntd.0002281" TargetMode="External" /><Relationship Type="http://schemas.openxmlformats.org/officeDocument/2006/relationships/hyperlink" Id="rId152" Target="https://doi.org/10.1371/journal.pone.0000457" TargetMode="External" /><Relationship Type="http://schemas.openxmlformats.org/officeDocument/2006/relationships/hyperlink" Id="rId296" Target="https://doi.org/10.1371/journal.pone.0031801" TargetMode="External" /><Relationship Type="http://schemas.openxmlformats.org/officeDocument/2006/relationships/hyperlink" Id="rId304" Target="https://doi.org/10.1371/journal.pone.0073830" TargetMode="External" /><Relationship Type="http://schemas.openxmlformats.org/officeDocument/2006/relationships/hyperlink" Id="rId118" Target="https://doi.org/10.1371/journal.ppat.1002808" TargetMode="External" /><Relationship Type="http://schemas.openxmlformats.org/officeDocument/2006/relationships/hyperlink" Id="rId184" Target="https://doi.org/10.1371/journal.ppat.1006077" TargetMode="External" /><Relationship Type="http://schemas.openxmlformats.org/officeDocument/2006/relationships/hyperlink" Id="rId144" Target="https://doi.org/10.1371/journal.ppat.1006290" TargetMode="External" /><Relationship Type="http://schemas.openxmlformats.org/officeDocument/2006/relationships/hyperlink" Id="rId256" Target="https://doi.org/10.1371/journal.ppat.1009503" TargetMode="External" /><Relationship Type="http://schemas.openxmlformats.org/officeDocument/2006/relationships/hyperlink" Id="rId248" Target="https://doi.org/10.1534/genetics.111.128033" TargetMode="External" /><Relationship Type="http://schemas.openxmlformats.org/officeDocument/2006/relationships/hyperlink" Id="rId294" Target="https://doi.org/10.15585/mmwr.ss7107a1" TargetMode="External" /><Relationship Type="http://schemas.openxmlformats.org/officeDocument/2006/relationships/hyperlink" Id="rId298" Target="https://doi.org/10.2105/ajph.2017.303820" TargetMode="External" /><Relationship Type="http://schemas.openxmlformats.org/officeDocument/2006/relationships/hyperlink" Id="rId174" Target="https://doi.org/10.3201/eid1602.090900" TargetMode="External" /><Relationship Type="http://schemas.openxmlformats.org/officeDocument/2006/relationships/hyperlink" Id="rId88" Target="https://doi.org/10.3201/eid1709.101987" TargetMode="External" /><Relationship Type="http://schemas.openxmlformats.org/officeDocument/2006/relationships/hyperlink" Id="rId98" Target="https://doi.org/10.3201/eid2003.131230" TargetMode="External" /><Relationship Type="http://schemas.openxmlformats.org/officeDocument/2006/relationships/hyperlink" Id="rId320" Target="https://doi.org/10.3201/eid2111.150129" TargetMode="External" /><Relationship Type="http://schemas.openxmlformats.org/officeDocument/2006/relationships/hyperlink" Id="rId236" Target="https://doi.org/10.3201/eid2410.180032" TargetMode="External" /><Relationship Type="http://schemas.openxmlformats.org/officeDocument/2006/relationships/hyperlink" Id="rId154" Target="https://doi.org/10.3389/fcimb.2019.00261" TargetMode="External" /><Relationship Type="http://schemas.openxmlformats.org/officeDocument/2006/relationships/hyperlink" Id="rId102" Target="https://doi.org/10.3389/fmicb.2017.01024" TargetMode="External" /><Relationship Type="http://schemas.openxmlformats.org/officeDocument/2006/relationships/hyperlink" Id="rId310" Target="https://doi.org/10.3390/genes10100787" TargetMode="External" /><Relationship Type="http://schemas.openxmlformats.org/officeDocument/2006/relationships/hyperlink" Id="rId272" Target="https://doi.org/10.3390/jof6040247" TargetMode="External" /><Relationship Type="http://schemas.openxmlformats.org/officeDocument/2006/relationships/hyperlink" Id="rId86" Target="https://doi.org/10.3390/jof8020150" TargetMode="External" /><Relationship Type="http://schemas.openxmlformats.org/officeDocument/2006/relationships/hyperlink" Id="rId250" Target="https://doi.org/10.3390/jof8030220" TargetMode="External" /><Relationship Type="http://schemas.openxmlformats.org/officeDocument/2006/relationships/hyperlink" Id="rId192" Target="https://doi.org/10.3390/jof8050448" TargetMode="External" /><Relationship Type="http://schemas.openxmlformats.org/officeDocument/2006/relationships/hyperlink" Id="rId312" Target="https://doi.org/10.3390/jof8070757" TargetMode="External" /><Relationship Type="http://schemas.openxmlformats.org/officeDocument/2006/relationships/hyperlink" Id="rId325" Target="https://doi.org/10.3390/toxins14070445" TargetMode="External" /><Relationship Type="http://schemas.openxmlformats.org/officeDocument/2006/relationships/hyperlink" Id="rId82" Target="https://doi.org/10.3390/v15020564" TargetMode="External" /><Relationship Type="http://schemas.openxmlformats.org/officeDocument/2006/relationships/hyperlink" Id="rId258" Target="https://doi.org/10.7554/elife.49555" TargetMode="External" /><Relationship Type="http://schemas.openxmlformats.org/officeDocument/2006/relationships/hyperlink" Id="rId288" Target="https://doi.org/10.7705/biomedica.694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Phenotypic and Genotypic Adaptation of Fungi to a Warming and Destabilized Planet</dc:title>
  <dc:creator/>
  <cp:keywords>Thermal adaptation, Thermotolerance, Disaster microbiology, Antifungal resistance, Candida auris, Mucorales, Transposon mobilization, One Health</cp:keywords>
  <dcterms:created xsi:type="dcterms:W3CDTF">2026-09-16T12:20:43Z</dcterms:created>
  <dcterms:modified xsi:type="dcterms:W3CDTF">2026-09-16T12:20:43Z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Global warming is changing the conditions in which both humans and fungi live and evolve. These changes may be long-term, in the case of increasing temperature, humidity and changes in atmospheric composition, or acute due to geo-meteological disturbances such as tornadoes, floods, wildfires, dust storms and earthquakes. Long-term changes mainly favour selection of fungi suited to the new conditions, while acute events can disperse fungi beyong typical ecological niches and cause infection in compromised or injured hosts. The combined stresses associated with these events may also trigger fungal responses that increase their ability to cause disease.This chapter reviews experimental evidence for how fungi respond to environmental pressures and distinguishes established findings from proposed explanations. Three findings are central: growth at higher temperatures can increase virulence and tolerance to oxidative stress in Mucorales through calcineurin signalling; host temperatures can trigger genetic changes, including the movement of transposable elements in Cryptococcus and the emergence of pan-resistant, highly virulent mutants in Rhodosporidiobolus; and physical stresses such as extreme shear can temporarily increase virulence through some of the same cellular pathways involved in heat adaptation.These findings do not establish that climate change will cause a human fungal pandemic. Mammalian body temperatures still prevent many fungi from growing, and heat tolerance alone is a poor predictor of whether a fungus can cause disease. Recent examples of emerging fungal threats such as Candida auris, azole-resistant Aspergillus fumigatus and terbinafine-resistant Trichophyton indotineae reflect pressures from agricultural and clinical antifungal use, healthcare practices and poverty.We propose a framework for assessing the strength of the evidence, testable criteria for identifying climate’s role, and research priorities focused on improving study design for evaluating phenotypic and genotypic adaption of fungi to climate change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springer-basic-author-date.csl</vt:lpwstr>
  </property>
  <property fmtid="{D5CDD505-2E9C-101B-9397-08002B2CF9AE}" pid="12" name="fig-cap-location">
    <vt:lpwstr>bottom</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k-citations">
    <vt:lpwstr>True</vt:lpwstr>
  </property>
  <property fmtid="{D5CDD505-2E9C-101B-9397-08002B2CF9AE}" pid="20" name="manuscript">
    <vt:lpwstr/>
  </property>
  <property fmtid="{D5CDD505-2E9C-101B-9397-08002B2CF9AE}" pid="21" name="notebook-preview-options">
    <vt:lpwstr/>
  </property>
  <property fmtid="{D5CDD505-2E9C-101B-9397-08002B2CF9AE}" pid="22" name="number-depth">
    <vt:lpwstr>3</vt:lpwstr>
  </property>
  <property fmtid="{D5CDD505-2E9C-101B-9397-08002B2CF9AE}" pid="23" name="quarto-internal">
    <vt:lpwstr/>
  </property>
  <property fmtid="{D5CDD505-2E9C-101B-9397-08002B2CF9AE}" pid="24" name="remove-hidden">
    <vt:lpwstr>all</vt:lpwstr>
  </property>
  <property fmtid="{D5CDD505-2E9C-101B-9397-08002B2CF9AE}" pid="25" name="tbl-cap-location">
    <vt:lpwstr>top</vt:lpwstr>
  </property>
  <property fmtid="{D5CDD505-2E9C-101B-9397-08002B2CF9AE}" pid="26" name="template-partials">
    <vt:lpwstr/>
  </property>
  <property fmtid="{D5CDD505-2E9C-101B-9397-08002B2CF9AE}" pid="27" name="theme">
    <vt:lpwstr>cosmo</vt:lpwstr>
  </property>
  <property fmtid="{D5CDD505-2E9C-101B-9397-08002B2CF9AE}" pid="28" name="title-block-style">
    <vt:lpwstr>manuscript</vt:lpwstr>
  </property>
  <property fmtid="{D5CDD505-2E9C-101B-9397-08002B2CF9AE}" pid="29" name="toc-title">
    <vt:lpwstr>Table of contents</vt:lpwstr>
  </property>
  <property fmtid="{D5CDD505-2E9C-101B-9397-08002B2CF9AE}" pid="30" name="unroll-markdown-cells">
    <vt:lpwstr>True</vt:lpwstr>
  </property>
</Properties>
</file>