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BEB2" w14:textId="42D7D8C4" w:rsidR="00EF6B49" w:rsidRPr="00E42ED6" w:rsidRDefault="004C24E3">
      <w:pPr>
        <w:rPr>
          <w:b/>
          <w:bCs/>
          <w:lang w:val="en-US"/>
        </w:rPr>
      </w:pPr>
      <w:r w:rsidRPr="00E42ED6">
        <w:rPr>
          <w:b/>
          <w:bCs/>
          <w:lang w:val="en-US"/>
        </w:rPr>
        <w:t>Antibiotic Allergies</w:t>
      </w:r>
    </w:p>
    <w:p w14:paraId="1E27F3D7" w14:textId="77777777" w:rsidR="004C24E3" w:rsidRDefault="004C24E3">
      <w:pPr>
        <w:rPr>
          <w:lang w:val="en-US"/>
        </w:rPr>
      </w:pPr>
    </w:p>
    <w:p w14:paraId="2145EB55" w14:textId="2927583F" w:rsidR="004C24E3" w:rsidRPr="004C24E3" w:rsidRDefault="00276F3D">
      <w:pPr>
        <w:rPr>
          <w:lang w:val="en-US"/>
        </w:rPr>
      </w:pPr>
      <w:r>
        <w:rPr>
          <w:lang w:val="en-US"/>
        </w:rPr>
        <w:t xml:space="preserve">Essential reading: </w:t>
      </w:r>
      <w:r w:rsidRPr="00276F3D">
        <w:rPr>
          <w:lang w:val="en-US"/>
        </w:rPr>
        <w:t>Shenoy ES, Macy E, Rowe T, Blumenthal KG. Evaluation and Management of Penicillin Allergy: A Review. JAMA. 2019 321:188-199.</w:t>
      </w:r>
    </w:p>
    <w:p w14:paraId="39A99D3E" w14:textId="77777777" w:rsidR="004C24E3" w:rsidRPr="004C24E3" w:rsidRDefault="004C24E3">
      <w:pPr>
        <w:rPr>
          <w:lang w:val="en-US"/>
        </w:rPr>
      </w:pPr>
    </w:p>
    <w:p w14:paraId="5A1DC24A" w14:textId="70B0D4DA" w:rsidR="004C24E3" w:rsidRDefault="004C24E3" w:rsidP="004C2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differences in clinical presentation (mechanisms, time to onset, hypersensitivity reaction, and mode of diagnosis) for type I, type II, type </w:t>
      </w:r>
      <w:proofErr w:type="gramStart"/>
      <w:r>
        <w:rPr>
          <w:lang w:val="en-US"/>
        </w:rPr>
        <w:t>II</w:t>
      </w:r>
      <w:proofErr w:type="gramEnd"/>
      <w:r>
        <w:rPr>
          <w:lang w:val="en-US"/>
        </w:rPr>
        <w:t xml:space="preserve"> and type IV drug reactions?</w:t>
      </w:r>
    </w:p>
    <w:p w14:paraId="678E5E75" w14:textId="12078B54" w:rsidR="00276F3D" w:rsidRDefault="00E42ED6" w:rsidP="004C2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low vs. medium versus high-risk clinical histories for penicillin allergy. Which allergy history can safely allow for an oral amoxicillin challenge (Hint see table 3 of the Shenoy paper)?</w:t>
      </w:r>
    </w:p>
    <w:p w14:paraId="23F71C1C" w14:textId="53E497B9" w:rsidR="00E42ED6" w:rsidRDefault="00E42ED6" w:rsidP="004C2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clinical settings where penicillin skin testing is available, what type Non-type I reactions are contraindications to penicillin allergy testing (hint see Amoxicillin challenge forms on website or </w:t>
      </w:r>
      <w:r w:rsidR="008C1B98">
        <w:rPr>
          <w:lang w:val="en-US"/>
        </w:rPr>
        <w:t>lecture slides</w:t>
      </w:r>
      <w:r>
        <w:rPr>
          <w:lang w:val="en-US"/>
        </w:rPr>
        <w:t>, Toolkit C)</w:t>
      </w:r>
    </w:p>
    <w:p w14:paraId="4900FAA0" w14:textId="58DA7550" w:rsidR="008C1B98" w:rsidRDefault="008C1B98" w:rsidP="004C2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mechanism of antibiotic desensitization? Can it be used for non-type I antibiotic </w:t>
      </w:r>
      <w:proofErr w:type="spellStart"/>
      <w:r>
        <w:rPr>
          <w:lang w:val="en-US"/>
        </w:rPr>
        <w:t>allergies</w:t>
      </w:r>
      <w:proofErr w:type="spellEnd"/>
      <w:r>
        <w:rPr>
          <w:lang w:val="en-US"/>
        </w:rPr>
        <w:t xml:space="preserve">?  </w:t>
      </w:r>
      <w:proofErr w:type="gramStart"/>
      <w:r>
        <w:rPr>
          <w:lang w:val="en-US"/>
        </w:rPr>
        <w:t>If  a</w:t>
      </w:r>
      <w:proofErr w:type="gramEnd"/>
      <w:r>
        <w:rPr>
          <w:lang w:val="en-US"/>
        </w:rPr>
        <w:t xml:space="preserve"> penicillin with a 2 hour half- life was held for 36 hours, does the desensitization procedure need to be reperformed before restarting the antibiotic?</w:t>
      </w:r>
    </w:p>
    <w:p w14:paraId="7E079ABC" w14:textId="3EBE82D5" w:rsidR="008C1B98" w:rsidRDefault="002E142F" w:rsidP="004C2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patient has a documented allergy to </w:t>
      </w:r>
      <w:proofErr w:type="spellStart"/>
      <w:r>
        <w:rPr>
          <w:lang w:val="en-US"/>
        </w:rPr>
        <w:t>penicillins</w:t>
      </w:r>
      <w:proofErr w:type="spellEnd"/>
      <w:r>
        <w:rPr>
          <w:lang w:val="en-US"/>
        </w:rPr>
        <w:t>, what is the likely cross-reactivity risk with:</w:t>
      </w:r>
    </w:p>
    <w:p w14:paraId="05FCC657" w14:textId="7A717420" w:rsidR="002E142F" w:rsidRDefault="002E142F" w:rsidP="002E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Cefazolin</w:t>
      </w:r>
    </w:p>
    <w:p w14:paraId="21D6B2A8" w14:textId="6CE06B1A" w:rsidR="002E142F" w:rsidRDefault="002E142F" w:rsidP="002E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cephalosporins</w:t>
      </w:r>
    </w:p>
    <w:p w14:paraId="6F01AE16" w14:textId="13F14A66" w:rsidR="002E142F" w:rsidRDefault="002E142F" w:rsidP="002E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Carbapenems</w:t>
      </w:r>
    </w:p>
    <w:p w14:paraId="1E4D1322" w14:textId="31F0E9E2" w:rsidR="002E142F" w:rsidRDefault="002E142F" w:rsidP="002E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Aztreonam</w:t>
      </w:r>
    </w:p>
    <w:p w14:paraId="51CD4EC0" w14:textId="25091211" w:rsidR="002E142F" w:rsidRPr="004C24E3" w:rsidRDefault="002E142F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mechanism of allergies with sulfonamides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trimethoprim-sulfamethoxazole) differ from beta-lactams?</w:t>
      </w:r>
    </w:p>
    <w:sectPr w:rsidR="002E142F" w:rsidRPr="004C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597"/>
    <w:multiLevelType w:val="hybridMultilevel"/>
    <w:tmpl w:val="D964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9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3"/>
    <w:rsid w:val="00276F3D"/>
    <w:rsid w:val="002E142F"/>
    <w:rsid w:val="004C24E3"/>
    <w:rsid w:val="008C1B98"/>
    <w:rsid w:val="00E42ED6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46753"/>
  <w15:chartTrackingRefBased/>
  <w15:docId w15:val="{F43F738D-4D7D-2B4A-ADCD-B856BC3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Lewis</dc:creator>
  <cp:keywords/>
  <dc:description/>
  <cp:lastModifiedBy>Russell Lewis</cp:lastModifiedBy>
  <cp:revision>1</cp:revision>
  <dcterms:created xsi:type="dcterms:W3CDTF">2023-05-08T07:38:00Z</dcterms:created>
  <dcterms:modified xsi:type="dcterms:W3CDTF">2023-05-08T08:25:00Z</dcterms:modified>
</cp:coreProperties>
</file>