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53703" w14:textId="61F8E31D" w:rsidR="00EF6B49" w:rsidRPr="00CA721D" w:rsidRDefault="006F3C3A">
      <w:pPr>
        <w:rPr>
          <w:lang w:val="en-US"/>
        </w:rPr>
      </w:pPr>
      <w:r w:rsidRPr="00CA721D">
        <w:rPr>
          <w:lang w:val="en-US"/>
        </w:rPr>
        <w:t>Febrile Neutropenia</w:t>
      </w:r>
    </w:p>
    <w:p w14:paraId="0845E85A" w14:textId="77777777" w:rsidR="006F3C3A" w:rsidRPr="00CA721D" w:rsidRDefault="006F3C3A">
      <w:pPr>
        <w:rPr>
          <w:lang w:val="en-US"/>
        </w:rPr>
      </w:pPr>
    </w:p>
    <w:p w14:paraId="082A3572" w14:textId="1935CE52" w:rsidR="006F3C3A" w:rsidRPr="006F3C3A" w:rsidRDefault="006F3C3A">
      <w:pPr>
        <w:rPr>
          <w:lang w:val="en-US"/>
        </w:rPr>
      </w:pPr>
      <w:r w:rsidRPr="006F3C3A">
        <w:rPr>
          <w:lang w:val="en-US"/>
        </w:rPr>
        <w:t>Suggested reading (somewhat outdated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termso</w:t>
      </w:r>
      <w:proofErr w:type="spellEnd"/>
      <w:r>
        <w:rPr>
          <w:lang w:val="en-US"/>
        </w:rPr>
        <w:t xml:space="preserve"> f treatment recommendations</w:t>
      </w:r>
      <w:r w:rsidRPr="006F3C3A">
        <w:rPr>
          <w:lang w:val="en-US"/>
        </w:rPr>
        <w:t>, but princ</w:t>
      </w:r>
      <w:r>
        <w:rPr>
          <w:lang w:val="en-US"/>
        </w:rPr>
        <w:t>iples are the same)</w:t>
      </w:r>
    </w:p>
    <w:p w14:paraId="45E4F4D2" w14:textId="77777777" w:rsidR="006F3C3A" w:rsidRPr="006F3C3A" w:rsidRDefault="006F3C3A">
      <w:pPr>
        <w:rPr>
          <w:lang w:val="en-US"/>
        </w:rPr>
      </w:pPr>
    </w:p>
    <w:p w14:paraId="02592C03" w14:textId="6F21CB54" w:rsidR="006F3C3A" w:rsidRDefault="006F3C3A">
      <w:pPr>
        <w:rPr>
          <w:lang w:val="en-US"/>
        </w:rPr>
      </w:pPr>
      <w:r w:rsidRPr="006F3C3A">
        <w:rPr>
          <w:lang w:val="en-US"/>
        </w:rPr>
        <w:t>Suggest review (not to memorize, but</w:t>
      </w:r>
      <w:r>
        <w:rPr>
          <w:lang w:val="en-US"/>
        </w:rPr>
        <w:t xml:space="preserve"> to understand management approach):</w:t>
      </w:r>
    </w:p>
    <w:p w14:paraId="68F147A8" w14:textId="77777777" w:rsidR="006F3C3A" w:rsidRDefault="006F3C3A">
      <w:pPr>
        <w:rPr>
          <w:lang w:val="en-US"/>
        </w:rPr>
      </w:pPr>
    </w:p>
    <w:p w14:paraId="21DCEEB7" w14:textId="77777777" w:rsidR="006F3C3A" w:rsidRDefault="006F3C3A">
      <w:pPr>
        <w:rPr>
          <w:lang w:val="en-US"/>
        </w:rPr>
      </w:pPr>
    </w:p>
    <w:p w14:paraId="61F627E1" w14:textId="4843A6FA" w:rsidR="006F3C3A" w:rsidRDefault="006F3C3A" w:rsidP="006F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is neutropenia defined? What is considered profound neutropenia?</w:t>
      </w:r>
    </w:p>
    <w:p w14:paraId="0DB85041" w14:textId="77777777" w:rsidR="006F3C3A" w:rsidRDefault="006F3C3A" w:rsidP="006F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duration of neutropenia affect the spectrum of pathogens encountered (see slide 16).</w:t>
      </w:r>
    </w:p>
    <w:p w14:paraId="67C2F5A3" w14:textId="77777777" w:rsidR="006F3C3A" w:rsidRDefault="006F3C3A" w:rsidP="006F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patients with suppression of cell mediated immunity in addition to neutropenia 8i.e. receive receipt of high-dose corticosteroids) how does the potential spectrum of pathogens change that would not be covered by empiric antibiotic therapy (see slide 17)</w:t>
      </w:r>
    </w:p>
    <w:p w14:paraId="3F2206A3" w14:textId="77777777" w:rsidR="006F3C3A" w:rsidRDefault="006F3C3A" w:rsidP="006F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Although fluoroquinolone prophylaxis is established as a standard of care, what problems may limit its effectiveness?</w:t>
      </w:r>
    </w:p>
    <w:p w14:paraId="47A3CE99" w14:textId="04DC2E52" w:rsidR="006F3C3A" w:rsidRDefault="006F3C3A" w:rsidP="006F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infections are associated with ecthyma gangrenosum skin lesions in neutropenic patients? </w:t>
      </w:r>
    </w:p>
    <w:p w14:paraId="5FA987A8" w14:textId="084C2CE4" w:rsidR="006F3C3A" w:rsidRDefault="006F3C3A" w:rsidP="006F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neutropenic patients can potentially be managed as outpatients with oral antibiotics?</w:t>
      </w:r>
    </w:p>
    <w:p w14:paraId="5B15F7C9" w14:textId="21D5699F" w:rsidR="006F3C3A" w:rsidRDefault="006F3C3A" w:rsidP="006F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clinical presenting signs warrant initiation of anti-HSV1/HSV2/VZV antiviral therapy (see NCCN guidelines)</w:t>
      </w:r>
    </w:p>
    <w:p w14:paraId="1118261A" w14:textId="280E32F3" w:rsidR="006F3C3A" w:rsidRDefault="003A18B3" w:rsidP="006F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infection is associated with periorbital swelling, pansinusitis, and necrosis that rapidly evolves as a potentially fatal infection?</w:t>
      </w:r>
    </w:p>
    <w:p w14:paraId="0735710D" w14:textId="6EB34959" w:rsidR="003A18B3" w:rsidRDefault="003A18B3" w:rsidP="006F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clinical signs suggest C. difficile infection- What are the recommended therapies of choice?</w:t>
      </w:r>
    </w:p>
    <w:p w14:paraId="6572825C" w14:textId="7D1EB6B5" w:rsidR="003A18B3" w:rsidRDefault="003A18B3" w:rsidP="006F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neutropenic patients, what type of infections are associated with the following computer tomography (CT) findings (see slide 43)?</w:t>
      </w:r>
    </w:p>
    <w:p w14:paraId="18850686" w14:textId="29A7BA53" w:rsidR="003A18B3" w:rsidRDefault="003A18B3" w:rsidP="003A18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Lobar consolidation</w:t>
      </w:r>
    </w:p>
    <w:p w14:paraId="02D3F59B" w14:textId="50D9DE48" w:rsidR="003A18B3" w:rsidRDefault="003A18B3" w:rsidP="003A18B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Peribronchovascular</w:t>
      </w:r>
      <w:proofErr w:type="spellEnd"/>
      <w:r>
        <w:rPr>
          <w:lang w:val="en-US"/>
        </w:rPr>
        <w:t xml:space="preserve"> infiltrates</w:t>
      </w:r>
    </w:p>
    <w:p w14:paraId="6C82FB33" w14:textId="30DCC918" w:rsidR="003A18B3" w:rsidRDefault="003A18B3" w:rsidP="003A18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Nodular infiltrates </w:t>
      </w:r>
    </w:p>
    <w:p w14:paraId="3284E020" w14:textId="2EE39473" w:rsidR="003A18B3" w:rsidRDefault="003A18B3" w:rsidP="003A18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the most common reasons for persistent fever in neutropenic patients receiving </w:t>
      </w:r>
      <w:r w:rsidR="00CA721D">
        <w:rPr>
          <w:lang w:val="en-US"/>
        </w:rPr>
        <w:t>broad</w:t>
      </w:r>
      <w:r>
        <w:rPr>
          <w:lang w:val="en-US"/>
        </w:rPr>
        <w:t>-spectrum antibacterial/antifungal therapy? (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slide 49)</w:t>
      </w:r>
    </w:p>
    <w:p w14:paraId="2D235412" w14:textId="50FC8670" w:rsidR="00CA721D" w:rsidRPr="00CA721D" w:rsidRDefault="00CA721D" w:rsidP="003A18B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A721D">
        <w:rPr>
          <w:b/>
          <w:bCs/>
          <w:lang w:val="en-US"/>
        </w:rPr>
        <w:t>Review common front-line empiric antibiotic regimens for febrile neutropenia (</w:t>
      </w:r>
      <w:r>
        <w:rPr>
          <w:b/>
          <w:bCs/>
          <w:lang w:val="en-US"/>
        </w:rPr>
        <w:t>NCCN Guidelines-page 37- INTIAL INPATIENT EMPIRIC GUIDELINES for FEVER AND NEUTROPENIA)</w:t>
      </w:r>
      <w:r>
        <w:rPr>
          <w:lang w:val="en-US"/>
        </w:rPr>
        <w:t xml:space="preserve"> What are the differences between the regimens? What do they cover? What do they fail to cover?</w:t>
      </w:r>
    </w:p>
    <w:sectPr w:rsidR="00CA721D" w:rsidRPr="00CA7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91EA7"/>
    <w:multiLevelType w:val="hybridMultilevel"/>
    <w:tmpl w:val="3FC25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632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3A"/>
    <w:rsid w:val="003A18B3"/>
    <w:rsid w:val="006F3C3A"/>
    <w:rsid w:val="00CA721D"/>
    <w:rsid w:val="00E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A5EBEB"/>
  <w15:chartTrackingRefBased/>
  <w15:docId w15:val="{D3F08ADC-FEB8-8D48-9A83-930331C1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Lewis</dc:creator>
  <cp:keywords/>
  <dc:description/>
  <cp:lastModifiedBy>Russell Lewis</cp:lastModifiedBy>
  <cp:revision>2</cp:revision>
  <dcterms:created xsi:type="dcterms:W3CDTF">2023-05-11T08:43:00Z</dcterms:created>
  <dcterms:modified xsi:type="dcterms:W3CDTF">2023-05-11T08:43:00Z</dcterms:modified>
</cp:coreProperties>
</file>