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Intraabdominal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infection study guide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Recommended reading: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Solomkin et al. Diagnosis and Management of Complicated intraabdominal Infections in Adults and Children.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Clinical Infectious Diseases.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2010;50:133-6.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are the differences between primary versus secondary versus tertiary peritonitis?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are the differences in terms of  parenthesis findings between 1° vs. 2° or 3° peritonitis?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Recognise the clinical presentation and patient population most likely to present with 1° (SBP)?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are the most common microbiological causes of 1° peritonitis (SBP)?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are general frontline recommended antibiotic treatments of choice for 1° peritonitis (SBP?) When should carbapenems be considered?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are clinical (red flag signs) suggestive the 1° peritonitis has evolved into 2° peritonitis or is failing treatment? (see slide 19)?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are the common clinical findings in a patient with cholelithisis vs. acute cholecystitis?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is the significance of emphysematous cholecystitis?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symptoms/signs and clinical course suggestive of ascending cholangitis versus cholecystitis (see slide 41)?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Which antibiotics have the greatest bile penetration (see slides 45-46)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are the most common causes of pyogenic liver abscess? What are the recommended treatments (slide 57)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When is antimicrobial therapy indicated for pancreatitis?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Which clinical scenarios support the initial use of broad-spectrum (e.g., carbapenem) antibiotics for the treatment of biliary tract infections (i.e. see slides 70-71).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800" w:top="180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