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BEEA" w14:textId="77777777" w:rsidR="00BF0F7A" w:rsidRPr="00B87286" w:rsidRDefault="00000000">
      <w:pPr>
        <w:spacing w:after="80"/>
        <w:jc w:val="center"/>
        <w:rPr>
          <w:rFonts w:ascii="Helvetica" w:hAnsi="Helvetica"/>
        </w:rPr>
      </w:pPr>
      <w:r w:rsidRPr="00B87286">
        <w:rPr>
          <w:rFonts w:ascii="Helvetica" w:hAnsi="Helvetica"/>
          <w:b/>
          <w:bCs/>
          <w:sz w:val="28"/>
          <w:szCs w:val="28"/>
        </w:rPr>
        <w:t>Infection Outcomes with Post-Transplant Cyclophosphamide versus Non-</w:t>
      </w:r>
      <w:proofErr w:type="spellStart"/>
      <w:r w:rsidRPr="00B87286">
        <w:rPr>
          <w:rFonts w:ascii="Helvetica" w:hAnsi="Helvetica"/>
          <w:b/>
          <w:bCs/>
          <w:sz w:val="28"/>
          <w:szCs w:val="28"/>
        </w:rPr>
        <w:t>PTCy</w:t>
      </w:r>
      <w:proofErr w:type="spellEnd"/>
      <w:r w:rsidRPr="00B87286">
        <w:rPr>
          <w:rFonts w:ascii="Helvetica" w:hAnsi="Helvetica"/>
          <w:b/>
          <w:bCs/>
          <w:sz w:val="28"/>
          <w:szCs w:val="28"/>
        </w:rPr>
        <w:t xml:space="preserve"> Graft-versus-Host Disease Prophylaxis in Adult Allogeneic Hematopoietic Cell Transplantation:</w:t>
      </w:r>
    </w:p>
    <w:p w14:paraId="0F34012F" w14:textId="77777777" w:rsidR="00BF0F7A" w:rsidRPr="00B87286" w:rsidRDefault="00000000">
      <w:pPr>
        <w:spacing w:after="120"/>
        <w:jc w:val="center"/>
        <w:rPr>
          <w:rFonts w:ascii="Helvetica" w:hAnsi="Helvetica"/>
        </w:rPr>
      </w:pPr>
      <w:r w:rsidRPr="00B87286">
        <w:rPr>
          <w:rFonts w:ascii="Helvetica" w:hAnsi="Helvetica"/>
          <w:b/>
          <w:bCs/>
          <w:sz w:val="28"/>
          <w:szCs w:val="28"/>
        </w:rPr>
        <w:t>A Systematic Review and Bayesian Meta-Analysis</w:t>
      </w:r>
    </w:p>
    <w:p w14:paraId="591E2A4F" w14:textId="7388A629" w:rsidR="00BF0F7A" w:rsidRPr="00B87286" w:rsidRDefault="00000000">
      <w:pPr>
        <w:spacing w:after="80"/>
        <w:jc w:val="center"/>
        <w:rPr>
          <w:rFonts w:ascii="Helvetica" w:hAnsi="Helvetica"/>
          <w:lang w:val="it-IT"/>
        </w:rPr>
      </w:pPr>
      <w:r w:rsidRPr="00B87286">
        <w:rPr>
          <w:rFonts w:ascii="Helvetica" w:hAnsi="Helvetica"/>
          <w:i/>
          <w:iCs/>
          <w:lang w:val="it-IT"/>
        </w:rPr>
        <w:t xml:space="preserve">PROSPERO </w:t>
      </w:r>
      <w:proofErr w:type="spellStart"/>
      <w:r w:rsidRPr="00B87286">
        <w:rPr>
          <w:rFonts w:ascii="Helvetica" w:hAnsi="Helvetica"/>
          <w:i/>
          <w:iCs/>
          <w:lang w:val="it-IT"/>
        </w:rPr>
        <w:t>Registration</w:t>
      </w:r>
      <w:proofErr w:type="spellEnd"/>
      <w:r w:rsidRPr="00B87286">
        <w:rPr>
          <w:rFonts w:ascii="Helvetica" w:hAnsi="Helvetica"/>
          <w:i/>
          <w:iCs/>
          <w:lang w:val="it-IT"/>
        </w:rPr>
        <w:t xml:space="preserve"> </w:t>
      </w:r>
      <w:proofErr w:type="spellStart"/>
      <w:r w:rsidRPr="00B87286">
        <w:rPr>
          <w:rFonts w:ascii="Helvetica" w:hAnsi="Helvetica"/>
          <w:i/>
          <w:iCs/>
          <w:lang w:val="it-IT"/>
        </w:rPr>
        <w:t>Protocol</w:t>
      </w:r>
      <w:proofErr w:type="spellEnd"/>
      <w:r w:rsidRPr="00B87286">
        <w:rPr>
          <w:rFonts w:ascii="Helvetica" w:hAnsi="Helvetica"/>
          <w:i/>
          <w:iCs/>
          <w:lang w:val="it-IT"/>
        </w:rPr>
        <w:t xml:space="preserve"> — Version </w:t>
      </w:r>
      <w:r w:rsidR="00092613">
        <w:rPr>
          <w:rFonts w:ascii="Helvetica" w:hAnsi="Helvetica"/>
          <w:i/>
          <w:iCs/>
          <w:lang w:val="it-IT"/>
        </w:rPr>
        <w:t>2</w:t>
      </w:r>
    </w:p>
    <w:p w14:paraId="754A086A" w14:textId="77777777" w:rsidR="00BF0F7A" w:rsidRPr="00092613" w:rsidRDefault="00000000">
      <w:pPr>
        <w:spacing w:after="320"/>
        <w:jc w:val="center"/>
        <w:rPr>
          <w:rFonts w:ascii="Helvetica" w:hAnsi="Helvetica"/>
          <w:lang w:val="it-IT"/>
        </w:rPr>
      </w:pPr>
      <w:r w:rsidRPr="00092613">
        <w:rPr>
          <w:rFonts w:ascii="Helvetica" w:hAnsi="Helvetica"/>
          <w:sz w:val="20"/>
          <w:szCs w:val="20"/>
          <w:lang w:val="it-IT"/>
        </w:rPr>
        <w:t>Date: 2026-04-17</w:t>
      </w:r>
    </w:p>
    <w:p w14:paraId="3431C40B" w14:textId="77777777" w:rsidR="00BF0F7A" w:rsidRPr="00B87286" w:rsidRDefault="00000000">
      <w:pPr>
        <w:pStyle w:val="Heading1"/>
        <w:rPr>
          <w:rFonts w:ascii="Helvetica" w:hAnsi="Helvetica"/>
        </w:rPr>
      </w:pPr>
      <w:r w:rsidRPr="00B87286">
        <w:rPr>
          <w:rFonts w:ascii="Helvetica" w:hAnsi="Helvetica"/>
        </w:rPr>
        <w:t>1. Administrative Information</w:t>
      </w:r>
    </w:p>
    <w:p w14:paraId="743AA54C" w14:textId="77777777" w:rsidR="00BF0F7A" w:rsidRPr="00B87286" w:rsidRDefault="00000000">
      <w:pPr>
        <w:pStyle w:val="Heading2"/>
        <w:rPr>
          <w:rFonts w:ascii="Helvetica" w:hAnsi="Helvetica"/>
        </w:rPr>
      </w:pPr>
      <w:r w:rsidRPr="00B87286">
        <w:rPr>
          <w:rFonts w:ascii="Helvetica" w:hAnsi="Helvetica"/>
        </w:rPr>
        <w:t>1.1 Review title</w:t>
      </w:r>
    </w:p>
    <w:p w14:paraId="08E44382" w14:textId="77777777" w:rsidR="00BF0F7A" w:rsidRPr="00B87286" w:rsidRDefault="00000000">
      <w:pPr>
        <w:spacing w:after="120"/>
        <w:rPr>
          <w:rFonts w:ascii="Helvetica" w:hAnsi="Helvetica"/>
        </w:rPr>
      </w:pPr>
      <w:r w:rsidRPr="00B87286">
        <w:rPr>
          <w:rFonts w:ascii="Helvetica" w:hAnsi="Helvetica"/>
        </w:rPr>
        <w:t>Infection Outcomes with Post-Transplant Cyclophosphamide versus Non-</w:t>
      </w:r>
      <w:proofErr w:type="spellStart"/>
      <w:r w:rsidRPr="00B87286">
        <w:rPr>
          <w:rFonts w:ascii="Helvetica" w:hAnsi="Helvetica"/>
        </w:rPr>
        <w:t>PTCy</w:t>
      </w:r>
      <w:proofErr w:type="spellEnd"/>
      <w:r w:rsidRPr="00B87286">
        <w:rPr>
          <w:rFonts w:ascii="Helvetica" w:hAnsi="Helvetica"/>
        </w:rPr>
        <w:t xml:space="preserve"> Graft-versus-Host Disease Prophylaxis in Adult Allogeneic Hematopoietic Cell Transplantation: A Systematic Review and Bayesian Meta-Analysis.</w:t>
      </w:r>
    </w:p>
    <w:p w14:paraId="37FE7F1C" w14:textId="77777777" w:rsidR="00BF0F7A" w:rsidRPr="00B87286" w:rsidRDefault="00000000">
      <w:pPr>
        <w:pStyle w:val="Heading2"/>
        <w:rPr>
          <w:rFonts w:ascii="Helvetica" w:hAnsi="Helvetica"/>
        </w:rPr>
      </w:pPr>
      <w:r w:rsidRPr="00B87286">
        <w:rPr>
          <w:rFonts w:ascii="Helvetica" w:hAnsi="Helvetica"/>
        </w:rPr>
        <w:t>1.2 Original language title</w:t>
      </w:r>
    </w:p>
    <w:p w14:paraId="395F2772" w14:textId="77777777" w:rsidR="00BF0F7A" w:rsidRPr="00B87286" w:rsidRDefault="00000000">
      <w:pPr>
        <w:spacing w:after="120"/>
        <w:rPr>
          <w:rFonts w:ascii="Helvetica" w:hAnsi="Helvetica"/>
        </w:rPr>
      </w:pPr>
      <w:r w:rsidRPr="00B87286">
        <w:rPr>
          <w:rFonts w:ascii="Helvetica" w:hAnsi="Helvetica"/>
        </w:rPr>
        <w:t>English.</w:t>
      </w:r>
    </w:p>
    <w:p w14:paraId="127904D4" w14:textId="77777777" w:rsidR="00BF0F7A" w:rsidRPr="00B87286" w:rsidRDefault="00000000">
      <w:pPr>
        <w:pStyle w:val="Heading2"/>
        <w:rPr>
          <w:rFonts w:ascii="Helvetica" w:hAnsi="Helvetica"/>
        </w:rPr>
      </w:pPr>
      <w:r w:rsidRPr="00B87286">
        <w:rPr>
          <w:rFonts w:ascii="Helvetica" w:hAnsi="Helvetica"/>
        </w:rPr>
        <w:t>1.3 Anticipated or actual start date</w:t>
      </w:r>
    </w:p>
    <w:p w14:paraId="47BAE646" w14:textId="0748D4D4" w:rsidR="00BF0F7A" w:rsidRPr="00B87286" w:rsidRDefault="00B87286">
      <w:pPr>
        <w:spacing w:after="120"/>
        <w:rPr>
          <w:rFonts w:ascii="Helvetica" w:hAnsi="Helvetica"/>
        </w:rPr>
      </w:pPr>
      <w:r>
        <w:rPr>
          <w:rFonts w:ascii="Helvetica" w:hAnsi="Helvetica"/>
        </w:rPr>
        <w:t>17 April 2026</w:t>
      </w:r>
    </w:p>
    <w:p w14:paraId="6820DA2D" w14:textId="77777777" w:rsidR="00BF0F7A" w:rsidRPr="00B87286" w:rsidRDefault="00000000">
      <w:pPr>
        <w:pStyle w:val="Heading2"/>
        <w:rPr>
          <w:rFonts w:ascii="Helvetica" w:hAnsi="Helvetica"/>
        </w:rPr>
      </w:pPr>
      <w:r w:rsidRPr="00B87286">
        <w:rPr>
          <w:rFonts w:ascii="Helvetica" w:hAnsi="Helvetica"/>
        </w:rPr>
        <w:t>1.4 Anticipated completion date</w:t>
      </w:r>
    </w:p>
    <w:p w14:paraId="4F5EECE1" w14:textId="4249407E" w:rsidR="00BF0F7A" w:rsidRPr="00B87286" w:rsidRDefault="00B87286">
      <w:pPr>
        <w:spacing w:after="120"/>
        <w:rPr>
          <w:rFonts w:ascii="Helvetica" w:hAnsi="Helvetica"/>
        </w:rPr>
      </w:pPr>
      <w:r>
        <w:rPr>
          <w:rFonts w:ascii="Helvetica" w:hAnsi="Helvetica"/>
        </w:rPr>
        <w:t>31 December 2026</w:t>
      </w:r>
    </w:p>
    <w:p w14:paraId="07B2493C" w14:textId="77777777" w:rsidR="00BF0F7A" w:rsidRPr="00B87286" w:rsidRDefault="00000000">
      <w:pPr>
        <w:pStyle w:val="Heading2"/>
        <w:rPr>
          <w:rFonts w:ascii="Helvetica" w:hAnsi="Helvetica"/>
        </w:rPr>
      </w:pPr>
      <w:r w:rsidRPr="00B87286">
        <w:rPr>
          <w:rFonts w:ascii="Helvetica" w:hAnsi="Helvetica"/>
        </w:rPr>
        <w:t>1.5 Stage of review at time of submission</w:t>
      </w:r>
    </w:p>
    <w:p w14:paraId="5DB03FF0" w14:textId="77777777" w:rsidR="00BF0F7A" w:rsidRPr="00B87286" w:rsidRDefault="00000000">
      <w:pPr>
        <w:spacing w:after="120"/>
        <w:rPr>
          <w:rFonts w:ascii="Helvetica" w:hAnsi="Helvetica"/>
        </w:rPr>
      </w:pPr>
      <w:r w:rsidRPr="00B87286">
        <w:rPr>
          <w:rFonts w:ascii="Helvetica" w:hAnsi="Helvetica"/>
        </w:rPr>
        <w:t>Preliminary searches completed; formal database searches pending librarian peer review (PRESS). Screening, extraction, risk of bias assessment, and synthesis have not yet commenced.</w:t>
      </w:r>
    </w:p>
    <w:p w14:paraId="4D91BC6B" w14:textId="77777777" w:rsidR="00BF0F7A" w:rsidRPr="00B87286" w:rsidRDefault="00000000">
      <w:pPr>
        <w:pStyle w:val="Heading2"/>
        <w:rPr>
          <w:rFonts w:ascii="Helvetica" w:hAnsi="Helvetica"/>
        </w:rPr>
      </w:pPr>
      <w:r w:rsidRPr="00B87286">
        <w:rPr>
          <w:rFonts w:ascii="Helvetica" w:hAnsi="Helvetica"/>
        </w:rPr>
        <w:t>1.6 Named contact</w:t>
      </w:r>
    </w:p>
    <w:p w14:paraId="6AF633BA" w14:textId="5167B9A8" w:rsidR="00BF0F7A" w:rsidRPr="00B87286" w:rsidRDefault="00000000">
      <w:pPr>
        <w:spacing w:after="120"/>
        <w:rPr>
          <w:rFonts w:ascii="Helvetica" w:hAnsi="Helvetica"/>
        </w:rPr>
      </w:pPr>
      <w:r w:rsidRPr="00B87286">
        <w:rPr>
          <w:rFonts w:ascii="Helvetica" w:hAnsi="Helvetica"/>
        </w:rPr>
        <w:t>[LEAD REVIEWER — R. Lewis, PharmD</w:t>
      </w:r>
      <w:r w:rsidR="00092613">
        <w:rPr>
          <w:rFonts w:ascii="Helvetica" w:hAnsi="Helvetica"/>
        </w:rPr>
        <w:t>]</w:t>
      </w:r>
    </w:p>
    <w:p w14:paraId="022B6521" w14:textId="77777777" w:rsidR="00BF0F7A" w:rsidRPr="00B87286" w:rsidRDefault="00000000">
      <w:pPr>
        <w:spacing w:after="120"/>
        <w:rPr>
          <w:rFonts w:ascii="Helvetica" w:hAnsi="Helvetica"/>
        </w:rPr>
      </w:pPr>
      <w:r w:rsidRPr="00B87286">
        <w:rPr>
          <w:rFonts w:ascii="Helvetica" w:hAnsi="Helvetica"/>
        </w:rPr>
        <w:t>Associate Professor of Infectious Diseases, Department of Molecular Medicine, University of Padova, Italy.</w:t>
      </w:r>
    </w:p>
    <w:p w14:paraId="55D34E85" w14:textId="13E4C8D5" w:rsidR="00BF0F7A" w:rsidRPr="00B87286" w:rsidRDefault="00000000">
      <w:pPr>
        <w:spacing w:after="120"/>
        <w:rPr>
          <w:rFonts w:ascii="Helvetica" w:hAnsi="Helvetica"/>
        </w:rPr>
      </w:pPr>
      <w:r w:rsidRPr="00B87286">
        <w:rPr>
          <w:rFonts w:ascii="Helvetica" w:hAnsi="Helvetica"/>
        </w:rPr>
        <w:t xml:space="preserve">Email: </w:t>
      </w:r>
      <w:r w:rsidR="00B87286">
        <w:rPr>
          <w:rFonts w:ascii="Helvetica" w:hAnsi="Helvetica"/>
        </w:rPr>
        <w:t>russelledward.lewis@unipd.it</w:t>
      </w:r>
    </w:p>
    <w:p w14:paraId="2678329D" w14:textId="77777777" w:rsidR="00BF0F7A" w:rsidRPr="00B87286" w:rsidRDefault="00000000">
      <w:pPr>
        <w:pStyle w:val="Heading2"/>
        <w:rPr>
          <w:rFonts w:ascii="Helvetica" w:hAnsi="Helvetica"/>
        </w:rPr>
      </w:pPr>
      <w:r w:rsidRPr="00B87286">
        <w:rPr>
          <w:rFonts w:ascii="Helvetica" w:hAnsi="Helvetica"/>
        </w:rPr>
        <w:t>1.7 Review team members and affiliations</w:t>
      </w:r>
    </w:p>
    <w:p w14:paraId="6C3A89E6" w14:textId="49F905F1" w:rsidR="00BF0F7A" w:rsidRPr="00B87286" w:rsidRDefault="00000000">
      <w:pPr>
        <w:pStyle w:val="ListParagraph"/>
        <w:numPr>
          <w:ilvl w:val="0"/>
          <w:numId w:val="2"/>
        </w:numPr>
        <w:spacing w:after="60"/>
        <w:rPr>
          <w:rFonts w:ascii="Helvetica" w:hAnsi="Helvetica"/>
        </w:rPr>
      </w:pPr>
      <w:r w:rsidRPr="00B87286">
        <w:rPr>
          <w:rFonts w:ascii="Helvetica" w:hAnsi="Helvetica"/>
        </w:rPr>
        <w:t>Lead reviewer (guarantor): R. Lewis, PharmD — Department of Molecular Medicine, University of Padova, Italy</w:t>
      </w:r>
    </w:p>
    <w:p w14:paraId="1CC926BB" w14:textId="656100FD"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Co-lead reviewer: </w:t>
      </w:r>
      <w:r w:rsidR="00B87286">
        <w:rPr>
          <w:rFonts w:ascii="Helvetica" w:hAnsi="Helvetica"/>
        </w:rPr>
        <w:t>Marta Stanzani, M.D., Ph.D.</w:t>
      </w:r>
      <w:r w:rsidR="00092613">
        <w:rPr>
          <w:rFonts w:ascii="Helvetica" w:hAnsi="Helvetica"/>
        </w:rPr>
        <w:t xml:space="preserve"> ULSS2, Treviso, Italy</w:t>
      </w:r>
    </w:p>
    <w:p w14:paraId="6BDF963E" w14:textId="373836DA"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Additional team members and content experts: </w:t>
      </w:r>
      <w:r w:rsidR="00B87286">
        <w:rPr>
          <w:rFonts w:ascii="Helvetica" w:hAnsi="Helvetica"/>
        </w:rPr>
        <w:t xml:space="preserve">Dimitrios P. </w:t>
      </w:r>
      <w:proofErr w:type="spellStart"/>
      <w:r w:rsidR="00B87286">
        <w:rPr>
          <w:rFonts w:ascii="Helvetica" w:hAnsi="Helvetica"/>
        </w:rPr>
        <w:t>Kontoyiannis</w:t>
      </w:r>
      <w:proofErr w:type="spellEnd"/>
      <w:r w:rsidR="00B87286">
        <w:rPr>
          <w:rFonts w:ascii="Helvetica" w:hAnsi="Helvetica"/>
        </w:rPr>
        <w:t xml:space="preserve">, M.D., </w:t>
      </w:r>
      <w:proofErr w:type="spellStart"/>
      <w:proofErr w:type="gramStart"/>
      <w:r w:rsidR="00B87286">
        <w:rPr>
          <w:rFonts w:ascii="Helvetica" w:hAnsi="Helvetica"/>
        </w:rPr>
        <w:t>Sc.D</w:t>
      </w:r>
      <w:proofErr w:type="spellEnd"/>
      <w:proofErr w:type="gramEnd"/>
      <w:r w:rsidR="00092613">
        <w:rPr>
          <w:rFonts w:ascii="Helvetica" w:hAnsi="Helvetica"/>
        </w:rPr>
        <w:t xml:space="preserve"> </w:t>
      </w:r>
      <w:proofErr w:type="spellStart"/>
      <w:r w:rsidR="00092613">
        <w:rPr>
          <w:rFonts w:ascii="Helvetica" w:hAnsi="Helvetica"/>
        </w:rPr>
        <w:t>Univerity</w:t>
      </w:r>
      <w:proofErr w:type="spellEnd"/>
      <w:r w:rsidR="00092613">
        <w:rPr>
          <w:rFonts w:ascii="Helvetica" w:hAnsi="Helvetica"/>
        </w:rPr>
        <w:t xml:space="preserve"> of Texas MD Anderson Cancer Center, Houston, Texas</w:t>
      </w:r>
    </w:p>
    <w:p w14:paraId="7B93BF35" w14:textId="77777777" w:rsidR="00BF0F7A" w:rsidRPr="00B87286" w:rsidRDefault="00000000">
      <w:pPr>
        <w:pStyle w:val="Heading2"/>
        <w:rPr>
          <w:rFonts w:ascii="Helvetica" w:hAnsi="Helvetica"/>
        </w:rPr>
      </w:pPr>
      <w:r w:rsidRPr="00B87286">
        <w:rPr>
          <w:rFonts w:ascii="Helvetica" w:hAnsi="Helvetica"/>
        </w:rPr>
        <w:lastRenderedPageBreak/>
        <w:t>1.8 Funding sources / sponsors</w:t>
      </w:r>
    </w:p>
    <w:p w14:paraId="6E1B49AA" w14:textId="6F2EBE53" w:rsidR="00BF0F7A" w:rsidRPr="00B87286" w:rsidRDefault="00B87286">
      <w:pPr>
        <w:spacing w:after="120"/>
        <w:rPr>
          <w:rFonts w:ascii="Helvetica" w:hAnsi="Helvetica"/>
        </w:rPr>
      </w:pPr>
      <w:r>
        <w:rPr>
          <w:rFonts w:ascii="Helvetica" w:hAnsi="Helvetica"/>
        </w:rPr>
        <w:t>No funding</w:t>
      </w:r>
    </w:p>
    <w:p w14:paraId="27E5F0E0" w14:textId="77777777" w:rsidR="00BF0F7A" w:rsidRPr="00B87286" w:rsidRDefault="00000000">
      <w:pPr>
        <w:pStyle w:val="Heading2"/>
        <w:rPr>
          <w:rFonts w:ascii="Helvetica" w:hAnsi="Helvetica"/>
        </w:rPr>
      </w:pPr>
      <w:r w:rsidRPr="00B87286">
        <w:rPr>
          <w:rFonts w:ascii="Helvetica" w:hAnsi="Helvetica"/>
        </w:rPr>
        <w:t>1.9 Conflicts of interest</w:t>
      </w:r>
    </w:p>
    <w:p w14:paraId="3B568D6E" w14:textId="77777777" w:rsidR="00BF0F7A" w:rsidRPr="00B87286" w:rsidRDefault="00000000">
      <w:pPr>
        <w:spacing w:after="120"/>
        <w:rPr>
          <w:rFonts w:ascii="Helvetica" w:hAnsi="Helvetica"/>
        </w:rPr>
      </w:pPr>
      <w:r w:rsidRPr="00B87286">
        <w:rPr>
          <w:rFonts w:ascii="Helvetica" w:hAnsi="Helvetica"/>
        </w:rPr>
        <w:t>To be declared individually by each reviewer per ICMJE criteria. The co-lead reviewer serves as director of a bone marrow transplant program; any publications from the co-lead's own institution identified during screening will be flagged, and the co-lead will recuse from extraction and risk-of-bias assessment of those specific publications to prevent conflict of interest. A third independent reviewer (to be identified) will perform these tasks in such cases.</w:t>
      </w:r>
    </w:p>
    <w:p w14:paraId="027C7674" w14:textId="77777777" w:rsidR="00BF0F7A" w:rsidRPr="00B87286" w:rsidRDefault="00000000">
      <w:pPr>
        <w:pStyle w:val="Heading2"/>
        <w:rPr>
          <w:rFonts w:ascii="Helvetica" w:hAnsi="Helvetica"/>
        </w:rPr>
      </w:pPr>
      <w:r w:rsidRPr="00B87286">
        <w:rPr>
          <w:rFonts w:ascii="Helvetica" w:hAnsi="Helvetica"/>
        </w:rPr>
        <w:t>1.10 Collaborators</w:t>
      </w:r>
    </w:p>
    <w:p w14:paraId="7BD8EA2C" w14:textId="77777777" w:rsidR="00BF0F7A" w:rsidRPr="00B87286" w:rsidRDefault="00000000">
      <w:pPr>
        <w:spacing w:after="120"/>
        <w:rPr>
          <w:rFonts w:ascii="Helvetica" w:hAnsi="Helvetica"/>
        </w:rPr>
      </w:pPr>
      <w:r w:rsidRPr="00B87286">
        <w:rPr>
          <w:rFonts w:ascii="Helvetica" w:hAnsi="Helvetica"/>
        </w:rPr>
        <w:t>Peer review of database search strategies will be performed by a biomedical librarian at the University of Padova using the Peer Review of Electronic Search Strategies (PRESS) checklist.</w:t>
      </w:r>
    </w:p>
    <w:p w14:paraId="4B9C965E" w14:textId="77777777" w:rsidR="00BF0F7A" w:rsidRPr="00B87286" w:rsidRDefault="00000000">
      <w:pPr>
        <w:pStyle w:val="Heading1"/>
        <w:rPr>
          <w:rFonts w:ascii="Helvetica" w:hAnsi="Helvetica"/>
        </w:rPr>
      </w:pPr>
      <w:r w:rsidRPr="00B87286">
        <w:rPr>
          <w:rFonts w:ascii="Helvetica" w:hAnsi="Helvetica"/>
        </w:rPr>
        <w:t>2. Review Question and Objectives</w:t>
      </w:r>
    </w:p>
    <w:p w14:paraId="514172A2" w14:textId="77777777" w:rsidR="00BF0F7A" w:rsidRPr="00B87286" w:rsidRDefault="00000000">
      <w:pPr>
        <w:pStyle w:val="Heading2"/>
        <w:rPr>
          <w:rFonts w:ascii="Helvetica" w:hAnsi="Helvetica"/>
        </w:rPr>
      </w:pPr>
      <w:r w:rsidRPr="00B87286">
        <w:rPr>
          <w:rFonts w:ascii="Helvetica" w:hAnsi="Helvetica"/>
        </w:rPr>
        <w:t>2.1 Review question</w:t>
      </w:r>
    </w:p>
    <w:p w14:paraId="56D78C90" w14:textId="77777777" w:rsidR="00BF0F7A" w:rsidRPr="00B87286" w:rsidRDefault="00000000">
      <w:pPr>
        <w:spacing w:after="120"/>
        <w:rPr>
          <w:rFonts w:ascii="Helvetica" w:hAnsi="Helvetica"/>
        </w:rPr>
      </w:pPr>
      <w:r w:rsidRPr="00B87286">
        <w:rPr>
          <w:rFonts w:ascii="Helvetica" w:hAnsi="Helvetica"/>
        </w:rPr>
        <w:t>In adults undergoing their first allogeneic hematopoietic cell transplantation for hematologic malignancy or severe aplastic anemia, does the use of post-transplant cyclophosphamide (</w:t>
      </w:r>
      <w:proofErr w:type="spellStart"/>
      <w:r w:rsidRPr="00B87286">
        <w:rPr>
          <w:rFonts w:ascii="Helvetica" w:hAnsi="Helvetica"/>
        </w:rPr>
        <w:t>PTCy</w:t>
      </w:r>
      <w:proofErr w:type="spellEnd"/>
      <w:r w:rsidRPr="00B87286">
        <w:rPr>
          <w:rFonts w:ascii="Helvetica" w:hAnsi="Helvetica"/>
        </w:rPr>
        <w:t>)–based graft-versus-host disease (GVHD) prophylaxis, compared with non-</w:t>
      </w:r>
      <w:proofErr w:type="spellStart"/>
      <w:r w:rsidRPr="00B87286">
        <w:rPr>
          <w:rFonts w:ascii="Helvetica" w:hAnsi="Helvetica"/>
        </w:rPr>
        <w:t>PTCy</w:t>
      </w:r>
      <w:proofErr w:type="spellEnd"/>
      <w:r w:rsidRPr="00B87286">
        <w:rPr>
          <w:rFonts w:ascii="Helvetica" w:hAnsi="Helvetica"/>
        </w:rPr>
        <w:t xml:space="preserve"> prophylaxis regimens, affect the incidence of severe bacterial, viral (cytomegalovirus), and fungal infections, and infection-related and non-relapse mortality?</w:t>
      </w:r>
    </w:p>
    <w:p w14:paraId="263856BE" w14:textId="77777777" w:rsidR="00BF0F7A" w:rsidRPr="00B87286" w:rsidRDefault="00000000">
      <w:pPr>
        <w:pStyle w:val="Heading2"/>
        <w:rPr>
          <w:rFonts w:ascii="Helvetica" w:hAnsi="Helvetica"/>
        </w:rPr>
      </w:pPr>
      <w:r w:rsidRPr="00B87286">
        <w:rPr>
          <w:rFonts w:ascii="Helvetica" w:hAnsi="Helvetica"/>
        </w:rPr>
        <w:t>2.2 Objectives</w:t>
      </w:r>
    </w:p>
    <w:p w14:paraId="5A64761D" w14:textId="77777777" w:rsidR="00BF0F7A" w:rsidRPr="00B87286" w:rsidRDefault="00000000">
      <w:pPr>
        <w:spacing w:after="120"/>
        <w:rPr>
          <w:rFonts w:ascii="Helvetica" w:hAnsi="Helvetica"/>
        </w:rPr>
      </w:pPr>
      <w:r w:rsidRPr="00B87286">
        <w:rPr>
          <w:rFonts w:ascii="Helvetica" w:hAnsi="Helvetica"/>
        </w:rPr>
        <w:t xml:space="preserve">Primary objective: To synthesize evidence on cumulative incidence of severe bacterial bloodstream infection, cytomegalovirus reactivation, and invasive fungal infection at pre-specified timepoints following </w:t>
      </w:r>
      <w:proofErr w:type="spellStart"/>
      <w:r w:rsidRPr="00B87286">
        <w:rPr>
          <w:rFonts w:ascii="Helvetica" w:hAnsi="Helvetica"/>
        </w:rPr>
        <w:t>PTCy</w:t>
      </w:r>
      <w:proofErr w:type="spellEnd"/>
      <w:r w:rsidRPr="00B87286">
        <w:rPr>
          <w:rFonts w:ascii="Helvetica" w:hAnsi="Helvetica"/>
        </w:rPr>
        <w:t>-based GVHD prophylaxis compared with three pre-specified comparator regimens.</w:t>
      </w:r>
    </w:p>
    <w:p w14:paraId="5B140E20" w14:textId="77777777" w:rsidR="00BF0F7A" w:rsidRPr="00B87286" w:rsidRDefault="00000000">
      <w:pPr>
        <w:spacing w:after="120"/>
        <w:rPr>
          <w:rFonts w:ascii="Helvetica" w:hAnsi="Helvetica"/>
        </w:rPr>
      </w:pPr>
      <w:r w:rsidRPr="00B87286">
        <w:rPr>
          <w:rFonts w:ascii="Helvetica" w:hAnsi="Helvetica"/>
        </w:rPr>
        <w:t>Secondary objectives: (</w:t>
      </w:r>
      <w:proofErr w:type="spellStart"/>
      <w:r w:rsidRPr="00B87286">
        <w:rPr>
          <w:rFonts w:ascii="Helvetica" w:hAnsi="Helvetica"/>
        </w:rPr>
        <w:t>i</w:t>
      </w:r>
      <w:proofErr w:type="spellEnd"/>
      <w:r w:rsidRPr="00B87286">
        <w:rPr>
          <w:rFonts w:ascii="Helvetica" w:hAnsi="Helvetica"/>
        </w:rPr>
        <w:t xml:space="preserve">) to quantify infection-related mortality and non-relapse mortality across prophylaxis regimens; (ii) to examine the effect of pre-specified moderators including donor type, conditioning intensity, </w:t>
      </w:r>
      <w:proofErr w:type="spellStart"/>
      <w:r w:rsidRPr="00B87286">
        <w:rPr>
          <w:rFonts w:ascii="Helvetica" w:hAnsi="Helvetica"/>
        </w:rPr>
        <w:t>letermovir</w:t>
      </w:r>
      <w:proofErr w:type="spellEnd"/>
      <w:r w:rsidRPr="00B87286">
        <w:rPr>
          <w:rFonts w:ascii="Helvetica" w:hAnsi="Helvetica"/>
        </w:rPr>
        <w:t xml:space="preserve"> era, ATG dose category, and </w:t>
      </w:r>
      <w:proofErr w:type="spellStart"/>
      <w:r w:rsidRPr="00B87286">
        <w:rPr>
          <w:rFonts w:ascii="Helvetica" w:hAnsi="Helvetica"/>
        </w:rPr>
        <w:t>PTCy</w:t>
      </w:r>
      <w:proofErr w:type="spellEnd"/>
      <w:r w:rsidRPr="00B87286">
        <w:rPr>
          <w:rFonts w:ascii="Helvetica" w:hAnsi="Helvetica"/>
        </w:rPr>
        <w:t xml:space="preserve"> dose on outcome estimates; and (iii) to identify regimen modifications that attenuate the early infectious burden associated with </w:t>
      </w:r>
      <w:proofErr w:type="spellStart"/>
      <w:r w:rsidRPr="00B87286">
        <w:rPr>
          <w:rFonts w:ascii="Helvetica" w:hAnsi="Helvetica"/>
        </w:rPr>
        <w:t>PTCy</w:t>
      </w:r>
      <w:proofErr w:type="spellEnd"/>
      <w:r w:rsidRPr="00B87286">
        <w:rPr>
          <w:rFonts w:ascii="Helvetica" w:hAnsi="Helvetica"/>
        </w:rPr>
        <w:t xml:space="preserve"> while preserving GVHD prophylactic efficacy.</w:t>
      </w:r>
    </w:p>
    <w:p w14:paraId="2B6EC86E" w14:textId="77777777" w:rsidR="00BF0F7A" w:rsidRPr="00B87286" w:rsidRDefault="00000000">
      <w:pPr>
        <w:pStyle w:val="Heading2"/>
        <w:rPr>
          <w:rFonts w:ascii="Helvetica" w:hAnsi="Helvetica"/>
        </w:rPr>
      </w:pPr>
      <w:r w:rsidRPr="00B87286">
        <w:rPr>
          <w:rFonts w:ascii="Helvetica" w:hAnsi="Helvetica"/>
        </w:rPr>
        <w:t>2.3 Rationale</w:t>
      </w:r>
    </w:p>
    <w:p w14:paraId="540BDF87" w14:textId="77777777" w:rsidR="00BF0F7A" w:rsidRPr="00B87286" w:rsidRDefault="00000000">
      <w:pPr>
        <w:spacing w:after="120"/>
        <w:rPr>
          <w:rFonts w:ascii="Helvetica" w:hAnsi="Helvetica"/>
        </w:rPr>
      </w:pPr>
      <w:proofErr w:type="spellStart"/>
      <w:r w:rsidRPr="00B87286">
        <w:rPr>
          <w:rFonts w:ascii="Helvetica" w:hAnsi="Helvetica"/>
        </w:rPr>
        <w:t>PTCy</w:t>
      </w:r>
      <w:proofErr w:type="spellEnd"/>
      <w:r w:rsidRPr="00B87286">
        <w:rPr>
          <w:rFonts w:ascii="Helvetica" w:hAnsi="Helvetica"/>
        </w:rPr>
        <w:t xml:space="preserve"> has become a widely adopted platform for GVHD prophylaxis in allogeneic hematopoietic cell transplantation, initially in haploidentical transplantation and increasingly in HLA-matched and mismatched unrelated donor settings following the BMT CTN 1703 trial. However, a growing body of literature reports conflicting signals regarding </w:t>
      </w:r>
      <w:proofErr w:type="spellStart"/>
      <w:r w:rsidRPr="00B87286">
        <w:rPr>
          <w:rFonts w:ascii="Helvetica" w:hAnsi="Helvetica"/>
        </w:rPr>
        <w:t>PTCy</w:t>
      </w:r>
      <w:proofErr w:type="spellEnd"/>
      <w:r w:rsidRPr="00B87286">
        <w:rPr>
          <w:rFonts w:ascii="Helvetica" w:hAnsi="Helvetica"/>
        </w:rPr>
        <w:t xml:space="preserve">-associated infection risk. Excess early bacterial bloodstream infections and non-CMV herpesvirus reactivation are consistently described relative to calcineurin inhibitor–based regimens, while </w:t>
      </w:r>
      <w:proofErr w:type="spellStart"/>
      <w:r w:rsidRPr="00B87286">
        <w:rPr>
          <w:rFonts w:ascii="Helvetica" w:hAnsi="Helvetica"/>
        </w:rPr>
        <w:t>PTCy</w:t>
      </w:r>
      <w:proofErr w:type="spellEnd"/>
      <w:r w:rsidRPr="00B87286">
        <w:rPr>
          <w:rFonts w:ascii="Helvetica" w:hAnsi="Helvetica"/>
        </w:rPr>
        <w:t xml:space="preserve"> appears to confer lower rates of CMV, EBV-related post-transplant lymphoproliferative disorder, and invasive fungal infection compared to anti-thymocyte globulin–based regimens in unrelated donor settings. The apparent contradictions across studies are driven by heterogeneity in </w:t>
      </w:r>
      <w:r w:rsidRPr="00B87286">
        <w:rPr>
          <w:rFonts w:ascii="Helvetica" w:hAnsi="Helvetica"/>
        </w:rPr>
        <w:lastRenderedPageBreak/>
        <w:t xml:space="preserve">comparator regimen, donor type, </w:t>
      </w:r>
      <w:proofErr w:type="spellStart"/>
      <w:r w:rsidRPr="00B87286">
        <w:rPr>
          <w:rFonts w:ascii="Helvetica" w:hAnsi="Helvetica"/>
        </w:rPr>
        <w:t>letermovir</w:t>
      </w:r>
      <w:proofErr w:type="spellEnd"/>
      <w:r w:rsidRPr="00B87286">
        <w:rPr>
          <w:rFonts w:ascii="Helvetica" w:hAnsi="Helvetica"/>
        </w:rPr>
        <w:t xml:space="preserve"> era, </w:t>
      </w:r>
      <w:proofErr w:type="spellStart"/>
      <w:r w:rsidRPr="00B87286">
        <w:rPr>
          <w:rFonts w:ascii="Helvetica" w:hAnsi="Helvetica"/>
        </w:rPr>
        <w:t>PTCy</w:t>
      </w:r>
      <w:proofErr w:type="spellEnd"/>
      <w:r w:rsidRPr="00B87286">
        <w:rPr>
          <w:rFonts w:ascii="Helvetica" w:hAnsi="Helvetica"/>
        </w:rPr>
        <w:t xml:space="preserve"> dose, and outcome definitions. A formal Bayesian meta-analysis stratified by comparator architecture and pre-specified moderators is needed to quantify </w:t>
      </w:r>
      <w:proofErr w:type="spellStart"/>
      <w:r w:rsidRPr="00B87286">
        <w:rPr>
          <w:rFonts w:ascii="Helvetica" w:hAnsi="Helvetica"/>
        </w:rPr>
        <w:t>PTCy</w:t>
      </w:r>
      <w:proofErr w:type="spellEnd"/>
      <w:r w:rsidRPr="00B87286">
        <w:rPr>
          <w:rFonts w:ascii="Helvetica" w:hAnsi="Helvetica"/>
        </w:rPr>
        <w:t>-associated infection risk in contemporary practice and to identify modifiable determinants.</w:t>
      </w:r>
    </w:p>
    <w:p w14:paraId="668B2764" w14:textId="77777777" w:rsidR="00BF0F7A" w:rsidRPr="00B87286" w:rsidRDefault="00000000">
      <w:pPr>
        <w:pStyle w:val="Heading1"/>
        <w:rPr>
          <w:rFonts w:ascii="Helvetica" w:hAnsi="Helvetica"/>
        </w:rPr>
      </w:pPr>
      <w:r w:rsidRPr="00B87286">
        <w:rPr>
          <w:rFonts w:ascii="Helvetica" w:hAnsi="Helvetica"/>
        </w:rPr>
        <w:t>3. Methods</w:t>
      </w:r>
    </w:p>
    <w:p w14:paraId="03731002" w14:textId="77777777" w:rsidR="00BF0F7A" w:rsidRPr="00B87286" w:rsidRDefault="00000000">
      <w:pPr>
        <w:pStyle w:val="Heading2"/>
        <w:rPr>
          <w:rFonts w:ascii="Helvetica" w:hAnsi="Helvetica"/>
        </w:rPr>
      </w:pPr>
      <w:r w:rsidRPr="00B87286">
        <w:rPr>
          <w:rFonts w:ascii="Helvetica" w:hAnsi="Helvetica"/>
        </w:rPr>
        <w:t>3.1 Eligibility Criteria (PICOS)</w:t>
      </w:r>
    </w:p>
    <w:p w14:paraId="7039C6AF" w14:textId="77777777" w:rsidR="00BF0F7A" w:rsidRPr="00B87286" w:rsidRDefault="00000000">
      <w:pPr>
        <w:pStyle w:val="Heading3"/>
        <w:rPr>
          <w:rFonts w:ascii="Helvetica" w:hAnsi="Helvetica"/>
        </w:rPr>
      </w:pPr>
      <w:r w:rsidRPr="00B87286">
        <w:rPr>
          <w:rFonts w:ascii="Helvetica" w:hAnsi="Helvetica"/>
        </w:rPr>
        <w:t>3.1.1 Population</w:t>
      </w:r>
    </w:p>
    <w:p w14:paraId="73881CFC"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Adults aged ≥18 years at the time of transplant</w:t>
      </w:r>
    </w:p>
    <w:p w14:paraId="47CCE1AA"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Undergoing first allogeneic hematopoietic cell transplantation</w:t>
      </w:r>
    </w:p>
    <w:p w14:paraId="19FA02D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Underlying diagnosis of hematologic malignancy (AML, ALL, MDS, MPN, CML, CLL, lymphoma, multiple myeloma, or other hematologic neoplasms) or severe aplastic anemia (SAA)</w:t>
      </w:r>
    </w:p>
    <w:p w14:paraId="274AA70D"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Any donor type (matched sibling, matched unrelated, mismatched unrelated, haploidentical, umbilical cord blood)</w:t>
      </w:r>
    </w:p>
    <w:p w14:paraId="75F76E1E"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Any graft source (peripheral blood stem cells, bone marrow, cord blood)</w:t>
      </w:r>
    </w:p>
    <w:p w14:paraId="30487148"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Any conditioning intensity (myeloablative, reduced-intensity, non-myeloablative)</w:t>
      </w:r>
    </w:p>
    <w:p w14:paraId="662E9EB6" w14:textId="77777777" w:rsidR="00BF0F7A" w:rsidRPr="00B87286" w:rsidRDefault="00000000">
      <w:pPr>
        <w:spacing w:after="120"/>
        <w:rPr>
          <w:rFonts w:ascii="Helvetica" w:hAnsi="Helvetica"/>
        </w:rPr>
      </w:pPr>
      <w:r w:rsidRPr="00B87286">
        <w:rPr>
          <w:rFonts w:ascii="Helvetica" w:hAnsi="Helvetica"/>
          <w:b/>
          <w:bCs/>
        </w:rPr>
        <w:t>Exclusion from population:</w:t>
      </w:r>
    </w:p>
    <w:p w14:paraId="258B97DE"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Pediatric patients (&lt;18 years) or studies without adult-stratified data</w:t>
      </w:r>
    </w:p>
    <w:p w14:paraId="774DDAC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Non-malignant indications other than SAA (e.g., sickle cell disease, thalassemia, primary immunodeficiencies, inborn errors of metabolism)</w:t>
      </w:r>
    </w:p>
    <w:p w14:paraId="00CE771C"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Second or subsequent allogeneic transplants</w:t>
      </w:r>
    </w:p>
    <w:p w14:paraId="0BBC21DA"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Autologous transplantation</w:t>
      </w:r>
    </w:p>
    <w:p w14:paraId="4B6B4FE8"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Mixed adult/pediatric cohorts in which adult data cannot be separately extracted</w:t>
      </w:r>
    </w:p>
    <w:p w14:paraId="6EE566F6" w14:textId="77777777" w:rsidR="00BF0F7A" w:rsidRPr="00B87286" w:rsidRDefault="00000000">
      <w:pPr>
        <w:pStyle w:val="Heading3"/>
        <w:rPr>
          <w:rFonts w:ascii="Helvetica" w:hAnsi="Helvetica"/>
        </w:rPr>
      </w:pPr>
      <w:r w:rsidRPr="00B87286">
        <w:rPr>
          <w:rFonts w:ascii="Helvetica" w:hAnsi="Helvetica"/>
        </w:rPr>
        <w:t>3.1.2 Intervention</w:t>
      </w:r>
    </w:p>
    <w:p w14:paraId="71ABCE45" w14:textId="77777777" w:rsidR="00BF0F7A" w:rsidRPr="00B87286" w:rsidRDefault="00000000">
      <w:pPr>
        <w:spacing w:after="120"/>
        <w:rPr>
          <w:rFonts w:ascii="Helvetica" w:hAnsi="Helvetica"/>
        </w:rPr>
      </w:pPr>
      <w:proofErr w:type="spellStart"/>
      <w:r w:rsidRPr="00B87286">
        <w:rPr>
          <w:rFonts w:ascii="Helvetica" w:hAnsi="Helvetica"/>
        </w:rPr>
        <w:t>PTCy</w:t>
      </w:r>
      <w:proofErr w:type="spellEnd"/>
      <w:r w:rsidRPr="00B87286">
        <w:rPr>
          <w:rFonts w:ascii="Helvetica" w:hAnsi="Helvetica"/>
        </w:rPr>
        <w:t xml:space="preserve"> administered for GVHD prophylaxis at any dose (standard 50 mg/kg × 2 days, </w:t>
      </w:r>
      <w:proofErr w:type="gramStart"/>
      <w:r w:rsidRPr="00B87286">
        <w:rPr>
          <w:rFonts w:ascii="Helvetica" w:hAnsi="Helvetica"/>
        </w:rPr>
        <w:t>reduced-dose</w:t>
      </w:r>
      <w:proofErr w:type="gramEnd"/>
      <w:r w:rsidRPr="00B87286">
        <w:rPr>
          <w:rFonts w:ascii="Helvetica" w:hAnsi="Helvetica"/>
        </w:rPr>
        <w:t xml:space="preserve"> ≤40 mg/kg, or other modified schedules), in combination with calcineurin inhibitor, mycophenolate mofetil, sirolimus, methotrexate, abatacept, or other immunosuppressive agents, or as sole prophylaxis.</w:t>
      </w:r>
    </w:p>
    <w:p w14:paraId="67152446" w14:textId="77777777" w:rsidR="00BF0F7A" w:rsidRPr="00B87286" w:rsidRDefault="00000000">
      <w:pPr>
        <w:spacing w:after="120"/>
        <w:rPr>
          <w:rFonts w:ascii="Helvetica" w:hAnsi="Helvetica"/>
        </w:rPr>
      </w:pPr>
      <w:r w:rsidRPr="00B87286">
        <w:rPr>
          <w:rFonts w:ascii="Helvetica" w:hAnsi="Helvetica"/>
        </w:rPr>
        <w:t xml:space="preserve">Exclusion: cyclophosphamide administered only as part of the conditioning regimen; cyclophosphamide used for treatment of established GVHD; studies in which </w:t>
      </w:r>
      <w:proofErr w:type="spellStart"/>
      <w:r w:rsidRPr="00B87286">
        <w:rPr>
          <w:rFonts w:ascii="Helvetica" w:hAnsi="Helvetica"/>
        </w:rPr>
        <w:t>PTCy</w:t>
      </w:r>
      <w:proofErr w:type="spellEnd"/>
      <w:r w:rsidRPr="00B87286">
        <w:rPr>
          <w:rFonts w:ascii="Helvetica" w:hAnsi="Helvetica"/>
        </w:rPr>
        <w:t xml:space="preserve"> timing, dose, or intent cannot be determined.</w:t>
      </w:r>
    </w:p>
    <w:p w14:paraId="311D9155" w14:textId="77777777" w:rsidR="00BF0F7A" w:rsidRPr="00B87286" w:rsidRDefault="00000000">
      <w:pPr>
        <w:pStyle w:val="Heading3"/>
        <w:rPr>
          <w:rFonts w:ascii="Helvetica" w:hAnsi="Helvetica"/>
        </w:rPr>
      </w:pPr>
      <w:r w:rsidRPr="00B87286">
        <w:rPr>
          <w:rFonts w:ascii="Helvetica" w:hAnsi="Helvetica"/>
        </w:rPr>
        <w:t>3.1.3 Comparators</w:t>
      </w:r>
    </w:p>
    <w:p w14:paraId="565D460A" w14:textId="77777777" w:rsidR="00BF0F7A" w:rsidRPr="00B87286" w:rsidRDefault="00000000">
      <w:pPr>
        <w:spacing w:after="120"/>
        <w:rPr>
          <w:rFonts w:ascii="Helvetica" w:hAnsi="Helvetica"/>
        </w:rPr>
      </w:pPr>
      <w:r w:rsidRPr="00B87286">
        <w:rPr>
          <w:rFonts w:ascii="Helvetica" w:hAnsi="Helvetica"/>
        </w:rPr>
        <w:t>Three pre-specified pairwise comparisons constitute the primary analyses:</w:t>
      </w:r>
    </w:p>
    <w:p w14:paraId="5354D781"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 xml:space="preserve">Comparison 1: </w:t>
      </w:r>
      <w:proofErr w:type="spellStart"/>
      <w:r w:rsidRPr="00B87286">
        <w:rPr>
          <w:rFonts w:ascii="Helvetica" w:hAnsi="Helvetica"/>
        </w:rPr>
        <w:t>PTCy</w:t>
      </w:r>
      <w:proofErr w:type="spellEnd"/>
      <w:r w:rsidRPr="00B87286">
        <w:rPr>
          <w:rFonts w:ascii="Helvetica" w:hAnsi="Helvetica"/>
        </w:rPr>
        <w:t xml:space="preserve"> ± calcineurin inhibitor ± mycophenolate mofetil versus calcineurin inhibitor (tacrolimus or cyclosporine) combined with methotrexate or MMF, without ATG and without ex vivo T-cell depletion.</w:t>
      </w:r>
    </w:p>
    <w:p w14:paraId="78DC62F3"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 xml:space="preserve">Comparison 2: </w:t>
      </w:r>
      <w:proofErr w:type="spellStart"/>
      <w:r w:rsidRPr="00B87286">
        <w:rPr>
          <w:rFonts w:ascii="Helvetica" w:hAnsi="Helvetica"/>
        </w:rPr>
        <w:t>PTCy</w:t>
      </w:r>
      <w:proofErr w:type="spellEnd"/>
      <w:r w:rsidRPr="00B87286">
        <w:rPr>
          <w:rFonts w:ascii="Helvetica" w:hAnsi="Helvetica"/>
        </w:rPr>
        <w:t xml:space="preserve"> ± calcineurin inhibitor ± mycophenolate mofetil versus anti-thymocyte globulin (ATG) or anti-T-lymphocyte globulin (ATLG)–based regimens at any dose, combined with calcineurin inhibitor ± methotrexate/MMF.</w:t>
      </w:r>
    </w:p>
    <w:p w14:paraId="39CD047B"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lastRenderedPageBreak/>
        <w:t>Comparison 3 (regimen optimization): within-</w:t>
      </w:r>
      <w:proofErr w:type="spellStart"/>
      <w:r w:rsidRPr="00B87286">
        <w:rPr>
          <w:rFonts w:ascii="Helvetica" w:hAnsi="Helvetica"/>
        </w:rPr>
        <w:t>PTCy</w:t>
      </w:r>
      <w:proofErr w:type="spellEnd"/>
      <w:r w:rsidRPr="00B87286">
        <w:rPr>
          <w:rFonts w:ascii="Helvetica" w:hAnsi="Helvetica"/>
        </w:rPr>
        <w:t xml:space="preserve"> comparisons of different </w:t>
      </w:r>
      <w:proofErr w:type="spellStart"/>
      <w:r w:rsidRPr="00B87286">
        <w:rPr>
          <w:rFonts w:ascii="Helvetica" w:hAnsi="Helvetica"/>
        </w:rPr>
        <w:t>PTCy</w:t>
      </w:r>
      <w:proofErr w:type="spellEnd"/>
      <w:r w:rsidRPr="00B87286">
        <w:rPr>
          <w:rFonts w:ascii="Helvetica" w:hAnsi="Helvetica"/>
        </w:rPr>
        <w:t xml:space="preserve"> doses or regimen modifications, including </w:t>
      </w:r>
      <w:proofErr w:type="spellStart"/>
      <w:r w:rsidRPr="00B87286">
        <w:rPr>
          <w:rFonts w:ascii="Helvetica" w:hAnsi="Helvetica"/>
        </w:rPr>
        <w:t>PTCy</w:t>
      </w:r>
      <w:proofErr w:type="spellEnd"/>
      <w:r w:rsidRPr="00B87286">
        <w:rPr>
          <w:rFonts w:ascii="Helvetica" w:hAnsi="Helvetica"/>
        </w:rPr>
        <w:t xml:space="preserve"> combined with ATG versus </w:t>
      </w:r>
      <w:proofErr w:type="spellStart"/>
      <w:r w:rsidRPr="00B87286">
        <w:rPr>
          <w:rFonts w:ascii="Helvetica" w:hAnsi="Helvetica"/>
        </w:rPr>
        <w:t>PTCy</w:t>
      </w:r>
      <w:proofErr w:type="spellEnd"/>
      <w:r w:rsidRPr="00B87286">
        <w:rPr>
          <w:rFonts w:ascii="Helvetica" w:hAnsi="Helvetica"/>
        </w:rPr>
        <w:t xml:space="preserve"> alone or ATG alone.</w:t>
      </w:r>
    </w:p>
    <w:p w14:paraId="0931B46F" w14:textId="77777777" w:rsidR="00BF0F7A" w:rsidRPr="00B87286" w:rsidRDefault="00000000">
      <w:pPr>
        <w:spacing w:after="120"/>
        <w:rPr>
          <w:rFonts w:ascii="Helvetica" w:hAnsi="Helvetica"/>
        </w:rPr>
      </w:pPr>
      <w:r w:rsidRPr="00B87286">
        <w:rPr>
          <w:rFonts w:ascii="Helvetica" w:hAnsi="Helvetica"/>
        </w:rPr>
        <w:t xml:space="preserve">Exclusion: studies comparing </w:t>
      </w:r>
      <w:proofErr w:type="spellStart"/>
      <w:r w:rsidRPr="00B87286">
        <w:rPr>
          <w:rFonts w:ascii="Helvetica" w:hAnsi="Helvetica"/>
        </w:rPr>
        <w:t>PTCy</w:t>
      </w:r>
      <w:proofErr w:type="spellEnd"/>
      <w:r w:rsidRPr="00B87286">
        <w:rPr>
          <w:rFonts w:ascii="Helvetica" w:hAnsi="Helvetica"/>
        </w:rPr>
        <w:t xml:space="preserve"> only to ex vivo T-cell depletion without another eligible comparator; studies comparing </w:t>
      </w:r>
      <w:proofErr w:type="spellStart"/>
      <w:r w:rsidRPr="00B87286">
        <w:rPr>
          <w:rFonts w:ascii="Helvetica" w:hAnsi="Helvetica"/>
        </w:rPr>
        <w:t>PTCy</w:t>
      </w:r>
      <w:proofErr w:type="spellEnd"/>
      <w:r w:rsidRPr="00B87286">
        <w:rPr>
          <w:rFonts w:ascii="Helvetica" w:hAnsi="Helvetica"/>
        </w:rPr>
        <w:t xml:space="preserve"> only to umbilical cord blood transplant without another eligible GVHD prophylaxis comparator; single-arm studies; studies comparing two </w:t>
      </w:r>
      <w:proofErr w:type="spellStart"/>
      <w:r w:rsidRPr="00B87286">
        <w:rPr>
          <w:rFonts w:ascii="Helvetica" w:hAnsi="Helvetica"/>
        </w:rPr>
        <w:t>PTCy</w:t>
      </w:r>
      <w:proofErr w:type="spellEnd"/>
      <w:r w:rsidRPr="00B87286">
        <w:rPr>
          <w:rFonts w:ascii="Helvetica" w:hAnsi="Helvetica"/>
        </w:rPr>
        <w:t xml:space="preserve">-containing regimens with identical </w:t>
      </w:r>
      <w:proofErr w:type="spellStart"/>
      <w:r w:rsidRPr="00B87286">
        <w:rPr>
          <w:rFonts w:ascii="Helvetica" w:hAnsi="Helvetica"/>
        </w:rPr>
        <w:t>PTCy</w:t>
      </w:r>
      <w:proofErr w:type="spellEnd"/>
      <w:r w:rsidRPr="00B87286">
        <w:rPr>
          <w:rFonts w:ascii="Helvetica" w:hAnsi="Helvetica"/>
        </w:rPr>
        <w:t xml:space="preserve"> dose and schedule.</w:t>
      </w:r>
    </w:p>
    <w:p w14:paraId="52E3C051" w14:textId="77777777" w:rsidR="00BF0F7A" w:rsidRPr="00B87286" w:rsidRDefault="00000000">
      <w:pPr>
        <w:pStyle w:val="Heading3"/>
        <w:rPr>
          <w:rFonts w:ascii="Helvetica" w:hAnsi="Helvetica"/>
        </w:rPr>
      </w:pPr>
      <w:r w:rsidRPr="00B87286">
        <w:rPr>
          <w:rFonts w:ascii="Helvetica" w:hAnsi="Helvetica"/>
        </w:rPr>
        <w:t>3.1.4 Outcomes</w:t>
      </w:r>
    </w:p>
    <w:p w14:paraId="0655D3E6" w14:textId="77777777" w:rsidR="00BF0F7A" w:rsidRPr="00B87286" w:rsidRDefault="00000000">
      <w:pPr>
        <w:spacing w:after="120"/>
        <w:rPr>
          <w:rFonts w:ascii="Helvetica" w:hAnsi="Helvetica"/>
        </w:rPr>
      </w:pPr>
      <w:r w:rsidRPr="00B87286">
        <w:rPr>
          <w:rFonts w:ascii="Helvetica" w:hAnsi="Helvetica"/>
          <w:b/>
          <w:bCs/>
        </w:rPr>
        <w:t>Primary outcomes:</w:t>
      </w:r>
    </w:p>
    <w:p w14:paraId="25AEC452"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Bacterial bloodstream infection (BSI) with any pathogen, cumulative incidence by day +30 (primary timepoint) and day +100 (secondary timepoint).</w:t>
      </w:r>
    </w:p>
    <w:p w14:paraId="3CAE463F"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Cytomegalovirus (CMV) reactivation or viremia (any threshold reported), cumulative incidence by day +100 (primary) and day +180 (secondary).</w:t>
      </w:r>
    </w:p>
    <w:p w14:paraId="04C9AB2B"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Invasive fungal infection, EORTC/MSG 2020 proven or probable, stratified separately as (a) invasive mold disease and (b) invasive yeast disease, cumulative incidence by day +180 (primary) and 1 year (secondary).</w:t>
      </w:r>
    </w:p>
    <w:p w14:paraId="47B840A6" w14:textId="77777777" w:rsidR="00BF0F7A" w:rsidRPr="00B87286" w:rsidRDefault="00000000">
      <w:pPr>
        <w:spacing w:after="120"/>
        <w:rPr>
          <w:rFonts w:ascii="Helvetica" w:hAnsi="Helvetica"/>
        </w:rPr>
      </w:pPr>
      <w:r w:rsidRPr="00B87286">
        <w:rPr>
          <w:rFonts w:ascii="Helvetica" w:hAnsi="Helvetica"/>
          <w:b/>
          <w:bCs/>
        </w:rPr>
        <w:t>Secondary outcomes:</w:t>
      </w:r>
    </w:p>
    <w:p w14:paraId="02950AB5"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Infection-related mortality (when reported separately from other causes), 1 year (primary timepoint) and day +100 (secondary).</w:t>
      </w:r>
    </w:p>
    <w:p w14:paraId="2AC87289"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Non-relapse mortality (NRM), 1 year (primary) and day +100 (secondary).</w:t>
      </w:r>
    </w:p>
    <w:p w14:paraId="66DEAEC3"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Clinically significant CMV infection requiring preemptive therapy (sensitivity outcome for CMV).</w:t>
      </w:r>
    </w:p>
    <w:p w14:paraId="07E35A2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CMV end-organ disease (sensitivity outcome for CMV).</w:t>
      </w:r>
    </w:p>
    <w:p w14:paraId="3805CEC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Any invasive fungal infection investigator-reported (sensitivity outcome for IFI).</w:t>
      </w:r>
    </w:p>
    <w:p w14:paraId="51D9740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Severe bacterial infection defined by Sepsis-3 criteria or CTCAE grade ≥3 (sensitivity outcome for bacterial).</w:t>
      </w:r>
    </w:p>
    <w:p w14:paraId="1E44963F"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Time-to-event metrics (cumulative incidence functions, hazard ratios, median time to event) where available; these will be treated as narrative/supporting data rather than pooled quantitatively.</w:t>
      </w:r>
    </w:p>
    <w:p w14:paraId="4844ABBA" w14:textId="77777777" w:rsidR="00BF0F7A" w:rsidRPr="00B87286" w:rsidRDefault="00000000">
      <w:pPr>
        <w:pStyle w:val="Heading3"/>
        <w:rPr>
          <w:rFonts w:ascii="Helvetica" w:hAnsi="Helvetica"/>
        </w:rPr>
      </w:pPr>
      <w:r w:rsidRPr="00B87286">
        <w:rPr>
          <w:rFonts w:ascii="Helvetica" w:hAnsi="Helvetica"/>
        </w:rPr>
        <w:t>3.1.5 Study designs</w:t>
      </w:r>
    </w:p>
    <w:p w14:paraId="0D7CEB4B"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Randomized controlled trials</w:t>
      </w:r>
    </w:p>
    <w:p w14:paraId="0C5B653B"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Prospective cohort studies</w:t>
      </w:r>
    </w:p>
    <w:p w14:paraId="294738C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Retrospective cohort studies</w:t>
      </w:r>
    </w:p>
    <w:p w14:paraId="2C5970C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Registry-based analyses (CIBMTR, EBMT, national registries)</w:t>
      </w:r>
    </w:p>
    <w:p w14:paraId="7E473C67"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Case-control studies with ≥20 patients per arm</w:t>
      </w:r>
    </w:p>
    <w:p w14:paraId="0DE546A3" w14:textId="77777777" w:rsidR="00BF0F7A" w:rsidRPr="00B87286" w:rsidRDefault="00000000">
      <w:pPr>
        <w:spacing w:after="120"/>
        <w:rPr>
          <w:rFonts w:ascii="Helvetica" w:hAnsi="Helvetica"/>
        </w:rPr>
      </w:pPr>
      <w:r w:rsidRPr="00B87286">
        <w:rPr>
          <w:rFonts w:ascii="Helvetica" w:hAnsi="Helvetica"/>
          <w:b/>
          <w:bCs/>
        </w:rPr>
        <w:t>Exclusion:</w:t>
      </w:r>
    </w:p>
    <w:p w14:paraId="2FD3A16D"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Conference abstracts, letters to the editor, editorials, commentaries, opinion pieces</w:t>
      </w:r>
    </w:p>
    <w:p w14:paraId="64E48DA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Case reports and case series without comparator</w:t>
      </w:r>
    </w:p>
    <w:p w14:paraId="2F1AAB83"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Narrative reviews (systematic reviews and meta-analyses will be used for reference list screening only)</w:t>
      </w:r>
    </w:p>
    <w:p w14:paraId="2D329FC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Single-arm studies</w:t>
      </w:r>
    </w:p>
    <w:p w14:paraId="0A27567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lastRenderedPageBreak/>
        <w:t>Studies with fewer than 20 patients per arm</w:t>
      </w:r>
    </w:p>
    <w:p w14:paraId="222C617B"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Publications prior to 2010</w:t>
      </w:r>
    </w:p>
    <w:p w14:paraId="1BA46E26"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Full text not obtainable after two documented retrieval attempts</w:t>
      </w:r>
    </w:p>
    <w:p w14:paraId="0E225FB4" w14:textId="77777777" w:rsidR="00BF0F7A" w:rsidRPr="00B87286" w:rsidRDefault="00000000">
      <w:pPr>
        <w:pStyle w:val="Heading3"/>
        <w:rPr>
          <w:rFonts w:ascii="Helvetica" w:hAnsi="Helvetica"/>
        </w:rPr>
      </w:pPr>
      <w:r w:rsidRPr="00B87286">
        <w:rPr>
          <w:rFonts w:ascii="Helvetica" w:hAnsi="Helvetica"/>
        </w:rPr>
        <w:t>3.1.6 Cohort overlap rule</w:t>
      </w:r>
    </w:p>
    <w:p w14:paraId="57BE4332" w14:textId="77777777" w:rsidR="00BF0F7A" w:rsidRPr="00B87286" w:rsidRDefault="00000000">
      <w:pPr>
        <w:spacing w:after="120"/>
        <w:rPr>
          <w:rFonts w:ascii="Helvetica" w:hAnsi="Helvetica"/>
        </w:rPr>
      </w:pPr>
      <w:r w:rsidRPr="00B87286">
        <w:rPr>
          <w:rFonts w:ascii="Helvetica" w:hAnsi="Helvetica"/>
        </w:rPr>
        <w:t xml:space="preserve">Multiple publications reporting on the same patient cohort are common in this literature (e.g., CIBMTR </w:t>
      </w:r>
      <w:proofErr w:type="spellStart"/>
      <w:r w:rsidRPr="00B87286">
        <w:rPr>
          <w:rFonts w:ascii="Helvetica" w:hAnsi="Helvetica"/>
        </w:rPr>
        <w:t>HaploCy</w:t>
      </w:r>
      <w:proofErr w:type="spellEnd"/>
      <w:r w:rsidRPr="00B87286">
        <w:rPr>
          <w:rFonts w:ascii="Helvetica" w:hAnsi="Helvetica"/>
        </w:rPr>
        <w:t>/</w:t>
      </w:r>
      <w:proofErr w:type="spellStart"/>
      <w:r w:rsidRPr="00B87286">
        <w:rPr>
          <w:rFonts w:ascii="Helvetica" w:hAnsi="Helvetica"/>
        </w:rPr>
        <w:t>SibCy</w:t>
      </w:r>
      <w:proofErr w:type="spellEnd"/>
      <w:r w:rsidRPr="00B87286">
        <w:rPr>
          <w:rFonts w:ascii="Helvetica" w:hAnsi="Helvetica"/>
        </w:rPr>
        <w:t>/</w:t>
      </w:r>
      <w:proofErr w:type="spellStart"/>
      <w:r w:rsidRPr="00B87286">
        <w:rPr>
          <w:rFonts w:ascii="Helvetica" w:hAnsi="Helvetica"/>
        </w:rPr>
        <w:t>SibCNI</w:t>
      </w:r>
      <w:proofErr w:type="spellEnd"/>
      <w:r w:rsidRPr="00B87286">
        <w:rPr>
          <w:rFonts w:ascii="Helvetica" w:hAnsi="Helvetica"/>
        </w:rPr>
        <w:t xml:space="preserve"> cohort, BMT CTN 1703 primary and mechanistic </w:t>
      </w:r>
      <w:proofErr w:type="spellStart"/>
      <w:r w:rsidRPr="00B87286">
        <w:rPr>
          <w:rFonts w:ascii="Helvetica" w:hAnsi="Helvetica"/>
        </w:rPr>
        <w:t>substudies</w:t>
      </w:r>
      <w:proofErr w:type="spellEnd"/>
      <w:r w:rsidRPr="00B87286">
        <w:rPr>
          <w:rFonts w:ascii="Helvetica" w:hAnsi="Helvetica"/>
        </w:rPr>
        <w:t xml:space="preserve">, Barcelona Hospital </w:t>
      </w:r>
      <w:proofErr w:type="spellStart"/>
      <w:r w:rsidRPr="00B87286">
        <w:rPr>
          <w:rFonts w:ascii="Helvetica" w:hAnsi="Helvetica"/>
        </w:rPr>
        <w:t>Clínic</w:t>
      </w:r>
      <w:proofErr w:type="spellEnd"/>
      <w:r w:rsidRPr="00B87286">
        <w:rPr>
          <w:rFonts w:ascii="Helvetica" w:hAnsi="Helvetica"/>
        </w:rPr>
        <w:t xml:space="preserve"> series). To avoid inflating sample size and underestimating between-study heterogeneity, we will apply the following rule: one publication per cohort per outcome, chosen as the most complete or most recent with the longest follow-up. A unique cohort identifier (</w:t>
      </w:r>
      <w:proofErr w:type="spellStart"/>
      <w:r w:rsidRPr="00B87286">
        <w:rPr>
          <w:rFonts w:ascii="Helvetica" w:hAnsi="Helvetica"/>
        </w:rPr>
        <w:t>cohort_id</w:t>
      </w:r>
      <w:proofErr w:type="spellEnd"/>
      <w:r w:rsidRPr="00B87286">
        <w:rPr>
          <w:rFonts w:ascii="Helvetica" w:hAnsi="Helvetica"/>
        </w:rPr>
        <w:t>) will be assigned during extraction. Remaining publications from the same cohort will be tagged as overlapping and excluded from the primary pool but retained for sensitivity analysis.</w:t>
      </w:r>
    </w:p>
    <w:p w14:paraId="3924C7F4" w14:textId="77777777" w:rsidR="00BF0F7A" w:rsidRPr="00B87286" w:rsidRDefault="00000000">
      <w:pPr>
        <w:pStyle w:val="Heading3"/>
        <w:rPr>
          <w:rFonts w:ascii="Helvetica" w:hAnsi="Helvetica"/>
        </w:rPr>
      </w:pPr>
      <w:r w:rsidRPr="00B87286">
        <w:rPr>
          <w:rFonts w:ascii="Helvetica" w:hAnsi="Helvetica"/>
        </w:rPr>
        <w:t>3.1.7 Other inclusion/exclusion considerations</w:t>
      </w:r>
    </w:p>
    <w:p w14:paraId="5317BFF8"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Outcomes must be extractable separately by GVHD prophylaxis group</w:t>
      </w:r>
    </w:p>
    <w:p w14:paraId="512C6F4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Studies with critical risk of bias on ROBINS-I that cannot be mitigated through sensitivity analysis will be excluded from the primary synthesis but retained for sensitivity</w:t>
      </w:r>
    </w:p>
    <w:p w14:paraId="30B4C22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Studies where </w:t>
      </w:r>
      <w:proofErr w:type="spellStart"/>
      <w:r w:rsidRPr="00B87286">
        <w:rPr>
          <w:rFonts w:ascii="Helvetica" w:hAnsi="Helvetica"/>
        </w:rPr>
        <w:t>PTCy</w:t>
      </w:r>
      <w:proofErr w:type="spellEnd"/>
      <w:r w:rsidRPr="00B87286">
        <w:rPr>
          <w:rFonts w:ascii="Helvetica" w:hAnsi="Helvetica"/>
        </w:rPr>
        <w:t xml:space="preserve"> vs non-</w:t>
      </w:r>
      <w:proofErr w:type="spellStart"/>
      <w:r w:rsidRPr="00B87286">
        <w:rPr>
          <w:rFonts w:ascii="Helvetica" w:hAnsi="Helvetica"/>
        </w:rPr>
        <w:t>PTCy</w:t>
      </w:r>
      <w:proofErr w:type="spellEnd"/>
      <w:r w:rsidRPr="00B87286">
        <w:rPr>
          <w:rFonts w:ascii="Helvetica" w:hAnsi="Helvetica"/>
        </w:rPr>
        <w:t xml:space="preserve"> assignment is confounded with era effects (e.g., </w:t>
      </w:r>
      <w:proofErr w:type="spellStart"/>
      <w:r w:rsidRPr="00B87286">
        <w:rPr>
          <w:rFonts w:ascii="Helvetica" w:hAnsi="Helvetica"/>
        </w:rPr>
        <w:t>PTCy</w:t>
      </w:r>
      <w:proofErr w:type="spellEnd"/>
      <w:r w:rsidRPr="00B87286">
        <w:rPr>
          <w:rFonts w:ascii="Helvetica" w:hAnsi="Helvetica"/>
        </w:rPr>
        <w:t xml:space="preserve"> arm entirely post-</w:t>
      </w:r>
      <w:proofErr w:type="spellStart"/>
      <w:r w:rsidRPr="00B87286">
        <w:rPr>
          <w:rFonts w:ascii="Helvetica" w:hAnsi="Helvetica"/>
        </w:rPr>
        <w:t>letermovir</w:t>
      </w:r>
      <w:proofErr w:type="spellEnd"/>
      <w:r w:rsidRPr="00B87286">
        <w:rPr>
          <w:rFonts w:ascii="Helvetica" w:hAnsi="Helvetica"/>
        </w:rPr>
        <w:t xml:space="preserve"> and comparator arm entirely pre-</w:t>
      </w:r>
      <w:proofErr w:type="spellStart"/>
      <w:r w:rsidRPr="00B87286">
        <w:rPr>
          <w:rFonts w:ascii="Helvetica" w:hAnsi="Helvetica"/>
        </w:rPr>
        <w:t>letermovir</w:t>
      </w:r>
      <w:proofErr w:type="spellEnd"/>
      <w:r w:rsidRPr="00B87286">
        <w:rPr>
          <w:rFonts w:ascii="Helvetica" w:hAnsi="Helvetica"/>
        </w:rPr>
        <w:t>) without adjustment will be flagged and handled via era stratification or sensitivity analysis</w:t>
      </w:r>
    </w:p>
    <w:p w14:paraId="2188BB64" w14:textId="77777777" w:rsidR="00BF0F7A" w:rsidRPr="00B87286" w:rsidRDefault="00000000">
      <w:pPr>
        <w:pStyle w:val="Heading2"/>
        <w:rPr>
          <w:rFonts w:ascii="Helvetica" w:hAnsi="Helvetica"/>
        </w:rPr>
      </w:pPr>
      <w:r w:rsidRPr="00B87286">
        <w:rPr>
          <w:rFonts w:ascii="Helvetica" w:hAnsi="Helvetica"/>
        </w:rPr>
        <w:t>3.2 Information Sources</w:t>
      </w:r>
    </w:p>
    <w:p w14:paraId="1589BCC7"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PubMed / MEDLINE</w:t>
      </w:r>
    </w:p>
    <w:p w14:paraId="601BE2C7"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Embase (Elsevier or Ovid, per institutional access)</w:t>
      </w:r>
    </w:p>
    <w:p w14:paraId="28D7C6E2"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Cochrane CENTRAL</w:t>
      </w:r>
    </w:p>
    <w:p w14:paraId="78F596BA"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Web of Science Core Collection</w:t>
      </w:r>
    </w:p>
    <w:p w14:paraId="00A45A7B"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Supplementary: reference list screening of included studies and relevant systematic reviews; forward citation tracking in Web of Science for key index publications; PROSPERO search for ongoing/related reviews</w:t>
      </w:r>
    </w:p>
    <w:p w14:paraId="3C2FCC5E" w14:textId="77777777" w:rsidR="00BF0F7A" w:rsidRPr="00B87286" w:rsidRDefault="00000000">
      <w:pPr>
        <w:spacing w:after="120"/>
        <w:rPr>
          <w:rFonts w:ascii="Helvetica" w:hAnsi="Helvetica"/>
        </w:rPr>
      </w:pPr>
      <w:r w:rsidRPr="00B87286">
        <w:rPr>
          <w:rFonts w:ascii="Helvetica" w:hAnsi="Helvetica"/>
        </w:rPr>
        <w:t>All databases will be searched on the same date where possible. Date of last search and hit counts will be recorded for each database. Full database-specific search strings will be archived as a supplementary file to the final publication.</w:t>
      </w:r>
    </w:p>
    <w:p w14:paraId="10C00805" w14:textId="77777777" w:rsidR="00BF0F7A" w:rsidRPr="00B87286" w:rsidRDefault="00000000">
      <w:pPr>
        <w:pStyle w:val="Heading2"/>
        <w:rPr>
          <w:rFonts w:ascii="Helvetica" w:hAnsi="Helvetica"/>
        </w:rPr>
      </w:pPr>
      <w:r w:rsidRPr="00B87286">
        <w:rPr>
          <w:rFonts w:ascii="Helvetica" w:hAnsi="Helvetica"/>
        </w:rPr>
        <w:t>3.3 Search Strategy</w:t>
      </w:r>
    </w:p>
    <w:p w14:paraId="32006CE7" w14:textId="77777777" w:rsidR="00BF0F7A" w:rsidRPr="00B87286" w:rsidRDefault="00000000">
      <w:pPr>
        <w:spacing w:after="120"/>
        <w:rPr>
          <w:rFonts w:ascii="Helvetica" w:hAnsi="Helvetica"/>
        </w:rPr>
      </w:pPr>
      <w:r w:rsidRPr="00B87286">
        <w:rPr>
          <w:rFonts w:ascii="Helvetica" w:hAnsi="Helvetica"/>
        </w:rPr>
        <w:t>Search strings are constructed around three concept blocks combined with AND:</w:t>
      </w:r>
    </w:p>
    <w:p w14:paraId="555E9F86"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 xml:space="preserve">Allogeneic HCT population: </w:t>
      </w:r>
      <w:proofErr w:type="spellStart"/>
      <w:r w:rsidRPr="00B87286">
        <w:rPr>
          <w:rFonts w:ascii="Helvetica" w:hAnsi="Helvetica"/>
        </w:rPr>
        <w:t>MeSH</w:t>
      </w:r>
      <w:proofErr w:type="spellEnd"/>
      <w:r w:rsidRPr="00B87286">
        <w:rPr>
          <w:rFonts w:ascii="Helvetica" w:hAnsi="Helvetica"/>
        </w:rPr>
        <w:t>/</w:t>
      </w:r>
      <w:proofErr w:type="spellStart"/>
      <w:r w:rsidRPr="00B87286">
        <w:rPr>
          <w:rFonts w:ascii="Helvetica" w:hAnsi="Helvetica"/>
        </w:rPr>
        <w:t>Emtree</w:t>
      </w:r>
      <w:proofErr w:type="spellEnd"/>
      <w:r w:rsidRPr="00B87286">
        <w:rPr>
          <w:rFonts w:ascii="Helvetica" w:hAnsi="Helvetica"/>
        </w:rPr>
        <w:t xml:space="preserve"> terms for hematopoietic stem cell transplantation and bone marrow transplantation, plus text words including "allogeneic stem cell transplant*", "</w:t>
      </w:r>
      <w:proofErr w:type="spellStart"/>
      <w:r w:rsidRPr="00B87286">
        <w:rPr>
          <w:rFonts w:ascii="Helvetica" w:hAnsi="Helvetica"/>
        </w:rPr>
        <w:t>allo</w:t>
      </w:r>
      <w:proofErr w:type="spellEnd"/>
      <w:r w:rsidRPr="00B87286">
        <w:rPr>
          <w:rFonts w:ascii="Helvetica" w:hAnsi="Helvetica"/>
        </w:rPr>
        <w:t>-HCT", "</w:t>
      </w:r>
      <w:proofErr w:type="spellStart"/>
      <w:r w:rsidRPr="00B87286">
        <w:rPr>
          <w:rFonts w:ascii="Helvetica" w:hAnsi="Helvetica"/>
        </w:rPr>
        <w:t>allo</w:t>
      </w:r>
      <w:proofErr w:type="spellEnd"/>
      <w:r w:rsidRPr="00B87286">
        <w:rPr>
          <w:rFonts w:ascii="Helvetica" w:hAnsi="Helvetica"/>
        </w:rPr>
        <w:t>-HSCT", "haploidentical", "HLA-matched", "matched unrelated donor", "mismatched unrelated donor".</w:t>
      </w:r>
    </w:p>
    <w:p w14:paraId="2A1ACE11" w14:textId="77777777" w:rsidR="00BF0F7A" w:rsidRPr="00B87286" w:rsidRDefault="00000000">
      <w:pPr>
        <w:pStyle w:val="ListParagraph"/>
        <w:numPr>
          <w:ilvl w:val="0"/>
          <w:numId w:val="3"/>
        </w:numPr>
        <w:spacing w:after="60"/>
        <w:rPr>
          <w:rFonts w:ascii="Helvetica" w:hAnsi="Helvetica"/>
        </w:rPr>
      </w:pPr>
      <w:proofErr w:type="spellStart"/>
      <w:r w:rsidRPr="00B87286">
        <w:rPr>
          <w:rFonts w:ascii="Helvetica" w:hAnsi="Helvetica"/>
        </w:rPr>
        <w:t>PTCy</w:t>
      </w:r>
      <w:proofErr w:type="spellEnd"/>
      <w:r w:rsidRPr="00B87286">
        <w:rPr>
          <w:rFonts w:ascii="Helvetica" w:hAnsi="Helvetica"/>
        </w:rPr>
        <w:t xml:space="preserve"> intervention: "post-transplant cyclophosphamide", "post-transplantation cyclophosphamide", "posttransplant cyclophosphamide", "</w:t>
      </w:r>
      <w:proofErr w:type="spellStart"/>
      <w:r w:rsidRPr="00B87286">
        <w:rPr>
          <w:rFonts w:ascii="Helvetica" w:hAnsi="Helvetica"/>
        </w:rPr>
        <w:t>posttransplantation</w:t>
      </w:r>
      <w:proofErr w:type="spellEnd"/>
      <w:r w:rsidRPr="00B87286">
        <w:rPr>
          <w:rFonts w:ascii="Helvetica" w:hAnsi="Helvetica"/>
        </w:rPr>
        <w:t xml:space="preserve"> cyclophosphamide", "</w:t>
      </w:r>
      <w:proofErr w:type="spellStart"/>
      <w:r w:rsidRPr="00B87286">
        <w:rPr>
          <w:rFonts w:ascii="Helvetica" w:hAnsi="Helvetica"/>
        </w:rPr>
        <w:t>PTCy</w:t>
      </w:r>
      <w:proofErr w:type="spellEnd"/>
      <w:r w:rsidRPr="00B87286">
        <w:rPr>
          <w:rFonts w:ascii="Helvetica" w:hAnsi="Helvetica"/>
        </w:rPr>
        <w:t xml:space="preserve">", "PT-Cy", "PTCY"; </w:t>
      </w:r>
      <w:proofErr w:type="gramStart"/>
      <w:r w:rsidRPr="00B87286">
        <w:rPr>
          <w:rFonts w:ascii="Helvetica" w:hAnsi="Helvetica"/>
        </w:rPr>
        <w:t>plus</w:t>
      </w:r>
      <w:proofErr w:type="gramEnd"/>
      <w:r w:rsidRPr="00B87286">
        <w:rPr>
          <w:rFonts w:ascii="Helvetica" w:hAnsi="Helvetica"/>
        </w:rPr>
        <w:t xml:space="preserve"> </w:t>
      </w:r>
      <w:proofErr w:type="spellStart"/>
      <w:r w:rsidRPr="00B87286">
        <w:rPr>
          <w:rFonts w:ascii="Helvetica" w:hAnsi="Helvetica"/>
        </w:rPr>
        <w:t>MeSH</w:t>
      </w:r>
      <w:proofErr w:type="spellEnd"/>
      <w:r w:rsidRPr="00B87286">
        <w:rPr>
          <w:rFonts w:ascii="Helvetica" w:hAnsi="Helvetica"/>
        </w:rPr>
        <w:t xml:space="preserve"> Cyclophosphamide combined with </w:t>
      </w:r>
      <w:proofErr w:type="spellStart"/>
      <w:r w:rsidRPr="00B87286">
        <w:rPr>
          <w:rFonts w:ascii="Helvetica" w:hAnsi="Helvetica"/>
        </w:rPr>
        <w:t>MeSH</w:t>
      </w:r>
      <w:proofErr w:type="spellEnd"/>
      <w:r w:rsidRPr="00B87286">
        <w:rPr>
          <w:rFonts w:ascii="Helvetica" w:hAnsi="Helvetica"/>
        </w:rPr>
        <w:t xml:space="preserve"> Graft vs Host Disease.</w:t>
      </w:r>
    </w:p>
    <w:p w14:paraId="61603BB7"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lastRenderedPageBreak/>
        <w:t xml:space="preserve">Infection outcomes: </w:t>
      </w:r>
      <w:proofErr w:type="spellStart"/>
      <w:r w:rsidRPr="00B87286">
        <w:rPr>
          <w:rFonts w:ascii="Helvetica" w:hAnsi="Helvetica"/>
        </w:rPr>
        <w:t>MeSH</w:t>
      </w:r>
      <w:proofErr w:type="spellEnd"/>
      <w:r w:rsidRPr="00B87286">
        <w:rPr>
          <w:rFonts w:ascii="Helvetica" w:hAnsi="Helvetica"/>
        </w:rPr>
        <w:t>/</w:t>
      </w:r>
      <w:proofErr w:type="spellStart"/>
      <w:r w:rsidRPr="00B87286">
        <w:rPr>
          <w:rFonts w:ascii="Helvetica" w:hAnsi="Helvetica"/>
        </w:rPr>
        <w:t>Emtree</w:t>
      </w:r>
      <w:proofErr w:type="spellEnd"/>
      <w:r w:rsidRPr="00B87286">
        <w:rPr>
          <w:rFonts w:ascii="Helvetica" w:hAnsi="Helvetica"/>
        </w:rPr>
        <w:t xml:space="preserve"> terms for Infections, Bacterial Infections, Virus Diseases, Mycoses, Bacteremia, Sepsis, Cytomegalovirus Infections, Invasive Fungal Infections; </w:t>
      </w:r>
      <w:proofErr w:type="gramStart"/>
      <w:r w:rsidRPr="00B87286">
        <w:rPr>
          <w:rFonts w:ascii="Helvetica" w:hAnsi="Helvetica"/>
        </w:rPr>
        <w:t>plus</w:t>
      </w:r>
      <w:proofErr w:type="gramEnd"/>
      <w:r w:rsidRPr="00B87286">
        <w:rPr>
          <w:rFonts w:ascii="Helvetica" w:hAnsi="Helvetica"/>
        </w:rPr>
        <w:t xml:space="preserve"> text words for bacterial, viral, and fungal infection, BSI, sepsis, CMV, EBV, HHV-6, BK virus, aspergillosis, candida, mucormycosis, mold/yeast, and mortality endpoints.</w:t>
      </w:r>
    </w:p>
    <w:p w14:paraId="43DFB7A4" w14:textId="77777777" w:rsidR="00BF0F7A" w:rsidRPr="00B87286" w:rsidRDefault="00000000">
      <w:pPr>
        <w:spacing w:after="120"/>
        <w:rPr>
          <w:rFonts w:ascii="Helvetica" w:hAnsi="Helvetica"/>
        </w:rPr>
      </w:pPr>
      <w:r w:rsidRPr="00B87286">
        <w:rPr>
          <w:rFonts w:ascii="Helvetica" w:hAnsi="Helvetica"/>
        </w:rPr>
        <w:t>Filters: publication date 2010 to present; English language; humans. Conference abstracts, editorials, letters, and case reports will be excluded at the screening stage rather than via search filters to minimize risk of inappropriate exclusion.</w:t>
      </w:r>
    </w:p>
    <w:p w14:paraId="7894F873" w14:textId="77777777" w:rsidR="00BF0F7A" w:rsidRPr="00B87286" w:rsidRDefault="00000000">
      <w:pPr>
        <w:spacing w:after="120"/>
        <w:rPr>
          <w:rFonts w:ascii="Helvetica" w:hAnsi="Helvetica"/>
        </w:rPr>
      </w:pPr>
      <w:r w:rsidRPr="00B87286">
        <w:rPr>
          <w:rFonts w:ascii="Helvetica" w:hAnsi="Helvetica"/>
        </w:rPr>
        <w:t>Search strategies will undergo peer review using the Peer Review of Electronic Search Strategies (PRESS) checklist by a biomedical librarian at the University of Padova prior to formal execution. Search strategies will be piloted against a set of 8 known included publications (Holtan 2022, Moiseev 2016, Tang 2023, Papanicolaou 2023, Salas 2023, Massoud 2021, Meyer 2024, Shaffer 2024) to verify recall; the strategy will be iterated if any known publication is missed.</w:t>
      </w:r>
    </w:p>
    <w:p w14:paraId="060C46DF" w14:textId="77777777" w:rsidR="00BF0F7A" w:rsidRPr="00B87286" w:rsidRDefault="00000000">
      <w:pPr>
        <w:pStyle w:val="Heading2"/>
        <w:rPr>
          <w:rFonts w:ascii="Helvetica" w:hAnsi="Helvetica"/>
        </w:rPr>
      </w:pPr>
      <w:r w:rsidRPr="00B87286">
        <w:rPr>
          <w:rFonts w:ascii="Helvetica" w:hAnsi="Helvetica"/>
        </w:rPr>
        <w:t>3.4 Study Records</w:t>
      </w:r>
    </w:p>
    <w:p w14:paraId="20078C7D" w14:textId="77777777" w:rsidR="00BF0F7A" w:rsidRPr="00B87286" w:rsidRDefault="00000000">
      <w:pPr>
        <w:pStyle w:val="Heading3"/>
        <w:rPr>
          <w:rFonts w:ascii="Helvetica" w:hAnsi="Helvetica"/>
        </w:rPr>
      </w:pPr>
      <w:r w:rsidRPr="00B87286">
        <w:rPr>
          <w:rFonts w:ascii="Helvetica" w:hAnsi="Helvetica"/>
        </w:rPr>
        <w:t>3.4.1 Data management</w:t>
      </w:r>
    </w:p>
    <w:p w14:paraId="5CA56915" w14:textId="77777777" w:rsidR="00BF0F7A" w:rsidRPr="00B87286" w:rsidRDefault="00000000">
      <w:pPr>
        <w:spacing w:after="120"/>
        <w:rPr>
          <w:rFonts w:ascii="Helvetica" w:hAnsi="Helvetica"/>
        </w:rPr>
      </w:pPr>
      <w:r w:rsidRPr="00B87286">
        <w:rPr>
          <w:rFonts w:ascii="Helvetica" w:hAnsi="Helvetica"/>
        </w:rPr>
        <w:t>Search results will be exported in RIS format from each database and imported into Covidence (accessed via University of Padova institutional license) for deduplication, screening, full-text management, and extraction workflow management. Pre- and post-deduplication counts will be recorded for the PRISMA 2020 flow diagram.</w:t>
      </w:r>
    </w:p>
    <w:p w14:paraId="50BD2405" w14:textId="77777777" w:rsidR="00BF0F7A" w:rsidRPr="00B87286" w:rsidRDefault="00000000">
      <w:pPr>
        <w:pStyle w:val="Heading3"/>
        <w:rPr>
          <w:rFonts w:ascii="Helvetica" w:hAnsi="Helvetica"/>
        </w:rPr>
      </w:pPr>
      <w:r w:rsidRPr="00B87286">
        <w:rPr>
          <w:rFonts w:ascii="Helvetica" w:hAnsi="Helvetica"/>
        </w:rPr>
        <w:t>3.4.2 Selection process</w:t>
      </w:r>
    </w:p>
    <w:p w14:paraId="031BA20C" w14:textId="77777777" w:rsidR="00BF0F7A" w:rsidRPr="00B87286" w:rsidRDefault="00000000">
      <w:pPr>
        <w:spacing w:after="120"/>
        <w:rPr>
          <w:rFonts w:ascii="Helvetica" w:hAnsi="Helvetica"/>
        </w:rPr>
      </w:pPr>
      <w:r w:rsidRPr="00B87286">
        <w:rPr>
          <w:rFonts w:ascii="Helvetica" w:hAnsi="Helvetica"/>
        </w:rPr>
        <w:t>Two reviewers (R.L. and the co-lead BMT director) will independently screen all titles and abstracts against the eligibility criteria. A calibration exercise will be performed on the first 50 records, with Cohen's kappa calculated; if kappa is &lt;0.70, PICO criteria will be clarified and documented as a protocol amendment before full screening proceeds.</w:t>
      </w:r>
    </w:p>
    <w:p w14:paraId="56244BBF" w14:textId="77777777" w:rsidR="00BF0F7A" w:rsidRPr="00B87286" w:rsidRDefault="00000000">
      <w:pPr>
        <w:spacing w:after="120"/>
        <w:rPr>
          <w:rFonts w:ascii="Helvetica" w:hAnsi="Helvetica"/>
        </w:rPr>
      </w:pPr>
      <w:r w:rsidRPr="00B87286">
        <w:rPr>
          <w:rFonts w:ascii="Helvetica" w:hAnsi="Helvetica"/>
        </w:rPr>
        <w:t>Full-text screening will likewise be performed independently by both reviewers. Conflicts at either stage will be resolved by consensus. Persistent disagreements will be escalated to a third reviewer (to be identified at protocol finalization) for arbitration. Reasons for full-text exclusion will be recorded per PRISMA 2020 reporting requirements.</w:t>
      </w:r>
    </w:p>
    <w:p w14:paraId="497AD0BB" w14:textId="77777777" w:rsidR="00BF0F7A" w:rsidRPr="00B87286" w:rsidRDefault="00000000">
      <w:pPr>
        <w:pStyle w:val="Heading3"/>
        <w:rPr>
          <w:rFonts w:ascii="Helvetica" w:hAnsi="Helvetica"/>
        </w:rPr>
      </w:pPr>
      <w:r w:rsidRPr="00B87286">
        <w:rPr>
          <w:rFonts w:ascii="Helvetica" w:hAnsi="Helvetica"/>
        </w:rPr>
        <w:t>3.4.3 Data extraction</w:t>
      </w:r>
    </w:p>
    <w:p w14:paraId="07A66776" w14:textId="77777777" w:rsidR="00BF0F7A" w:rsidRPr="00B87286" w:rsidRDefault="00000000">
      <w:pPr>
        <w:spacing w:after="120"/>
        <w:rPr>
          <w:rFonts w:ascii="Helvetica" w:hAnsi="Helvetica"/>
        </w:rPr>
      </w:pPr>
      <w:r w:rsidRPr="00B87286">
        <w:rPr>
          <w:rFonts w:ascii="Helvetica" w:hAnsi="Helvetica"/>
        </w:rPr>
        <w:t>A structured Microsoft Excel extraction template with controlled vocabularies will be developed and piloted on three diverse studies (one randomized controlled trial, one registry analysis, one single-center retrospective cohort) before full extraction begins. The primary reviewer (R.L.) will perform data extraction; the co-lead reviewer will independently verify 100% of extracted data against source publications. Discrepancies will be logged and resolved through consensus. Authors of included publications will be contacted to request missing critical data (denominators at specified timepoints, confidence intervals, timepoint-specific event counts). Two contact attempts will be made before the study is excluded for missing essential data.</w:t>
      </w:r>
    </w:p>
    <w:p w14:paraId="15DBBEF6" w14:textId="77777777" w:rsidR="00BF0F7A" w:rsidRPr="00B87286" w:rsidRDefault="00000000">
      <w:pPr>
        <w:spacing w:after="120"/>
        <w:rPr>
          <w:rFonts w:ascii="Helvetica" w:hAnsi="Helvetica"/>
        </w:rPr>
      </w:pPr>
      <w:r w:rsidRPr="00B87286">
        <w:rPr>
          <w:rFonts w:ascii="Helvetica" w:hAnsi="Helvetica"/>
          <w:b/>
          <w:bCs/>
        </w:rPr>
        <w:t>Extracted variables include:</w:t>
      </w:r>
    </w:p>
    <w:p w14:paraId="2A399379"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Study metadata: authors, year, journal, DOI, country, enrollment period, study design classification</w:t>
      </w:r>
    </w:p>
    <w:p w14:paraId="7DDB53F5"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Unique cohort identifier and primary/overlapping flag</w:t>
      </w:r>
    </w:p>
    <w:p w14:paraId="6230D763"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lastRenderedPageBreak/>
        <w:t>Population characteristics: sample size, age, sex, disease mix, disease status at transplant</w:t>
      </w:r>
    </w:p>
    <w:p w14:paraId="06C3D4B3"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Transplant characteristics: donor type, graft source, conditioning intensity, HLA match, CMV serostatus distribution</w:t>
      </w:r>
    </w:p>
    <w:p w14:paraId="21C3817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GVHD prophylaxis regimen detail: </w:t>
      </w:r>
      <w:proofErr w:type="spellStart"/>
      <w:r w:rsidRPr="00B87286">
        <w:rPr>
          <w:rFonts w:ascii="Helvetica" w:hAnsi="Helvetica"/>
        </w:rPr>
        <w:t>PTCy</w:t>
      </w:r>
      <w:proofErr w:type="spellEnd"/>
      <w:r w:rsidRPr="00B87286">
        <w:rPr>
          <w:rFonts w:ascii="Helvetica" w:hAnsi="Helvetica"/>
        </w:rPr>
        <w:t xml:space="preserve"> dose and schedule, CNI agent, MMF dose, ATG agent and total dose, other agents</w:t>
      </w:r>
    </w:p>
    <w:p w14:paraId="6449782F"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Supportive care: </w:t>
      </w:r>
      <w:proofErr w:type="spellStart"/>
      <w:r w:rsidRPr="00B87286">
        <w:rPr>
          <w:rFonts w:ascii="Helvetica" w:hAnsi="Helvetica"/>
        </w:rPr>
        <w:t>letermovir</w:t>
      </w:r>
      <w:proofErr w:type="spellEnd"/>
      <w:r w:rsidRPr="00B87286">
        <w:rPr>
          <w:rFonts w:ascii="Helvetica" w:hAnsi="Helvetica"/>
        </w:rPr>
        <w:t xml:space="preserve"> use and duration, antibacterial prophylaxis agent, antifungal prophylaxis agent</w:t>
      </w:r>
    </w:p>
    <w:p w14:paraId="71947C63"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Outcome events with denominators at each pre-specified timepoint for all primary and secondary outcomes</w:t>
      </w:r>
    </w:p>
    <w:p w14:paraId="6874CF95"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Time-to-event data where reported (cumulative incidence functions, hazard ratios with confidence intervals, median time to event)</w:t>
      </w:r>
    </w:p>
    <w:p w14:paraId="644C7D7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Incidence rates per patient-time </w:t>
      </w:r>
      <w:proofErr w:type="gramStart"/>
      <w:r w:rsidRPr="00B87286">
        <w:rPr>
          <w:rFonts w:ascii="Helvetica" w:hAnsi="Helvetica"/>
        </w:rPr>
        <w:t>where</w:t>
      </w:r>
      <w:proofErr w:type="gramEnd"/>
      <w:r w:rsidRPr="00B87286">
        <w:rPr>
          <w:rFonts w:ascii="Helvetica" w:hAnsi="Helvetica"/>
        </w:rPr>
        <w:t xml:space="preserve"> reported in lieu of cumulative incidence</w:t>
      </w:r>
    </w:p>
    <w:p w14:paraId="65752A9F"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Follow-up duration and outcome ascertainment method</w:t>
      </w:r>
    </w:p>
    <w:p w14:paraId="5AF0F60B"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Subgroup data stratified by each pre-specified moderator</w:t>
      </w:r>
    </w:p>
    <w:p w14:paraId="691BED7E" w14:textId="77777777" w:rsidR="00BF0F7A" w:rsidRPr="00B87286" w:rsidRDefault="00000000">
      <w:pPr>
        <w:pStyle w:val="Heading2"/>
        <w:rPr>
          <w:rFonts w:ascii="Helvetica" w:hAnsi="Helvetica"/>
        </w:rPr>
      </w:pPr>
      <w:r w:rsidRPr="00B87286">
        <w:rPr>
          <w:rFonts w:ascii="Helvetica" w:hAnsi="Helvetica"/>
        </w:rPr>
        <w:t>3.5 Risk of Bias in Individual Studies</w:t>
      </w:r>
    </w:p>
    <w:p w14:paraId="6F72F162" w14:textId="77777777" w:rsidR="00BF0F7A" w:rsidRPr="00B87286" w:rsidRDefault="00000000">
      <w:pPr>
        <w:spacing w:after="120"/>
        <w:rPr>
          <w:rFonts w:ascii="Helvetica" w:hAnsi="Helvetica"/>
        </w:rPr>
      </w:pPr>
      <w:r w:rsidRPr="00B87286">
        <w:rPr>
          <w:rFonts w:ascii="Helvetica" w:hAnsi="Helvetica"/>
        </w:rPr>
        <w:t xml:space="preserve">Risk of bias will be assessed using the ROBINS-I tool for non-randomized studies and </w:t>
      </w:r>
      <w:proofErr w:type="spellStart"/>
      <w:r w:rsidRPr="00B87286">
        <w:rPr>
          <w:rFonts w:ascii="Helvetica" w:hAnsi="Helvetica"/>
        </w:rPr>
        <w:t>RoB</w:t>
      </w:r>
      <w:proofErr w:type="spellEnd"/>
      <w:r w:rsidRPr="00B87286">
        <w:rPr>
          <w:rFonts w:ascii="Helvetica" w:hAnsi="Helvetica"/>
        </w:rPr>
        <w:t xml:space="preserve"> 2 for randomized controlled trials. Both reviewers will complete risk of bias assessments independently, with disagreements resolved by consensus. Risk of bias will be summarized graphically using the </w:t>
      </w:r>
      <w:proofErr w:type="spellStart"/>
      <w:r w:rsidRPr="00B87286">
        <w:rPr>
          <w:rFonts w:ascii="Helvetica" w:hAnsi="Helvetica"/>
        </w:rPr>
        <w:t>robvis</w:t>
      </w:r>
      <w:proofErr w:type="spellEnd"/>
      <w:r w:rsidRPr="00B87286">
        <w:rPr>
          <w:rFonts w:ascii="Helvetica" w:hAnsi="Helvetica"/>
        </w:rPr>
        <w:t xml:space="preserve"> R package. Studies rated critical risk of bias on ROBINS-I will be excluded from the primary pooled analysis and retained only for sensitivity analysis.</w:t>
      </w:r>
    </w:p>
    <w:p w14:paraId="27A32B0C" w14:textId="77777777" w:rsidR="00BF0F7A" w:rsidRPr="00B87286" w:rsidRDefault="00000000">
      <w:pPr>
        <w:pStyle w:val="Heading2"/>
        <w:rPr>
          <w:rFonts w:ascii="Helvetica" w:hAnsi="Helvetica"/>
        </w:rPr>
      </w:pPr>
      <w:r w:rsidRPr="00B87286">
        <w:rPr>
          <w:rFonts w:ascii="Helvetica" w:hAnsi="Helvetica"/>
        </w:rPr>
        <w:t>3.6 Data Synthesis</w:t>
      </w:r>
    </w:p>
    <w:p w14:paraId="39B73B29" w14:textId="77777777" w:rsidR="00BF0F7A" w:rsidRPr="00B87286" w:rsidRDefault="00000000">
      <w:pPr>
        <w:pStyle w:val="Heading3"/>
        <w:rPr>
          <w:rFonts w:ascii="Helvetica" w:hAnsi="Helvetica"/>
        </w:rPr>
      </w:pPr>
      <w:r w:rsidRPr="00B87286">
        <w:rPr>
          <w:rFonts w:ascii="Helvetica" w:hAnsi="Helvetica"/>
        </w:rPr>
        <w:t>3.6.1 Primary analysis</w:t>
      </w:r>
    </w:p>
    <w:p w14:paraId="45655887" w14:textId="77777777" w:rsidR="00BF0F7A" w:rsidRPr="00B87286" w:rsidRDefault="00000000">
      <w:pPr>
        <w:spacing w:after="120"/>
        <w:rPr>
          <w:rFonts w:ascii="Helvetica" w:hAnsi="Helvetica"/>
        </w:rPr>
      </w:pPr>
      <w:r w:rsidRPr="00B87286">
        <w:rPr>
          <w:rFonts w:ascii="Helvetica" w:hAnsi="Helvetica"/>
        </w:rPr>
        <w:t>For each of the three primary comparisons and each primary outcome at its primary timepoint, a Bayesian random-effects meta-analysis will be fit using the brms R package with a binomial likelihood on raw event counts and log link:</w:t>
      </w:r>
    </w:p>
    <w:p w14:paraId="5C021B91" w14:textId="77777777" w:rsidR="00BF0F7A" w:rsidRPr="00B87286" w:rsidRDefault="00000000">
      <w:pPr>
        <w:spacing w:after="120"/>
        <w:rPr>
          <w:rFonts w:ascii="Helvetica" w:hAnsi="Helvetica"/>
        </w:rPr>
      </w:pPr>
      <w:r w:rsidRPr="00B87286">
        <w:rPr>
          <w:rFonts w:ascii="Helvetica" w:hAnsi="Helvetica"/>
          <w:b/>
          <w:bCs/>
        </w:rPr>
        <w:t xml:space="preserve">events | trials(n) ~ 0 + arm + (0 + arm | </w:t>
      </w:r>
      <w:proofErr w:type="spellStart"/>
      <w:r w:rsidRPr="00B87286">
        <w:rPr>
          <w:rFonts w:ascii="Helvetica" w:hAnsi="Helvetica"/>
          <w:b/>
          <w:bCs/>
        </w:rPr>
        <w:t>cohort_id</w:t>
      </w:r>
      <w:proofErr w:type="spellEnd"/>
      <w:r w:rsidRPr="00B87286">
        <w:rPr>
          <w:rFonts w:ascii="Helvetica" w:hAnsi="Helvetica"/>
          <w:b/>
          <w:bCs/>
        </w:rPr>
        <w:t>)</w:t>
      </w:r>
    </w:p>
    <w:p w14:paraId="57E8726D" w14:textId="77777777" w:rsidR="00BF0F7A" w:rsidRPr="00B87286" w:rsidRDefault="00000000">
      <w:pPr>
        <w:spacing w:after="120"/>
        <w:rPr>
          <w:rFonts w:ascii="Helvetica" w:hAnsi="Helvetica"/>
        </w:rPr>
      </w:pPr>
      <w:r w:rsidRPr="00B87286">
        <w:rPr>
          <w:rFonts w:ascii="Helvetica" w:hAnsi="Helvetica"/>
        </w:rPr>
        <w:t xml:space="preserve">This specification handles zero-event studies natively without continuity correction. The primary effect measure will be </w:t>
      </w:r>
      <w:proofErr w:type="gramStart"/>
      <w:r w:rsidRPr="00B87286">
        <w:rPr>
          <w:rFonts w:ascii="Helvetica" w:hAnsi="Helvetica"/>
        </w:rPr>
        <w:t>log</w:t>
      </w:r>
      <w:proofErr w:type="gramEnd"/>
      <w:r w:rsidRPr="00B87286">
        <w:rPr>
          <w:rFonts w:ascii="Helvetica" w:hAnsi="Helvetica"/>
        </w:rPr>
        <w:t xml:space="preserve"> odds ratio; risk ratios and risk differences will be derived from posterior arm-level probabilities for clinical reporting.</w:t>
      </w:r>
    </w:p>
    <w:p w14:paraId="0B7A96E5" w14:textId="77777777" w:rsidR="00BF0F7A" w:rsidRPr="00B87286" w:rsidRDefault="00000000">
      <w:pPr>
        <w:spacing w:after="120"/>
        <w:rPr>
          <w:rFonts w:ascii="Helvetica" w:hAnsi="Helvetica"/>
        </w:rPr>
      </w:pPr>
      <w:r w:rsidRPr="00B87286">
        <w:rPr>
          <w:rFonts w:ascii="Helvetica" w:hAnsi="Helvetica"/>
          <w:b/>
          <w:bCs/>
        </w:rPr>
        <w:t>Priors:</w:t>
      </w:r>
    </w:p>
    <w:p w14:paraId="78FB73C1"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β (log-OR): </w:t>
      </w:r>
      <w:proofErr w:type="gramStart"/>
      <w:r w:rsidRPr="00B87286">
        <w:rPr>
          <w:rFonts w:ascii="Helvetica" w:hAnsi="Helvetica"/>
        </w:rPr>
        <w:t>N(</w:t>
      </w:r>
      <w:proofErr w:type="gramEnd"/>
      <w:r w:rsidRPr="00B87286">
        <w:rPr>
          <w:rFonts w:ascii="Helvetica" w:hAnsi="Helvetica"/>
        </w:rPr>
        <w:t>0, 1.5) — weakly informative</w:t>
      </w:r>
    </w:p>
    <w:p w14:paraId="6194A587"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τ (between-study standard deviation on the logit scale): half-</w:t>
      </w:r>
      <w:proofErr w:type="gramStart"/>
      <w:r w:rsidRPr="00B87286">
        <w:rPr>
          <w:rFonts w:ascii="Helvetica" w:hAnsi="Helvetica"/>
        </w:rPr>
        <w:t>Normal(</w:t>
      </w:r>
      <w:proofErr w:type="gramEnd"/>
      <w:r w:rsidRPr="00B87286">
        <w:rPr>
          <w:rFonts w:ascii="Helvetica" w:hAnsi="Helvetica"/>
        </w:rPr>
        <w:t>0, 0.5) — weakly informative default</w:t>
      </w:r>
    </w:p>
    <w:p w14:paraId="1E9F13F9" w14:textId="77777777" w:rsidR="00BF0F7A" w:rsidRPr="00B87286" w:rsidRDefault="00000000">
      <w:pPr>
        <w:spacing w:after="120"/>
        <w:rPr>
          <w:rFonts w:ascii="Helvetica" w:hAnsi="Helvetica"/>
        </w:rPr>
      </w:pPr>
      <w:r w:rsidRPr="00B87286">
        <w:rPr>
          <w:rFonts w:ascii="Helvetica" w:hAnsi="Helvetica"/>
        </w:rPr>
        <w:t>Four Markov chains of 4000 iterations will be run, with the first half as warmup. Convergence will be confirmed via R-hat &lt;1.01 and bulk and tail effective sample sizes &gt;400. Posterior summaries will be reported as median and 95% credible interval, along with posterior probability that the odds ratio exceeds 1.</w:t>
      </w:r>
    </w:p>
    <w:p w14:paraId="57CDE876" w14:textId="77777777" w:rsidR="00BF0F7A" w:rsidRPr="00B87286" w:rsidRDefault="00000000">
      <w:pPr>
        <w:pStyle w:val="Heading3"/>
        <w:rPr>
          <w:rFonts w:ascii="Helvetica" w:hAnsi="Helvetica"/>
        </w:rPr>
      </w:pPr>
      <w:r w:rsidRPr="00B87286">
        <w:rPr>
          <w:rFonts w:ascii="Helvetica" w:hAnsi="Helvetica"/>
        </w:rPr>
        <w:t>3.6.2 Meta-regression on pre-specified moderators</w:t>
      </w:r>
    </w:p>
    <w:p w14:paraId="115BC8C4" w14:textId="77777777" w:rsidR="00BF0F7A" w:rsidRPr="00B87286" w:rsidRDefault="00000000">
      <w:pPr>
        <w:spacing w:after="120"/>
        <w:rPr>
          <w:rFonts w:ascii="Helvetica" w:hAnsi="Helvetica"/>
        </w:rPr>
      </w:pPr>
      <w:r w:rsidRPr="00B87286">
        <w:rPr>
          <w:rFonts w:ascii="Helvetica" w:hAnsi="Helvetica"/>
        </w:rPr>
        <w:lastRenderedPageBreak/>
        <w:t>For each primary outcome, meta-regression will be performed on the following pre-specified moderators, extracted at cohort level:</w:t>
      </w:r>
    </w:p>
    <w:p w14:paraId="0931CF23"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Donor type (matched sibling, matched unrelated, mismatched unrelated, haploidentical, umbilical cord blood)</w:t>
      </w:r>
    </w:p>
    <w:p w14:paraId="56E43393"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Graft source (peripheral blood, bone marrow, cord blood)</w:t>
      </w:r>
    </w:p>
    <w:p w14:paraId="0B9B81A5"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Conditioning intensity (myeloablative, reduced-intensity, non-myeloablative)</w:t>
      </w:r>
    </w:p>
    <w:p w14:paraId="67C9585A" w14:textId="77777777" w:rsidR="00BF0F7A" w:rsidRPr="00B87286" w:rsidRDefault="00000000">
      <w:pPr>
        <w:pStyle w:val="ListParagraph"/>
        <w:numPr>
          <w:ilvl w:val="0"/>
          <w:numId w:val="3"/>
        </w:numPr>
        <w:spacing w:after="60"/>
        <w:rPr>
          <w:rFonts w:ascii="Helvetica" w:hAnsi="Helvetica"/>
        </w:rPr>
      </w:pPr>
      <w:proofErr w:type="spellStart"/>
      <w:r w:rsidRPr="00B87286">
        <w:rPr>
          <w:rFonts w:ascii="Helvetica" w:hAnsi="Helvetica"/>
        </w:rPr>
        <w:t>Letermovir</w:t>
      </w:r>
      <w:proofErr w:type="spellEnd"/>
      <w:r w:rsidRPr="00B87286">
        <w:rPr>
          <w:rFonts w:ascii="Helvetica" w:hAnsi="Helvetica"/>
        </w:rPr>
        <w:t xml:space="preserve"> era and use (for CMV outcomes specifically)</w:t>
      </w:r>
    </w:p>
    <w:p w14:paraId="324F647D" w14:textId="77777777" w:rsidR="00BF0F7A" w:rsidRPr="00B87286" w:rsidRDefault="00000000">
      <w:pPr>
        <w:pStyle w:val="ListParagraph"/>
        <w:numPr>
          <w:ilvl w:val="0"/>
          <w:numId w:val="3"/>
        </w:numPr>
        <w:spacing w:after="60"/>
        <w:rPr>
          <w:rFonts w:ascii="Helvetica" w:hAnsi="Helvetica"/>
        </w:rPr>
      </w:pPr>
      <w:proofErr w:type="spellStart"/>
      <w:r w:rsidRPr="00B87286">
        <w:rPr>
          <w:rFonts w:ascii="Helvetica" w:hAnsi="Helvetica"/>
        </w:rPr>
        <w:t>Antimold</w:t>
      </w:r>
      <w:proofErr w:type="spellEnd"/>
      <w:r w:rsidRPr="00B87286">
        <w:rPr>
          <w:rFonts w:ascii="Helvetica" w:hAnsi="Helvetica"/>
        </w:rPr>
        <w:t xml:space="preserve"> prophylaxis regimen (for IFI outcomes specifically)</w:t>
      </w:r>
    </w:p>
    <w:p w14:paraId="2ACEE98D" w14:textId="77777777" w:rsidR="00BF0F7A" w:rsidRPr="00B87286" w:rsidRDefault="00000000">
      <w:pPr>
        <w:pStyle w:val="ListParagraph"/>
        <w:numPr>
          <w:ilvl w:val="0"/>
          <w:numId w:val="3"/>
        </w:numPr>
        <w:spacing w:after="60"/>
        <w:rPr>
          <w:rFonts w:ascii="Helvetica" w:hAnsi="Helvetica"/>
        </w:rPr>
      </w:pPr>
      <w:proofErr w:type="spellStart"/>
      <w:r w:rsidRPr="00B87286">
        <w:rPr>
          <w:rFonts w:ascii="Helvetica" w:hAnsi="Helvetica"/>
        </w:rPr>
        <w:t>PTCy</w:t>
      </w:r>
      <w:proofErr w:type="spellEnd"/>
      <w:r w:rsidRPr="00B87286">
        <w:rPr>
          <w:rFonts w:ascii="Helvetica" w:hAnsi="Helvetica"/>
        </w:rPr>
        <w:t xml:space="preserve"> dose (standard 50 mg/kg × 2 versus reduced)</w:t>
      </w:r>
    </w:p>
    <w:p w14:paraId="5EE28D67"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CMV serostatus distribution (donor/recipient)</w:t>
      </w:r>
    </w:p>
    <w:p w14:paraId="345797B0"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Publication era (pre-2018 versus 2018 onwards)</w:t>
      </w:r>
    </w:p>
    <w:p w14:paraId="1F630AAA"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Region (Europe, North America, Asia, other)</w:t>
      </w:r>
    </w:p>
    <w:p w14:paraId="359CD96D" w14:textId="77777777" w:rsidR="00BF0F7A" w:rsidRPr="00B87286" w:rsidRDefault="00000000">
      <w:pPr>
        <w:pStyle w:val="ListParagraph"/>
        <w:numPr>
          <w:ilvl w:val="0"/>
          <w:numId w:val="3"/>
        </w:numPr>
        <w:spacing w:after="60"/>
        <w:rPr>
          <w:rFonts w:ascii="Helvetica" w:hAnsi="Helvetica"/>
        </w:rPr>
      </w:pPr>
      <w:r w:rsidRPr="00B87286">
        <w:rPr>
          <w:rFonts w:ascii="Helvetica" w:hAnsi="Helvetica"/>
        </w:rPr>
        <w:t>ATG dose category within Comparison 2 (low-dose ≤4.5 mg/kg rabbit equivalent; standard-dose &gt;4.5 to ≤10 mg/kg; high-dose ATLG/</w:t>
      </w:r>
      <w:proofErr w:type="spellStart"/>
      <w:r w:rsidRPr="00B87286">
        <w:rPr>
          <w:rFonts w:ascii="Helvetica" w:hAnsi="Helvetica"/>
        </w:rPr>
        <w:t>Grafalon</w:t>
      </w:r>
      <w:proofErr w:type="spellEnd"/>
      <w:r w:rsidRPr="00B87286">
        <w:rPr>
          <w:rFonts w:ascii="Helvetica" w:hAnsi="Helvetica"/>
        </w:rPr>
        <w:t xml:space="preserve"> &gt;10 mg/kg; horse ATG analyzed separately) [pending protocol finalization]</w:t>
      </w:r>
    </w:p>
    <w:p w14:paraId="5D4DF0E1" w14:textId="77777777" w:rsidR="00BF0F7A" w:rsidRPr="00B87286" w:rsidRDefault="00000000">
      <w:pPr>
        <w:pStyle w:val="Heading3"/>
        <w:rPr>
          <w:rFonts w:ascii="Helvetica" w:hAnsi="Helvetica"/>
        </w:rPr>
      </w:pPr>
      <w:r w:rsidRPr="00B87286">
        <w:rPr>
          <w:rFonts w:ascii="Helvetica" w:hAnsi="Helvetica"/>
        </w:rPr>
        <w:t>3.6.3 Sensitivity analyses</w:t>
      </w:r>
    </w:p>
    <w:p w14:paraId="121ED01E"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Primary versus secondary timepoint (e.g., day +30 vs day +100 for BSI)</w:t>
      </w:r>
    </w:p>
    <w:p w14:paraId="4322C359"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EORTC/MSG </w:t>
      </w:r>
      <w:proofErr w:type="spellStart"/>
      <w:r w:rsidRPr="00B87286">
        <w:rPr>
          <w:rFonts w:ascii="Helvetica" w:hAnsi="Helvetica"/>
        </w:rPr>
        <w:t>proven+probable</w:t>
      </w:r>
      <w:proofErr w:type="spellEnd"/>
      <w:r w:rsidRPr="00B87286">
        <w:rPr>
          <w:rFonts w:ascii="Helvetica" w:hAnsi="Helvetica"/>
        </w:rPr>
        <w:t xml:space="preserve"> versus any IFI investigator-reported</w:t>
      </w:r>
    </w:p>
    <w:p w14:paraId="27AD0CDE"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Any CMV reactivation versus clinically significant CMV</w:t>
      </w:r>
    </w:p>
    <w:p w14:paraId="34D36AD4"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Inclusion of overlapping cohort publications</w:t>
      </w:r>
    </w:p>
    <w:p w14:paraId="2DB61A1D"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Inclusion of conference abstracts</w:t>
      </w:r>
    </w:p>
    <w:p w14:paraId="3E148EDF"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Leave-one-out analysis per primary outcome</w:t>
      </w:r>
    </w:p>
    <w:p w14:paraId="35B9CDAA"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Restriction to studies rated low or moderate risk of bias</w:t>
      </w:r>
    </w:p>
    <w:p w14:paraId="3413C5A1"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Prior sensitivity: τ ~ half-</w:t>
      </w:r>
      <w:proofErr w:type="gramStart"/>
      <w:r w:rsidRPr="00B87286">
        <w:rPr>
          <w:rFonts w:ascii="Helvetica" w:hAnsi="Helvetica"/>
        </w:rPr>
        <w:t>Cauchy(</w:t>
      </w:r>
      <w:proofErr w:type="gramEnd"/>
      <w:r w:rsidRPr="00B87286">
        <w:rPr>
          <w:rFonts w:ascii="Helvetica" w:hAnsi="Helvetica"/>
        </w:rPr>
        <w:t>0, 0.5) and half-</w:t>
      </w:r>
      <w:proofErr w:type="gramStart"/>
      <w:r w:rsidRPr="00B87286">
        <w:rPr>
          <w:rFonts w:ascii="Helvetica" w:hAnsi="Helvetica"/>
        </w:rPr>
        <w:t>Normal(</w:t>
      </w:r>
      <w:proofErr w:type="gramEnd"/>
      <w:r w:rsidRPr="00B87286">
        <w:rPr>
          <w:rFonts w:ascii="Helvetica" w:hAnsi="Helvetica"/>
        </w:rPr>
        <w:t>0, 1.0) re-runs</w:t>
      </w:r>
    </w:p>
    <w:p w14:paraId="75918747"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Parallel Poisson/negative-binomial model for studies reporting incidence rates per patient-time rather than cumulative incidence</w:t>
      </w:r>
    </w:p>
    <w:p w14:paraId="6AFFAE2B" w14:textId="77777777" w:rsidR="00BF0F7A" w:rsidRPr="00B87286" w:rsidRDefault="00000000">
      <w:pPr>
        <w:pStyle w:val="Heading3"/>
        <w:rPr>
          <w:rFonts w:ascii="Helvetica" w:hAnsi="Helvetica"/>
        </w:rPr>
      </w:pPr>
      <w:r w:rsidRPr="00B87286">
        <w:rPr>
          <w:rFonts w:ascii="Helvetica" w:hAnsi="Helvetica"/>
        </w:rPr>
        <w:t>3.6.4 Publication bias</w:t>
      </w:r>
    </w:p>
    <w:p w14:paraId="6DC99FBB" w14:textId="77777777" w:rsidR="00BF0F7A" w:rsidRPr="00B87286" w:rsidRDefault="00000000">
      <w:pPr>
        <w:spacing w:after="120"/>
        <w:rPr>
          <w:rFonts w:ascii="Helvetica" w:hAnsi="Helvetica"/>
        </w:rPr>
      </w:pPr>
      <w:r w:rsidRPr="00B87286">
        <w:rPr>
          <w:rFonts w:ascii="Helvetica" w:hAnsi="Helvetica"/>
        </w:rPr>
        <w:t xml:space="preserve">Publication bias will be assessed using the </w:t>
      </w:r>
      <w:proofErr w:type="spellStart"/>
      <w:r w:rsidRPr="00B87286">
        <w:rPr>
          <w:rFonts w:ascii="Helvetica" w:hAnsi="Helvetica"/>
        </w:rPr>
        <w:t>RoBMA</w:t>
      </w:r>
      <w:proofErr w:type="spellEnd"/>
      <w:r w:rsidRPr="00B87286">
        <w:rPr>
          <w:rFonts w:ascii="Helvetica" w:hAnsi="Helvetica"/>
        </w:rPr>
        <w:t xml:space="preserve"> package for Bayesian model-averaged publication-bias assessment, which is more defensible than Egger's test for proportions and under clustered data. Funnel plots will be produced for pairwise comparisons with ten or more contributing studies.</w:t>
      </w:r>
    </w:p>
    <w:p w14:paraId="6B01A95D" w14:textId="77777777" w:rsidR="00BF0F7A" w:rsidRPr="00B87286" w:rsidRDefault="00000000">
      <w:pPr>
        <w:pStyle w:val="Heading3"/>
        <w:rPr>
          <w:rFonts w:ascii="Helvetica" w:hAnsi="Helvetica"/>
        </w:rPr>
      </w:pPr>
      <w:r w:rsidRPr="00B87286">
        <w:rPr>
          <w:rFonts w:ascii="Helvetica" w:hAnsi="Helvetica"/>
        </w:rPr>
        <w:t>3.6.5 Certainty of evidence</w:t>
      </w:r>
    </w:p>
    <w:p w14:paraId="39CB4C4C" w14:textId="77777777" w:rsidR="00BF0F7A" w:rsidRPr="00B87286" w:rsidRDefault="00000000">
      <w:pPr>
        <w:spacing w:after="120"/>
        <w:rPr>
          <w:rFonts w:ascii="Helvetica" w:hAnsi="Helvetica"/>
        </w:rPr>
      </w:pPr>
      <w:r w:rsidRPr="00B87286">
        <w:rPr>
          <w:rFonts w:ascii="Helvetica" w:hAnsi="Helvetica"/>
        </w:rPr>
        <w:t>Certainty of evidence for each primary outcome will be rated using the Grading of Recommendations Assessment, Development, and Evaluation (GRADE) framework across the five standard domains (risk of bias, inconsistency, indirectness, imprecision, publication bias). A Summary of Findings table will be produced per primary comparison.</w:t>
      </w:r>
    </w:p>
    <w:p w14:paraId="473ACEA9" w14:textId="77777777" w:rsidR="00BF0F7A" w:rsidRPr="00B87286" w:rsidRDefault="00000000">
      <w:pPr>
        <w:pStyle w:val="Heading3"/>
        <w:rPr>
          <w:rFonts w:ascii="Helvetica" w:hAnsi="Helvetica"/>
        </w:rPr>
      </w:pPr>
      <w:r w:rsidRPr="00B87286">
        <w:rPr>
          <w:rFonts w:ascii="Helvetica" w:hAnsi="Helvetica"/>
        </w:rPr>
        <w:t>3.6.6 Heterogeneity</w:t>
      </w:r>
    </w:p>
    <w:p w14:paraId="3616F513" w14:textId="77777777" w:rsidR="00BF0F7A" w:rsidRPr="00B87286" w:rsidRDefault="00000000">
      <w:pPr>
        <w:spacing w:after="120"/>
        <w:rPr>
          <w:rFonts w:ascii="Helvetica" w:hAnsi="Helvetica"/>
        </w:rPr>
      </w:pPr>
      <w:r w:rsidRPr="00B87286">
        <w:rPr>
          <w:rFonts w:ascii="Helvetica" w:hAnsi="Helvetica"/>
        </w:rPr>
        <w:t xml:space="preserve">Between-study heterogeneity will be reported as the posterior distribution of τ (the between-study standard deviation on the logit scale) and as τ² with 95% credible intervals. I² statistics will </w:t>
      </w:r>
      <w:r w:rsidRPr="00B87286">
        <w:rPr>
          <w:rFonts w:ascii="Helvetica" w:hAnsi="Helvetica"/>
        </w:rPr>
        <w:lastRenderedPageBreak/>
        <w:t>be reported for comparability with the frequentist literature, but we explicitly avoid interpreting I² as the primary heterogeneity metric given its known dependence on within-study precision.</w:t>
      </w:r>
    </w:p>
    <w:p w14:paraId="29C49EEA" w14:textId="77777777" w:rsidR="00BF0F7A" w:rsidRPr="00B87286" w:rsidRDefault="00000000">
      <w:pPr>
        <w:pStyle w:val="Heading2"/>
        <w:rPr>
          <w:rFonts w:ascii="Helvetica" w:hAnsi="Helvetica"/>
        </w:rPr>
      </w:pPr>
      <w:r w:rsidRPr="00B87286">
        <w:rPr>
          <w:rFonts w:ascii="Helvetica" w:hAnsi="Helvetica"/>
        </w:rPr>
        <w:t>3.7 Analysis of Subgroups or Subsets</w:t>
      </w:r>
    </w:p>
    <w:p w14:paraId="771135A5" w14:textId="77777777" w:rsidR="00BF0F7A" w:rsidRPr="00B87286" w:rsidRDefault="00000000">
      <w:pPr>
        <w:spacing w:after="120"/>
        <w:rPr>
          <w:rFonts w:ascii="Helvetica" w:hAnsi="Helvetica"/>
        </w:rPr>
      </w:pPr>
      <w:r w:rsidRPr="00B87286">
        <w:rPr>
          <w:rFonts w:ascii="Helvetica" w:hAnsi="Helvetica"/>
        </w:rPr>
        <w:t>Subgroup analyses are integrated into the meta-regression framework described in Section 3.6.2. All subgroups are pre-specified. Additional post-hoc subgroup analyses, if conducted, will be explicitly labeled as exploratory in the final publication.</w:t>
      </w:r>
    </w:p>
    <w:p w14:paraId="6A43F572" w14:textId="77777777" w:rsidR="00BF0F7A" w:rsidRPr="00B87286" w:rsidRDefault="00000000">
      <w:pPr>
        <w:pStyle w:val="Heading1"/>
        <w:rPr>
          <w:rFonts w:ascii="Helvetica" w:hAnsi="Helvetica"/>
        </w:rPr>
      </w:pPr>
      <w:r w:rsidRPr="00B87286">
        <w:rPr>
          <w:rFonts w:ascii="Helvetica" w:hAnsi="Helvetica"/>
        </w:rPr>
        <w:t>4. Dissemination and Reporting</w:t>
      </w:r>
    </w:p>
    <w:p w14:paraId="4C2C1604" w14:textId="77777777" w:rsidR="00BF0F7A" w:rsidRPr="00B87286" w:rsidRDefault="00000000">
      <w:pPr>
        <w:pStyle w:val="Heading2"/>
        <w:rPr>
          <w:rFonts w:ascii="Helvetica" w:hAnsi="Helvetica"/>
        </w:rPr>
      </w:pPr>
      <w:r w:rsidRPr="00B87286">
        <w:rPr>
          <w:rFonts w:ascii="Helvetica" w:hAnsi="Helvetica"/>
        </w:rPr>
        <w:t>4.1 Reporting standards</w:t>
      </w:r>
    </w:p>
    <w:p w14:paraId="52557E1B" w14:textId="77777777" w:rsidR="00BF0F7A" w:rsidRPr="00B87286" w:rsidRDefault="00000000">
      <w:pPr>
        <w:spacing w:after="120"/>
        <w:rPr>
          <w:rFonts w:ascii="Helvetica" w:hAnsi="Helvetica"/>
        </w:rPr>
      </w:pPr>
      <w:r w:rsidRPr="00B87286">
        <w:rPr>
          <w:rFonts w:ascii="Helvetica" w:hAnsi="Helvetica"/>
        </w:rPr>
        <w:t>The review will be reported in accordance with the Preferred Reporting Items for Systematic Reviews and Meta-Analyses (PRISMA) 2020 statement and, where relevant, the PRISMA extension for systematic reviews incorporating network meta-analyses (PRISMA-NMA) if a network meta-analysis is added as an exploratory secondary analysis.</w:t>
      </w:r>
    </w:p>
    <w:p w14:paraId="34D3A5CE" w14:textId="77777777" w:rsidR="00BF0F7A" w:rsidRPr="00B87286" w:rsidRDefault="00000000">
      <w:pPr>
        <w:pStyle w:val="Heading2"/>
        <w:rPr>
          <w:rFonts w:ascii="Helvetica" w:hAnsi="Helvetica"/>
        </w:rPr>
      </w:pPr>
      <w:r w:rsidRPr="00B87286">
        <w:rPr>
          <w:rFonts w:ascii="Helvetica" w:hAnsi="Helvetica"/>
        </w:rPr>
        <w:t>4.2 Dissemination plans</w:t>
      </w:r>
    </w:p>
    <w:p w14:paraId="368C9B11"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Peer-reviewed publication in a target infectious disease or hematology journal (target journal to be confirmed at protocol finalization; candidate journals include Journal of Antimicrobial Chemotherapy, Bone Marrow Transplantation, Transplantation and Cellular Therapy, </w:t>
      </w:r>
      <w:proofErr w:type="spellStart"/>
      <w:r w:rsidRPr="00B87286">
        <w:rPr>
          <w:rFonts w:ascii="Helvetica" w:hAnsi="Helvetica"/>
        </w:rPr>
        <w:t>Haematologica</w:t>
      </w:r>
      <w:proofErr w:type="spellEnd"/>
      <w:r w:rsidRPr="00B87286">
        <w:rPr>
          <w:rFonts w:ascii="Helvetica" w:hAnsi="Helvetica"/>
        </w:rPr>
        <w:t>, and Clinical Microbiology and Infection)</w:t>
      </w:r>
    </w:p>
    <w:p w14:paraId="4B259CBD"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Preprint deposition on </w:t>
      </w:r>
      <w:proofErr w:type="spellStart"/>
      <w:r w:rsidRPr="00B87286">
        <w:rPr>
          <w:rFonts w:ascii="Helvetica" w:hAnsi="Helvetica"/>
        </w:rPr>
        <w:t>medRxiv</w:t>
      </w:r>
      <w:proofErr w:type="spellEnd"/>
      <w:r w:rsidRPr="00B87286">
        <w:rPr>
          <w:rFonts w:ascii="Helvetica" w:hAnsi="Helvetica"/>
        </w:rPr>
        <w:t xml:space="preserve"> if permitted by the target journal</w:t>
      </w:r>
    </w:p>
    <w:p w14:paraId="7CFAD606"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Presentation of findings at an international hematology or infectious diseases meeting (EBMT, ASH, TCT, ECCMID) as appropriate</w:t>
      </w:r>
    </w:p>
    <w:p w14:paraId="3DF19C71"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Deposition of frozen analytical dataset, full analysis code, and protocol on </w:t>
      </w:r>
      <w:proofErr w:type="spellStart"/>
      <w:r w:rsidRPr="00B87286">
        <w:rPr>
          <w:rFonts w:ascii="Helvetica" w:hAnsi="Helvetica"/>
        </w:rPr>
        <w:t>Zenodo</w:t>
      </w:r>
      <w:proofErr w:type="spellEnd"/>
      <w:r w:rsidRPr="00B87286">
        <w:rPr>
          <w:rFonts w:ascii="Helvetica" w:hAnsi="Helvetica"/>
        </w:rPr>
        <w:t xml:space="preserve"> with assigned DOI for reproducibility</w:t>
      </w:r>
    </w:p>
    <w:p w14:paraId="790B630E"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Update of PROSPERO record upon publication</w:t>
      </w:r>
    </w:p>
    <w:p w14:paraId="44E3FF48" w14:textId="77777777" w:rsidR="00BF0F7A" w:rsidRPr="00B87286" w:rsidRDefault="00000000">
      <w:pPr>
        <w:pStyle w:val="Heading2"/>
        <w:rPr>
          <w:rFonts w:ascii="Helvetica" w:hAnsi="Helvetica"/>
        </w:rPr>
      </w:pPr>
      <w:r w:rsidRPr="00B87286">
        <w:rPr>
          <w:rFonts w:ascii="Helvetica" w:hAnsi="Helvetica"/>
        </w:rPr>
        <w:t>4.3 Reproducibility and data availability</w:t>
      </w:r>
    </w:p>
    <w:p w14:paraId="79C535E9" w14:textId="77777777" w:rsidR="00BF0F7A" w:rsidRPr="00B87286" w:rsidRDefault="00000000">
      <w:pPr>
        <w:spacing w:after="120"/>
        <w:rPr>
          <w:rFonts w:ascii="Helvetica" w:hAnsi="Helvetica"/>
        </w:rPr>
      </w:pPr>
      <w:r w:rsidRPr="00B87286">
        <w:rPr>
          <w:rFonts w:ascii="Helvetica" w:hAnsi="Helvetica"/>
        </w:rPr>
        <w:t>All analyses will be performed in R using the Quarto authoring system. The full analytical pipeline, including data extraction template, data, brms model code, prior specifications, convergence diagnostics, and figure-generation code, will be maintained in a version-controlled git repository and deposited publicly upon publication. Individual patient-level data will not be available (we do not obtain IPD); only aggregate cohort-level data used in the meta-analysis will be shared, subject to the data-sharing terms of source publications.</w:t>
      </w:r>
    </w:p>
    <w:p w14:paraId="1DB213CC" w14:textId="77777777" w:rsidR="00BF0F7A" w:rsidRPr="00B87286" w:rsidRDefault="00000000">
      <w:pPr>
        <w:pStyle w:val="Heading1"/>
        <w:rPr>
          <w:rFonts w:ascii="Helvetica" w:hAnsi="Helvetica"/>
        </w:rPr>
      </w:pPr>
      <w:r w:rsidRPr="00B87286">
        <w:rPr>
          <w:rFonts w:ascii="Helvetica" w:hAnsi="Helvetica"/>
        </w:rPr>
        <w:t>5. Supplementary Information</w:t>
      </w:r>
    </w:p>
    <w:p w14:paraId="53AE3F04" w14:textId="77777777" w:rsidR="00BF0F7A" w:rsidRPr="00B87286" w:rsidRDefault="00000000">
      <w:pPr>
        <w:pStyle w:val="Heading2"/>
        <w:rPr>
          <w:rFonts w:ascii="Helvetica" w:hAnsi="Helvetica"/>
        </w:rPr>
      </w:pPr>
      <w:r w:rsidRPr="00B87286">
        <w:rPr>
          <w:rFonts w:ascii="Helvetica" w:hAnsi="Helvetica"/>
        </w:rPr>
        <w:t>5.1 Keywords</w:t>
      </w:r>
    </w:p>
    <w:p w14:paraId="5EB46859" w14:textId="77777777" w:rsidR="00BF0F7A" w:rsidRPr="00B87286" w:rsidRDefault="00000000">
      <w:pPr>
        <w:spacing w:after="120"/>
        <w:rPr>
          <w:rFonts w:ascii="Helvetica" w:hAnsi="Helvetica"/>
        </w:rPr>
      </w:pPr>
      <w:r w:rsidRPr="00B87286">
        <w:rPr>
          <w:rFonts w:ascii="Helvetica" w:hAnsi="Helvetica"/>
        </w:rPr>
        <w:t xml:space="preserve">Post-transplant cyclophosphamide; </w:t>
      </w:r>
      <w:proofErr w:type="spellStart"/>
      <w:r w:rsidRPr="00B87286">
        <w:rPr>
          <w:rFonts w:ascii="Helvetica" w:hAnsi="Helvetica"/>
        </w:rPr>
        <w:t>PTCy</w:t>
      </w:r>
      <w:proofErr w:type="spellEnd"/>
      <w:r w:rsidRPr="00B87286">
        <w:rPr>
          <w:rFonts w:ascii="Helvetica" w:hAnsi="Helvetica"/>
        </w:rPr>
        <w:t>; allogeneic hematopoietic cell transplantation; graft-versus-host disease prophylaxis; bacterial bloodstream infection; cytomegalovirus; invasive fungal infection; non-relapse mortality; Bayesian meta-analysis; systematic review.</w:t>
      </w:r>
    </w:p>
    <w:p w14:paraId="4A140DC0" w14:textId="77777777" w:rsidR="00BF0F7A" w:rsidRPr="00B87286" w:rsidRDefault="00000000">
      <w:pPr>
        <w:pStyle w:val="Heading2"/>
        <w:rPr>
          <w:rFonts w:ascii="Helvetica" w:hAnsi="Helvetica"/>
        </w:rPr>
      </w:pPr>
      <w:r w:rsidRPr="00B87286">
        <w:rPr>
          <w:rFonts w:ascii="Helvetica" w:hAnsi="Helvetica"/>
        </w:rPr>
        <w:t>5.2 Type and method of review</w:t>
      </w:r>
    </w:p>
    <w:p w14:paraId="7E605C68" w14:textId="77777777" w:rsidR="00BF0F7A" w:rsidRPr="00B87286" w:rsidRDefault="00000000">
      <w:pPr>
        <w:spacing w:after="120"/>
        <w:rPr>
          <w:rFonts w:ascii="Helvetica" w:hAnsi="Helvetica"/>
        </w:rPr>
      </w:pPr>
      <w:r w:rsidRPr="00B87286">
        <w:rPr>
          <w:rFonts w:ascii="Helvetica" w:hAnsi="Helvetica"/>
        </w:rPr>
        <w:lastRenderedPageBreak/>
        <w:t>Systematic review with Bayesian meta-analysis. Primary analyses are descriptive quantitative meta-analyses of pairwise comparisons. A Bayesian network meta-analysis across prophylaxis regimens may be performed as an exploratory secondary analysis if the extracted data and comparator structure support it.</w:t>
      </w:r>
    </w:p>
    <w:p w14:paraId="51C603EE" w14:textId="77777777" w:rsidR="00BF0F7A" w:rsidRPr="00B87286" w:rsidRDefault="00000000">
      <w:pPr>
        <w:pStyle w:val="Heading2"/>
        <w:rPr>
          <w:rFonts w:ascii="Helvetica" w:hAnsi="Helvetica"/>
        </w:rPr>
      </w:pPr>
      <w:r w:rsidRPr="00B87286">
        <w:rPr>
          <w:rFonts w:ascii="Helvetica" w:hAnsi="Helvetica"/>
        </w:rPr>
        <w:t>5.3 Language</w:t>
      </w:r>
    </w:p>
    <w:p w14:paraId="3491AEEF" w14:textId="77777777" w:rsidR="00BF0F7A" w:rsidRPr="00B87286" w:rsidRDefault="00000000">
      <w:pPr>
        <w:spacing w:after="120"/>
        <w:rPr>
          <w:rFonts w:ascii="Helvetica" w:hAnsi="Helvetica"/>
        </w:rPr>
      </w:pPr>
      <w:r w:rsidRPr="00B87286">
        <w:rPr>
          <w:rFonts w:ascii="Helvetica" w:hAnsi="Helvetica"/>
        </w:rPr>
        <w:t>English.</w:t>
      </w:r>
    </w:p>
    <w:p w14:paraId="53F0C8C3" w14:textId="77777777" w:rsidR="00BF0F7A" w:rsidRPr="00B87286" w:rsidRDefault="00000000">
      <w:pPr>
        <w:pStyle w:val="Heading2"/>
        <w:rPr>
          <w:rFonts w:ascii="Helvetica" w:hAnsi="Helvetica"/>
        </w:rPr>
      </w:pPr>
      <w:r w:rsidRPr="00B87286">
        <w:rPr>
          <w:rFonts w:ascii="Helvetica" w:hAnsi="Helvetica"/>
        </w:rPr>
        <w:t>5.4 Country</w:t>
      </w:r>
    </w:p>
    <w:p w14:paraId="5752B4AF" w14:textId="77777777" w:rsidR="00BF0F7A" w:rsidRPr="00B87286" w:rsidRDefault="00000000">
      <w:pPr>
        <w:spacing w:after="120"/>
        <w:rPr>
          <w:rFonts w:ascii="Helvetica" w:hAnsi="Helvetica"/>
        </w:rPr>
      </w:pPr>
      <w:r w:rsidRPr="00B87286">
        <w:rPr>
          <w:rFonts w:ascii="Helvetica" w:hAnsi="Helvetica"/>
        </w:rPr>
        <w:t>Italy (lead institution: University of Padova).</w:t>
      </w:r>
    </w:p>
    <w:p w14:paraId="1AEA813B" w14:textId="77777777" w:rsidR="00BF0F7A" w:rsidRPr="00B87286" w:rsidRDefault="00000000">
      <w:pPr>
        <w:pStyle w:val="Heading2"/>
        <w:rPr>
          <w:rFonts w:ascii="Helvetica" w:hAnsi="Helvetica"/>
        </w:rPr>
      </w:pPr>
      <w:r w:rsidRPr="00B87286">
        <w:rPr>
          <w:rFonts w:ascii="Helvetica" w:hAnsi="Helvetica"/>
        </w:rPr>
        <w:t>5.5 Existing reviews on the same topic</w:t>
      </w:r>
    </w:p>
    <w:p w14:paraId="316C7E3D" w14:textId="77777777" w:rsidR="00BF0F7A" w:rsidRPr="00B87286" w:rsidRDefault="00000000">
      <w:pPr>
        <w:spacing w:after="120"/>
        <w:rPr>
          <w:rFonts w:ascii="Helvetica" w:hAnsi="Helvetica"/>
        </w:rPr>
      </w:pPr>
      <w:r w:rsidRPr="00B87286">
        <w:rPr>
          <w:rFonts w:ascii="Helvetica" w:hAnsi="Helvetica"/>
        </w:rPr>
        <w:t>Several prior systematic reviews and meta-analyses address aspects of this question in narrower scope, including Tang et al. 2023 (</w:t>
      </w:r>
      <w:proofErr w:type="spellStart"/>
      <w:r w:rsidRPr="00B87286">
        <w:rPr>
          <w:rFonts w:ascii="Helvetica" w:hAnsi="Helvetica"/>
        </w:rPr>
        <w:t>PTCy</w:t>
      </w:r>
      <w:proofErr w:type="spellEnd"/>
      <w:r w:rsidRPr="00B87286">
        <w:rPr>
          <w:rFonts w:ascii="Helvetica" w:hAnsi="Helvetica"/>
        </w:rPr>
        <w:t xml:space="preserve"> versus ATG in unrelated donor HSCT), Jin et al. 2025 (</w:t>
      </w:r>
      <w:proofErr w:type="spellStart"/>
      <w:r w:rsidRPr="00B87286">
        <w:rPr>
          <w:rFonts w:ascii="Helvetica" w:hAnsi="Helvetica"/>
        </w:rPr>
        <w:t>PTCy</w:t>
      </w:r>
      <w:proofErr w:type="spellEnd"/>
      <w:r w:rsidRPr="00B87286">
        <w:rPr>
          <w:rFonts w:ascii="Helvetica" w:hAnsi="Helvetica"/>
        </w:rPr>
        <w:t xml:space="preserve"> versus ATG in haploidentical HSCT), Luo et al. 2024 (</w:t>
      </w:r>
      <w:proofErr w:type="spellStart"/>
      <w:r w:rsidRPr="00B87286">
        <w:rPr>
          <w:rFonts w:ascii="Helvetica" w:hAnsi="Helvetica"/>
        </w:rPr>
        <w:t>PTCy</w:t>
      </w:r>
      <w:proofErr w:type="spellEnd"/>
      <w:r w:rsidRPr="00B87286">
        <w:rPr>
          <w:rFonts w:ascii="Helvetica" w:hAnsi="Helvetica"/>
        </w:rPr>
        <w:t xml:space="preserve"> combined with ATG versus either alone in haploidentical HSCT), </w:t>
      </w:r>
      <w:proofErr w:type="spellStart"/>
      <w:r w:rsidRPr="00B87286">
        <w:rPr>
          <w:rFonts w:ascii="Helvetica" w:hAnsi="Helvetica"/>
        </w:rPr>
        <w:t>Dybko</w:t>
      </w:r>
      <w:proofErr w:type="spellEnd"/>
      <w:r w:rsidRPr="00B87286">
        <w:rPr>
          <w:rFonts w:ascii="Helvetica" w:hAnsi="Helvetica"/>
        </w:rPr>
        <w:t xml:space="preserve"> et al. 2023 (</w:t>
      </w:r>
      <w:proofErr w:type="spellStart"/>
      <w:r w:rsidRPr="00B87286">
        <w:rPr>
          <w:rFonts w:ascii="Helvetica" w:hAnsi="Helvetica"/>
        </w:rPr>
        <w:t>PTCy</w:t>
      </w:r>
      <w:proofErr w:type="spellEnd"/>
      <w:r w:rsidRPr="00B87286">
        <w:rPr>
          <w:rFonts w:ascii="Helvetica" w:hAnsi="Helvetica"/>
        </w:rPr>
        <w:t xml:space="preserve"> and ATG effect on CMV reactivation), de Almeida et al. 2025, and Shafqat et al. 2025 (low-dose </w:t>
      </w:r>
      <w:proofErr w:type="spellStart"/>
      <w:r w:rsidRPr="00B87286">
        <w:rPr>
          <w:rFonts w:ascii="Helvetica" w:hAnsi="Helvetica"/>
        </w:rPr>
        <w:t>PTCy</w:t>
      </w:r>
      <w:proofErr w:type="spellEnd"/>
      <w:r w:rsidRPr="00B87286">
        <w:rPr>
          <w:rFonts w:ascii="Helvetica" w:hAnsi="Helvetica"/>
        </w:rPr>
        <w:t xml:space="preserve"> in haploidentical HSCT). The present review is distinguished from these by its broader comparator scope (three pre-specified pairwise comparisons spanning CNI-based, ATG-based, and within-</w:t>
      </w:r>
      <w:proofErr w:type="spellStart"/>
      <w:r w:rsidRPr="00B87286">
        <w:rPr>
          <w:rFonts w:ascii="Helvetica" w:hAnsi="Helvetica"/>
        </w:rPr>
        <w:t>PTCy</w:t>
      </w:r>
      <w:proofErr w:type="spellEnd"/>
      <w:r w:rsidRPr="00B87286">
        <w:rPr>
          <w:rFonts w:ascii="Helvetica" w:hAnsi="Helvetica"/>
        </w:rPr>
        <w:t xml:space="preserve"> regimen comparisons), its explicit stratification of infection outcomes by pre-specified severity definitions and timepoints, its pre-specified moderators including </w:t>
      </w:r>
      <w:proofErr w:type="spellStart"/>
      <w:r w:rsidRPr="00B87286">
        <w:rPr>
          <w:rFonts w:ascii="Helvetica" w:hAnsi="Helvetica"/>
        </w:rPr>
        <w:t>letermovir</w:t>
      </w:r>
      <w:proofErr w:type="spellEnd"/>
      <w:r w:rsidRPr="00B87286">
        <w:rPr>
          <w:rFonts w:ascii="Helvetica" w:hAnsi="Helvetica"/>
        </w:rPr>
        <w:t xml:space="preserve"> era and ATG dose category, its application of a unified Bayesian binomial-normal modeling framework with explicit prior sensitivity analysis, and its explicit handling of overlapping patient cohorts through pre-specified cohort-level deduplication rules.</w:t>
      </w:r>
    </w:p>
    <w:p w14:paraId="2A33C0C7" w14:textId="77777777" w:rsidR="00BF0F7A" w:rsidRPr="00B87286" w:rsidRDefault="00000000">
      <w:pPr>
        <w:pStyle w:val="Heading2"/>
        <w:rPr>
          <w:rFonts w:ascii="Helvetica" w:hAnsi="Helvetica"/>
        </w:rPr>
      </w:pPr>
      <w:r w:rsidRPr="00B87286">
        <w:rPr>
          <w:rFonts w:ascii="Helvetica" w:hAnsi="Helvetica"/>
        </w:rPr>
        <w:t>5.6 Current review status</w:t>
      </w:r>
    </w:p>
    <w:p w14:paraId="1E776B3C" w14:textId="77777777" w:rsidR="00BF0F7A" w:rsidRPr="00B87286" w:rsidRDefault="00000000">
      <w:pPr>
        <w:spacing w:after="120"/>
        <w:rPr>
          <w:rFonts w:ascii="Helvetica" w:hAnsi="Helvetica"/>
        </w:rPr>
      </w:pPr>
      <w:r w:rsidRPr="00B87286">
        <w:rPr>
          <w:rFonts w:ascii="Helvetica" w:hAnsi="Helvetica"/>
        </w:rPr>
        <w:t>Protocol development. Preliminary (exploratory) literature search has been completed to inform protocol design. Formal database searches, screening, and extraction have not yet commenced.</w:t>
      </w:r>
    </w:p>
    <w:p w14:paraId="6659A793" w14:textId="77777777" w:rsidR="00BF0F7A" w:rsidRPr="00B87286" w:rsidRDefault="00000000">
      <w:pPr>
        <w:pStyle w:val="Heading2"/>
        <w:rPr>
          <w:rFonts w:ascii="Helvetica" w:hAnsi="Helvetica"/>
        </w:rPr>
      </w:pPr>
      <w:r w:rsidRPr="00B87286">
        <w:rPr>
          <w:rFonts w:ascii="Helvetica" w:hAnsi="Helvetica"/>
        </w:rPr>
        <w:t>5.7 Protocol amendments</w:t>
      </w:r>
    </w:p>
    <w:p w14:paraId="187E96E2" w14:textId="77777777" w:rsidR="00BF0F7A" w:rsidRPr="00B87286" w:rsidRDefault="00000000">
      <w:pPr>
        <w:spacing w:after="120"/>
        <w:rPr>
          <w:rFonts w:ascii="Helvetica" w:hAnsi="Helvetica"/>
        </w:rPr>
      </w:pPr>
      <w:r w:rsidRPr="00B87286">
        <w:rPr>
          <w:rFonts w:ascii="Helvetica" w:hAnsi="Helvetica"/>
        </w:rPr>
        <w:t xml:space="preserve">Any amendments to this protocol </w:t>
      </w:r>
      <w:proofErr w:type="gramStart"/>
      <w:r w:rsidRPr="00B87286">
        <w:rPr>
          <w:rFonts w:ascii="Helvetica" w:hAnsi="Helvetica"/>
        </w:rPr>
        <w:t>subsequent to</w:t>
      </w:r>
      <w:proofErr w:type="gramEnd"/>
      <w:r w:rsidRPr="00B87286">
        <w:rPr>
          <w:rFonts w:ascii="Helvetica" w:hAnsi="Helvetica"/>
        </w:rPr>
        <w:t xml:space="preserve"> PROSPERO registration will be documented in a protocol amendment log with rationale and date of change. Amendments will be notified to PROSPERO and described transparently in the final publication.</w:t>
      </w:r>
    </w:p>
    <w:p w14:paraId="4B6F25D5" w14:textId="77777777" w:rsidR="00BF0F7A" w:rsidRPr="00B87286" w:rsidRDefault="00000000">
      <w:pPr>
        <w:pStyle w:val="Heading1"/>
        <w:rPr>
          <w:rFonts w:ascii="Helvetica" w:hAnsi="Helvetica"/>
        </w:rPr>
      </w:pPr>
      <w:r w:rsidRPr="00B87286">
        <w:rPr>
          <w:rFonts w:ascii="Helvetica" w:hAnsi="Helvetica"/>
        </w:rPr>
        <w:t>Appendix A — Summary of Locked Protocol Decisions</w:t>
      </w:r>
    </w:p>
    <w:p w14:paraId="020B2C08" w14:textId="77777777" w:rsidR="00BF0F7A" w:rsidRPr="00B87286" w:rsidRDefault="00000000">
      <w:pPr>
        <w:spacing w:after="120"/>
        <w:rPr>
          <w:rFonts w:ascii="Helvetica" w:hAnsi="Helvetica"/>
        </w:rPr>
      </w:pPr>
      <w:r w:rsidRPr="00B87286">
        <w:rPr>
          <w:rFonts w:ascii="Helvetica" w:hAnsi="Helvetica"/>
          <w:i/>
          <w:iCs/>
        </w:rPr>
        <w:t>The following decisions have been locked through iterative discussion between the lead and co-lead reviewers prior to PROSPERO registration. These are listed for transparency and will be held invariant unless formally amended.</w:t>
      </w:r>
    </w:p>
    <w:p w14:paraId="01A4E59C" w14:textId="77777777" w:rsidR="00BF0F7A" w:rsidRPr="00B87286" w:rsidRDefault="00000000">
      <w:pPr>
        <w:pStyle w:val="Heading3"/>
        <w:rPr>
          <w:rFonts w:ascii="Helvetica" w:hAnsi="Helvetica"/>
        </w:rPr>
      </w:pPr>
      <w:r w:rsidRPr="00B87286">
        <w:rPr>
          <w:rFonts w:ascii="Helvetica" w:hAnsi="Helvetica"/>
        </w:rPr>
        <w:t>A.1 Population and inclusion</w:t>
      </w:r>
    </w:p>
    <w:p w14:paraId="2E0935B7"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Adults ≥18 years, hematologic malignancies and severe aplastic anemia, first allogeneic HCT only, minimum 20 per arm</w:t>
      </w:r>
    </w:p>
    <w:p w14:paraId="325E861E" w14:textId="77777777" w:rsidR="00BF0F7A" w:rsidRPr="00B87286" w:rsidRDefault="00000000">
      <w:pPr>
        <w:pStyle w:val="Heading3"/>
        <w:rPr>
          <w:rFonts w:ascii="Helvetica" w:hAnsi="Helvetica"/>
        </w:rPr>
      </w:pPr>
      <w:r w:rsidRPr="00B87286">
        <w:rPr>
          <w:rFonts w:ascii="Helvetica" w:hAnsi="Helvetica"/>
        </w:rPr>
        <w:t>A.2 Primary pairwise comparisons</w:t>
      </w:r>
    </w:p>
    <w:p w14:paraId="6F4BEF0F"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lastRenderedPageBreak/>
        <w:t xml:space="preserve">Comparison 1: </w:t>
      </w:r>
      <w:proofErr w:type="spellStart"/>
      <w:r w:rsidRPr="00B87286">
        <w:rPr>
          <w:rFonts w:ascii="Helvetica" w:hAnsi="Helvetica"/>
        </w:rPr>
        <w:t>PTCy</w:t>
      </w:r>
      <w:proofErr w:type="spellEnd"/>
      <w:r w:rsidRPr="00B87286">
        <w:rPr>
          <w:rFonts w:ascii="Helvetica" w:hAnsi="Helvetica"/>
        </w:rPr>
        <w:t xml:space="preserve"> ± CNI/MMF vs CNI + MTX/MMF (no ATG, no T-cell depletion)</w:t>
      </w:r>
    </w:p>
    <w:p w14:paraId="4F1EFB33"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Comparison 2: </w:t>
      </w:r>
      <w:proofErr w:type="spellStart"/>
      <w:r w:rsidRPr="00B87286">
        <w:rPr>
          <w:rFonts w:ascii="Helvetica" w:hAnsi="Helvetica"/>
        </w:rPr>
        <w:t>PTCy</w:t>
      </w:r>
      <w:proofErr w:type="spellEnd"/>
      <w:r w:rsidRPr="00B87286">
        <w:rPr>
          <w:rFonts w:ascii="Helvetica" w:hAnsi="Helvetica"/>
        </w:rPr>
        <w:t xml:space="preserve"> ± CNI/MMF vs ATG-based regimens</w:t>
      </w:r>
    </w:p>
    <w:p w14:paraId="7297AAD1"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Comparison 3 (regimen optimization): within-</w:t>
      </w:r>
      <w:proofErr w:type="spellStart"/>
      <w:r w:rsidRPr="00B87286">
        <w:rPr>
          <w:rFonts w:ascii="Helvetica" w:hAnsi="Helvetica"/>
        </w:rPr>
        <w:t>PTCy</w:t>
      </w:r>
      <w:proofErr w:type="spellEnd"/>
      <w:r w:rsidRPr="00B87286">
        <w:rPr>
          <w:rFonts w:ascii="Helvetica" w:hAnsi="Helvetica"/>
        </w:rPr>
        <w:t xml:space="preserve"> dose/regimen variants, including </w:t>
      </w:r>
      <w:proofErr w:type="spellStart"/>
      <w:r w:rsidRPr="00B87286">
        <w:rPr>
          <w:rFonts w:ascii="Helvetica" w:hAnsi="Helvetica"/>
        </w:rPr>
        <w:t>PTCy</w:t>
      </w:r>
      <w:proofErr w:type="spellEnd"/>
      <w:r w:rsidRPr="00B87286">
        <w:rPr>
          <w:rFonts w:ascii="Helvetica" w:hAnsi="Helvetica"/>
        </w:rPr>
        <w:t xml:space="preserve"> + ATG combinations</w:t>
      </w:r>
    </w:p>
    <w:p w14:paraId="3F810538" w14:textId="77777777" w:rsidR="00BF0F7A" w:rsidRPr="00B87286" w:rsidRDefault="00000000">
      <w:pPr>
        <w:pStyle w:val="Heading3"/>
        <w:rPr>
          <w:rFonts w:ascii="Helvetica" w:hAnsi="Helvetica"/>
        </w:rPr>
      </w:pPr>
      <w:r w:rsidRPr="00B87286">
        <w:rPr>
          <w:rFonts w:ascii="Helvetica" w:hAnsi="Helvetica"/>
        </w:rPr>
        <w:t>A.3 Primary outcome timepoints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F0F7A" w:rsidRPr="00B87286" w14:paraId="6D679A48"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3B20165" w14:textId="77777777" w:rsidR="00BF0F7A" w:rsidRPr="00B87286" w:rsidRDefault="00000000">
            <w:pPr>
              <w:rPr>
                <w:rFonts w:ascii="Helvetica" w:hAnsi="Helvetica"/>
              </w:rPr>
            </w:pPr>
            <w:r w:rsidRPr="00B87286">
              <w:rPr>
                <w:rFonts w:ascii="Helvetica" w:hAnsi="Helvetica"/>
                <w:b/>
                <w:bCs/>
              </w:rPr>
              <w:t>Outcome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EEC678A" w14:textId="77777777" w:rsidR="00BF0F7A" w:rsidRPr="00B87286" w:rsidRDefault="00000000">
            <w:pPr>
              <w:rPr>
                <w:rFonts w:ascii="Helvetica" w:hAnsi="Helvetica"/>
              </w:rPr>
            </w:pPr>
            <w:r w:rsidRPr="00B87286">
              <w:rPr>
                <w:rFonts w:ascii="Helvetica" w:hAnsi="Helvetica"/>
                <w:b/>
                <w:bCs/>
              </w:rPr>
              <w:t>Primary timepoint</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E4D0FE4" w14:textId="77777777" w:rsidR="00BF0F7A" w:rsidRPr="00B87286" w:rsidRDefault="00000000">
            <w:pPr>
              <w:rPr>
                <w:rFonts w:ascii="Helvetica" w:hAnsi="Helvetica"/>
              </w:rPr>
            </w:pPr>
            <w:r w:rsidRPr="00B87286">
              <w:rPr>
                <w:rFonts w:ascii="Helvetica" w:hAnsi="Helvetica"/>
                <w:b/>
                <w:bCs/>
              </w:rPr>
              <w:t>Secondary timepoint</w:t>
            </w:r>
          </w:p>
        </w:tc>
      </w:tr>
      <w:tr w:rsidR="00BF0F7A" w:rsidRPr="00B87286" w14:paraId="4DAA34D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96B11F" w14:textId="77777777" w:rsidR="00BF0F7A" w:rsidRPr="00B87286" w:rsidRDefault="00000000">
            <w:pPr>
              <w:rPr>
                <w:rFonts w:ascii="Helvetica" w:hAnsi="Helvetica"/>
              </w:rPr>
            </w:pPr>
            <w:r w:rsidRPr="00B87286">
              <w:rPr>
                <w:rFonts w:ascii="Helvetica" w:hAnsi="Helvetica"/>
              </w:rPr>
              <w:t>BSI (any pathogen)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15BA91" w14:textId="77777777" w:rsidR="00BF0F7A" w:rsidRPr="00B87286" w:rsidRDefault="00000000">
            <w:pPr>
              <w:rPr>
                <w:rFonts w:ascii="Helvetica" w:hAnsi="Helvetica"/>
              </w:rPr>
            </w:pPr>
            <w:r w:rsidRPr="00B87286">
              <w:rPr>
                <w:rFonts w:ascii="Helvetica" w:hAnsi="Helvetica"/>
              </w:rPr>
              <w:t>Day +30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A33161" w14:textId="77777777" w:rsidR="00BF0F7A" w:rsidRPr="00B87286" w:rsidRDefault="00000000">
            <w:pPr>
              <w:rPr>
                <w:rFonts w:ascii="Helvetica" w:hAnsi="Helvetica"/>
              </w:rPr>
            </w:pPr>
            <w:r w:rsidRPr="00B87286">
              <w:rPr>
                <w:rFonts w:ascii="Helvetica" w:hAnsi="Helvetica"/>
              </w:rPr>
              <w:t>Day +100</w:t>
            </w:r>
          </w:p>
        </w:tc>
      </w:tr>
      <w:tr w:rsidR="00BF0F7A" w:rsidRPr="00B87286" w14:paraId="165372A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BB38AA" w14:textId="77777777" w:rsidR="00BF0F7A" w:rsidRPr="00B87286" w:rsidRDefault="00000000">
            <w:pPr>
              <w:rPr>
                <w:rFonts w:ascii="Helvetica" w:hAnsi="Helvetica"/>
              </w:rPr>
            </w:pPr>
            <w:r w:rsidRPr="00B87286">
              <w:rPr>
                <w:rFonts w:ascii="Helvetica" w:hAnsi="Helvetica"/>
              </w:rPr>
              <w:t>CMV reactivation (any)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798994" w14:textId="77777777" w:rsidR="00BF0F7A" w:rsidRPr="00B87286" w:rsidRDefault="00000000">
            <w:pPr>
              <w:rPr>
                <w:rFonts w:ascii="Helvetica" w:hAnsi="Helvetica"/>
              </w:rPr>
            </w:pPr>
            <w:r w:rsidRPr="00B87286">
              <w:rPr>
                <w:rFonts w:ascii="Helvetica" w:hAnsi="Helvetica"/>
              </w:rPr>
              <w:t>Day +100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FD8F8" w14:textId="77777777" w:rsidR="00BF0F7A" w:rsidRPr="00B87286" w:rsidRDefault="00000000">
            <w:pPr>
              <w:rPr>
                <w:rFonts w:ascii="Helvetica" w:hAnsi="Helvetica"/>
              </w:rPr>
            </w:pPr>
            <w:r w:rsidRPr="00B87286">
              <w:rPr>
                <w:rFonts w:ascii="Helvetica" w:hAnsi="Helvetica"/>
              </w:rPr>
              <w:t>Day +180</w:t>
            </w:r>
          </w:p>
        </w:tc>
      </w:tr>
      <w:tr w:rsidR="00BF0F7A" w:rsidRPr="00B87286" w14:paraId="18D1541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61E189" w14:textId="77777777" w:rsidR="00BF0F7A" w:rsidRPr="00B87286" w:rsidRDefault="00000000">
            <w:pPr>
              <w:rPr>
                <w:rFonts w:ascii="Helvetica" w:hAnsi="Helvetica"/>
              </w:rPr>
            </w:pPr>
            <w:r w:rsidRPr="00B87286">
              <w:rPr>
                <w:rFonts w:ascii="Helvetica" w:hAnsi="Helvetica"/>
              </w:rPr>
              <w:t>Invasive mold disease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60416" w14:textId="77777777" w:rsidR="00BF0F7A" w:rsidRPr="00B87286" w:rsidRDefault="00000000">
            <w:pPr>
              <w:rPr>
                <w:rFonts w:ascii="Helvetica" w:hAnsi="Helvetica"/>
              </w:rPr>
            </w:pPr>
            <w:r w:rsidRPr="00B87286">
              <w:rPr>
                <w:rFonts w:ascii="Helvetica" w:hAnsi="Helvetica"/>
              </w:rPr>
              <w:t>Day +180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78620" w14:textId="77777777" w:rsidR="00BF0F7A" w:rsidRPr="00B87286" w:rsidRDefault="00000000">
            <w:pPr>
              <w:rPr>
                <w:rFonts w:ascii="Helvetica" w:hAnsi="Helvetica"/>
              </w:rPr>
            </w:pPr>
            <w:r w:rsidRPr="00B87286">
              <w:rPr>
                <w:rFonts w:ascii="Helvetica" w:hAnsi="Helvetica"/>
              </w:rPr>
              <w:t>1 year</w:t>
            </w:r>
          </w:p>
        </w:tc>
      </w:tr>
      <w:tr w:rsidR="00BF0F7A" w:rsidRPr="00B87286" w14:paraId="23350EC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2CCDE" w14:textId="77777777" w:rsidR="00BF0F7A" w:rsidRPr="00B87286" w:rsidRDefault="00000000">
            <w:pPr>
              <w:rPr>
                <w:rFonts w:ascii="Helvetica" w:hAnsi="Helvetica"/>
              </w:rPr>
            </w:pPr>
            <w:r w:rsidRPr="00B87286">
              <w:rPr>
                <w:rFonts w:ascii="Helvetica" w:hAnsi="Helvetica"/>
              </w:rPr>
              <w:t>Invasive yeast disease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A3F6E" w14:textId="77777777" w:rsidR="00BF0F7A" w:rsidRPr="00B87286" w:rsidRDefault="00000000">
            <w:pPr>
              <w:rPr>
                <w:rFonts w:ascii="Helvetica" w:hAnsi="Helvetica"/>
              </w:rPr>
            </w:pPr>
            <w:r w:rsidRPr="00B87286">
              <w:rPr>
                <w:rFonts w:ascii="Helvetica" w:hAnsi="Helvetica"/>
              </w:rPr>
              <w:t>Day +180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F0568C" w14:textId="77777777" w:rsidR="00BF0F7A" w:rsidRPr="00B87286" w:rsidRDefault="00000000">
            <w:pPr>
              <w:rPr>
                <w:rFonts w:ascii="Helvetica" w:hAnsi="Helvetica"/>
              </w:rPr>
            </w:pPr>
            <w:r w:rsidRPr="00B87286">
              <w:rPr>
                <w:rFonts w:ascii="Helvetica" w:hAnsi="Helvetica"/>
              </w:rPr>
              <w:t>1 year</w:t>
            </w:r>
          </w:p>
        </w:tc>
      </w:tr>
      <w:tr w:rsidR="00BF0F7A" w:rsidRPr="00B87286" w14:paraId="5862D8A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85B56D" w14:textId="77777777" w:rsidR="00BF0F7A" w:rsidRPr="00B87286" w:rsidRDefault="00000000">
            <w:pPr>
              <w:rPr>
                <w:rFonts w:ascii="Helvetica" w:hAnsi="Helvetica"/>
              </w:rPr>
            </w:pPr>
            <w:r w:rsidRPr="00B87286">
              <w:rPr>
                <w:rFonts w:ascii="Helvetica" w:hAnsi="Helvetica"/>
              </w:rPr>
              <w:t>Infection-related mortality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8DE01A" w14:textId="77777777" w:rsidR="00BF0F7A" w:rsidRPr="00B87286" w:rsidRDefault="00000000">
            <w:pPr>
              <w:rPr>
                <w:rFonts w:ascii="Helvetica" w:hAnsi="Helvetica"/>
              </w:rPr>
            </w:pPr>
            <w:r w:rsidRPr="00B87286">
              <w:rPr>
                <w:rFonts w:ascii="Helvetica" w:hAnsi="Helvetica"/>
              </w:rPr>
              <w:t>1 year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DB268E" w14:textId="77777777" w:rsidR="00BF0F7A" w:rsidRPr="00B87286" w:rsidRDefault="00000000">
            <w:pPr>
              <w:rPr>
                <w:rFonts w:ascii="Helvetica" w:hAnsi="Helvetica"/>
              </w:rPr>
            </w:pPr>
            <w:r w:rsidRPr="00B87286">
              <w:rPr>
                <w:rFonts w:ascii="Helvetica" w:hAnsi="Helvetica"/>
              </w:rPr>
              <w:t>Day +100</w:t>
            </w:r>
          </w:p>
        </w:tc>
      </w:tr>
      <w:tr w:rsidR="00BF0F7A" w:rsidRPr="00B87286" w14:paraId="148EE18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E2195" w14:textId="77777777" w:rsidR="00BF0F7A" w:rsidRPr="00B87286" w:rsidRDefault="00000000">
            <w:pPr>
              <w:rPr>
                <w:rFonts w:ascii="Helvetica" w:hAnsi="Helvetica"/>
              </w:rPr>
            </w:pPr>
            <w:r w:rsidRPr="00B87286">
              <w:rPr>
                <w:rFonts w:ascii="Helvetica" w:hAnsi="Helvetica"/>
              </w:rPr>
              <w:t>Non-relapse mortality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B43B2" w14:textId="77777777" w:rsidR="00BF0F7A" w:rsidRPr="00B87286" w:rsidRDefault="00000000">
            <w:pPr>
              <w:rPr>
                <w:rFonts w:ascii="Helvetica" w:hAnsi="Helvetica"/>
              </w:rPr>
            </w:pPr>
            <w:r w:rsidRPr="00B87286">
              <w:rPr>
                <w:rFonts w:ascii="Helvetica" w:hAnsi="Helvetica"/>
              </w:rPr>
              <w:t>1 year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0D316" w14:textId="77777777" w:rsidR="00BF0F7A" w:rsidRPr="00B87286" w:rsidRDefault="00000000">
            <w:pPr>
              <w:rPr>
                <w:rFonts w:ascii="Helvetica" w:hAnsi="Helvetica"/>
              </w:rPr>
            </w:pPr>
            <w:r w:rsidRPr="00B87286">
              <w:rPr>
                <w:rFonts w:ascii="Helvetica" w:hAnsi="Helvetica"/>
              </w:rPr>
              <w:t>Day +100</w:t>
            </w:r>
          </w:p>
        </w:tc>
      </w:tr>
    </w:tbl>
    <w:p w14:paraId="486E355B" w14:textId="77777777" w:rsidR="00BF0F7A" w:rsidRPr="00B87286" w:rsidRDefault="00BF0F7A">
      <w:pPr>
        <w:spacing w:after="120"/>
        <w:rPr>
          <w:rFonts w:ascii="Helvetica" w:hAnsi="Helvetica"/>
        </w:rPr>
      </w:pPr>
    </w:p>
    <w:p w14:paraId="4701CAEF" w14:textId="77777777" w:rsidR="00BF0F7A" w:rsidRPr="00B87286" w:rsidRDefault="00000000">
      <w:pPr>
        <w:pStyle w:val="Heading3"/>
        <w:rPr>
          <w:rFonts w:ascii="Helvetica" w:hAnsi="Helvetica"/>
        </w:rPr>
      </w:pPr>
      <w:r w:rsidRPr="00B87286">
        <w:rPr>
          <w:rFonts w:ascii="Helvetica" w:hAnsi="Helvetica"/>
        </w:rPr>
        <w:t>A.4 Effect measure and priors</w:t>
      </w:r>
    </w:p>
    <w:p w14:paraId="2AD31BBA"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Primary effect measure: log odds ratio from Bayesian binomial-normal model (brms), with risk ratio and risk difference derived post-hoc from posterior arm-level probabilities</w:t>
      </w:r>
    </w:p>
    <w:p w14:paraId="7FDB6D6E"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Prior on β (log-OR): </w:t>
      </w:r>
      <w:proofErr w:type="gramStart"/>
      <w:r w:rsidRPr="00B87286">
        <w:rPr>
          <w:rFonts w:ascii="Helvetica" w:hAnsi="Helvetica"/>
        </w:rPr>
        <w:t>N(</w:t>
      </w:r>
      <w:proofErr w:type="gramEnd"/>
      <w:r w:rsidRPr="00B87286">
        <w:rPr>
          <w:rFonts w:ascii="Helvetica" w:hAnsi="Helvetica"/>
        </w:rPr>
        <w:t>0, 1.5) — weakly informative</w:t>
      </w:r>
    </w:p>
    <w:p w14:paraId="2002246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Prior on τ: half-</w:t>
      </w:r>
      <w:proofErr w:type="gramStart"/>
      <w:r w:rsidRPr="00B87286">
        <w:rPr>
          <w:rFonts w:ascii="Helvetica" w:hAnsi="Helvetica"/>
        </w:rPr>
        <w:t>Normal(</w:t>
      </w:r>
      <w:proofErr w:type="gramEnd"/>
      <w:r w:rsidRPr="00B87286">
        <w:rPr>
          <w:rFonts w:ascii="Helvetica" w:hAnsi="Helvetica"/>
        </w:rPr>
        <w:t>0, 0.5) primary; half-</w:t>
      </w:r>
      <w:proofErr w:type="gramStart"/>
      <w:r w:rsidRPr="00B87286">
        <w:rPr>
          <w:rFonts w:ascii="Helvetica" w:hAnsi="Helvetica"/>
        </w:rPr>
        <w:t>Cauchy(</w:t>
      </w:r>
      <w:proofErr w:type="gramEnd"/>
      <w:r w:rsidRPr="00B87286">
        <w:rPr>
          <w:rFonts w:ascii="Helvetica" w:hAnsi="Helvetica"/>
        </w:rPr>
        <w:t>0, 0.5) and half-</w:t>
      </w:r>
      <w:proofErr w:type="gramStart"/>
      <w:r w:rsidRPr="00B87286">
        <w:rPr>
          <w:rFonts w:ascii="Helvetica" w:hAnsi="Helvetica"/>
        </w:rPr>
        <w:t>Normal(</w:t>
      </w:r>
      <w:proofErr w:type="gramEnd"/>
      <w:r w:rsidRPr="00B87286">
        <w:rPr>
          <w:rFonts w:ascii="Helvetica" w:hAnsi="Helvetica"/>
        </w:rPr>
        <w:t>0, 1.0) as prior sensitivity</w:t>
      </w:r>
    </w:p>
    <w:p w14:paraId="0D3A43AE" w14:textId="77777777" w:rsidR="00BF0F7A" w:rsidRPr="00B87286" w:rsidRDefault="00000000">
      <w:pPr>
        <w:pStyle w:val="Heading3"/>
        <w:rPr>
          <w:rFonts w:ascii="Helvetica" w:hAnsi="Helvetica"/>
        </w:rPr>
      </w:pPr>
      <w:r w:rsidRPr="00B87286">
        <w:rPr>
          <w:rFonts w:ascii="Helvetica" w:hAnsi="Helvetica"/>
        </w:rPr>
        <w:t xml:space="preserve">A.5 </w:t>
      </w:r>
      <w:proofErr w:type="gramStart"/>
      <w:r w:rsidRPr="00B87286">
        <w:rPr>
          <w:rFonts w:ascii="Helvetica" w:hAnsi="Helvetica"/>
        </w:rPr>
        <w:t>Pre-specified</w:t>
      </w:r>
      <w:proofErr w:type="gramEnd"/>
      <w:r w:rsidRPr="00B87286">
        <w:rPr>
          <w:rFonts w:ascii="Helvetica" w:hAnsi="Helvetica"/>
        </w:rPr>
        <w:t xml:space="preserve"> moderators</w:t>
      </w:r>
    </w:p>
    <w:p w14:paraId="0F4324A9" w14:textId="77777777" w:rsidR="00BF0F7A" w:rsidRPr="00B87286" w:rsidRDefault="00000000">
      <w:pPr>
        <w:spacing w:after="120"/>
        <w:rPr>
          <w:rFonts w:ascii="Helvetica" w:hAnsi="Helvetica"/>
        </w:rPr>
      </w:pPr>
      <w:r w:rsidRPr="00B87286">
        <w:rPr>
          <w:rFonts w:ascii="Helvetica" w:hAnsi="Helvetica"/>
        </w:rPr>
        <w:t xml:space="preserve">Donor type; graft source; conditioning intensity; </w:t>
      </w:r>
      <w:proofErr w:type="spellStart"/>
      <w:r w:rsidRPr="00B87286">
        <w:rPr>
          <w:rFonts w:ascii="Helvetica" w:hAnsi="Helvetica"/>
        </w:rPr>
        <w:t>letermovir</w:t>
      </w:r>
      <w:proofErr w:type="spellEnd"/>
      <w:r w:rsidRPr="00B87286">
        <w:rPr>
          <w:rFonts w:ascii="Helvetica" w:hAnsi="Helvetica"/>
        </w:rPr>
        <w:t xml:space="preserve"> era and use (CMV); </w:t>
      </w:r>
      <w:proofErr w:type="spellStart"/>
      <w:r w:rsidRPr="00B87286">
        <w:rPr>
          <w:rFonts w:ascii="Helvetica" w:hAnsi="Helvetica"/>
        </w:rPr>
        <w:t>antimold</w:t>
      </w:r>
      <w:proofErr w:type="spellEnd"/>
      <w:r w:rsidRPr="00B87286">
        <w:rPr>
          <w:rFonts w:ascii="Helvetica" w:hAnsi="Helvetica"/>
        </w:rPr>
        <w:t xml:space="preserve"> prophylaxis regimen (IFI); </w:t>
      </w:r>
      <w:proofErr w:type="spellStart"/>
      <w:r w:rsidRPr="00B87286">
        <w:rPr>
          <w:rFonts w:ascii="Helvetica" w:hAnsi="Helvetica"/>
        </w:rPr>
        <w:t>PTCy</w:t>
      </w:r>
      <w:proofErr w:type="spellEnd"/>
      <w:r w:rsidRPr="00B87286">
        <w:rPr>
          <w:rFonts w:ascii="Helvetica" w:hAnsi="Helvetica"/>
        </w:rPr>
        <w:t xml:space="preserve"> dose; CMV serostatus distribution; publication era; region; ATG dose category (pending final decision at protocol finalization).</w:t>
      </w:r>
    </w:p>
    <w:p w14:paraId="1DE20E96" w14:textId="77777777" w:rsidR="00BF0F7A" w:rsidRPr="00B87286" w:rsidRDefault="00000000">
      <w:pPr>
        <w:pStyle w:val="Heading3"/>
        <w:rPr>
          <w:rFonts w:ascii="Helvetica" w:hAnsi="Helvetica"/>
        </w:rPr>
      </w:pPr>
      <w:r w:rsidRPr="00B87286">
        <w:rPr>
          <w:rFonts w:ascii="Helvetica" w:hAnsi="Helvetica"/>
        </w:rPr>
        <w:t>A.6 Cohort overlap rule</w:t>
      </w:r>
    </w:p>
    <w:p w14:paraId="045643E6" w14:textId="77777777" w:rsidR="00BF0F7A" w:rsidRPr="00B87286" w:rsidRDefault="00000000">
      <w:pPr>
        <w:spacing w:after="120"/>
        <w:rPr>
          <w:rFonts w:ascii="Helvetica" w:hAnsi="Helvetica"/>
        </w:rPr>
      </w:pPr>
      <w:r w:rsidRPr="00B87286">
        <w:rPr>
          <w:rFonts w:ascii="Helvetica" w:hAnsi="Helvetica"/>
        </w:rPr>
        <w:t>One publication per cohort per outcome, chosen as the most complete or recent. Remaining publications from the same cohort are tagged as overlapping and excluded from the primary synthesis but retained for sensitivity analysis.</w:t>
      </w:r>
    </w:p>
    <w:p w14:paraId="7C7772E4" w14:textId="77777777" w:rsidR="00BF0F7A" w:rsidRPr="00B87286" w:rsidRDefault="00000000">
      <w:pPr>
        <w:pStyle w:val="Heading3"/>
        <w:rPr>
          <w:rFonts w:ascii="Helvetica" w:hAnsi="Helvetica"/>
        </w:rPr>
      </w:pPr>
      <w:r w:rsidRPr="00B87286">
        <w:rPr>
          <w:rFonts w:ascii="Helvetica" w:hAnsi="Helvetica"/>
        </w:rPr>
        <w:t>A.7 Overlap mapping (pre-specified)</w:t>
      </w:r>
    </w:p>
    <w:p w14:paraId="0D7F98B5"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CIBMTR </w:t>
      </w:r>
      <w:proofErr w:type="spellStart"/>
      <w:r w:rsidRPr="00B87286">
        <w:rPr>
          <w:rFonts w:ascii="Helvetica" w:hAnsi="Helvetica"/>
        </w:rPr>
        <w:t>HaploCy</w:t>
      </w:r>
      <w:proofErr w:type="spellEnd"/>
      <w:r w:rsidRPr="00B87286">
        <w:rPr>
          <w:rFonts w:ascii="Helvetica" w:hAnsi="Helvetica"/>
        </w:rPr>
        <w:t>/</w:t>
      </w:r>
      <w:proofErr w:type="spellStart"/>
      <w:r w:rsidRPr="00B87286">
        <w:rPr>
          <w:rFonts w:ascii="Helvetica" w:hAnsi="Helvetica"/>
        </w:rPr>
        <w:t>SibCy</w:t>
      </w:r>
      <w:proofErr w:type="spellEnd"/>
      <w:r w:rsidRPr="00B87286">
        <w:rPr>
          <w:rFonts w:ascii="Helvetica" w:hAnsi="Helvetica"/>
        </w:rPr>
        <w:t>/</w:t>
      </w:r>
      <w:proofErr w:type="spellStart"/>
      <w:r w:rsidRPr="00B87286">
        <w:rPr>
          <w:rFonts w:ascii="Helvetica" w:hAnsi="Helvetica"/>
        </w:rPr>
        <w:t>SibCNI</w:t>
      </w:r>
      <w:proofErr w:type="spellEnd"/>
      <w:r w:rsidRPr="00B87286">
        <w:rPr>
          <w:rFonts w:ascii="Helvetica" w:hAnsi="Helvetica"/>
        </w:rPr>
        <w:t xml:space="preserve"> cohort: Goldsmith 2021 (CMV primary), Singh 2021 (non-CMV herpesvirus), Papanicolaou 2023 (IFI), Mulroney 2021 and </w:t>
      </w:r>
      <w:proofErr w:type="spellStart"/>
      <w:r w:rsidRPr="00B87286">
        <w:rPr>
          <w:rFonts w:ascii="Helvetica" w:hAnsi="Helvetica"/>
        </w:rPr>
        <w:t>Taplitz</w:t>
      </w:r>
      <w:proofErr w:type="spellEnd"/>
      <w:r w:rsidRPr="00B87286">
        <w:rPr>
          <w:rFonts w:ascii="Helvetica" w:hAnsi="Helvetica"/>
        </w:rPr>
        <w:t xml:space="preserve"> 2020 (community respiratory viruses). All tagged with a single cohort identifier.</w:t>
      </w:r>
    </w:p>
    <w:p w14:paraId="7311FF3D"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BMT CTN 1703: Holtan 2022 primary; Abedin 2024 in age-subgroup sensitivity analysis only; Kean 2023 and Siegel 2025 (BMT CTN 1801 mechanistic </w:t>
      </w:r>
      <w:proofErr w:type="spellStart"/>
      <w:r w:rsidRPr="00B87286">
        <w:rPr>
          <w:rFonts w:ascii="Helvetica" w:hAnsi="Helvetica"/>
        </w:rPr>
        <w:t>substudies</w:t>
      </w:r>
      <w:proofErr w:type="spellEnd"/>
      <w:r w:rsidRPr="00B87286">
        <w:rPr>
          <w:rFonts w:ascii="Helvetica" w:hAnsi="Helvetica"/>
        </w:rPr>
        <w:t>) excluded from quantitative synthesis.</w:t>
      </w:r>
    </w:p>
    <w:p w14:paraId="1479BCCD"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EBMT ALWP cohorts (Battipaglia 2018 MMUD, Battipaglia 2019 MSD, </w:t>
      </w:r>
      <w:proofErr w:type="spellStart"/>
      <w:r w:rsidRPr="00B87286">
        <w:rPr>
          <w:rFonts w:ascii="Helvetica" w:hAnsi="Helvetica"/>
        </w:rPr>
        <w:t>Spyridonidis</w:t>
      </w:r>
      <w:proofErr w:type="spellEnd"/>
      <w:r w:rsidRPr="00B87286">
        <w:rPr>
          <w:rFonts w:ascii="Helvetica" w:hAnsi="Helvetica"/>
        </w:rPr>
        <w:t xml:space="preserve"> 2022 MUD, Nagler 2024, </w:t>
      </w:r>
      <w:proofErr w:type="spellStart"/>
      <w:r w:rsidRPr="00B87286">
        <w:rPr>
          <w:rFonts w:ascii="Helvetica" w:hAnsi="Helvetica"/>
        </w:rPr>
        <w:t>Paviglianiti</w:t>
      </w:r>
      <w:proofErr w:type="spellEnd"/>
      <w:r w:rsidRPr="00B87286">
        <w:rPr>
          <w:rFonts w:ascii="Helvetica" w:hAnsi="Helvetica"/>
        </w:rPr>
        <w:t xml:space="preserve"> 2022): accepted as separate cohorts only where donor stratum is verifiably non-overlapping.</w:t>
      </w:r>
    </w:p>
    <w:p w14:paraId="1D4CBEB2"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lastRenderedPageBreak/>
        <w:t xml:space="preserve">Moffitt cohort (Khimani 2021 / </w:t>
      </w:r>
      <w:proofErr w:type="spellStart"/>
      <w:r w:rsidRPr="00B87286">
        <w:rPr>
          <w:rFonts w:ascii="Helvetica" w:hAnsi="Helvetica"/>
        </w:rPr>
        <w:t>Ranspach</w:t>
      </w:r>
      <w:proofErr w:type="spellEnd"/>
      <w:r w:rsidRPr="00B87286">
        <w:rPr>
          <w:rFonts w:ascii="Helvetica" w:hAnsi="Helvetica"/>
        </w:rPr>
        <w:t xml:space="preserve"> 2020): Khimani 2021 primary.</w:t>
      </w:r>
    </w:p>
    <w:p w14:paraId="243C6B50" w14:textId="77777777" w:rsidR="00BF0F7A" w:rsidRPr="00B87286" w:rsidRDefault="00000000">
      <w:pPr>
        <w:pStyle w:val="ListParagraph"/>
        <w:numPr>
          <w:ilvl w:val="0"/>
          <w:numId w:val="2"/>
        </w:numPr>
        <w:spacing w:after="60"/>
        <w:rPr>
          <w:rFonts w:ascii="Helvetica" w:hAnsi="Helvetica"/>
        </w:rPr>
      </w:pPr>
      <w:r w:rsidRPr="00B87286">
        <w:rPr>
          <w:rFonts w:ascii="Helvetica" w:hAnsi="Helvetica"/>
        </w:rPr>
        <w:t xml:space="preserve">Hospital </w:t>
      </w:r>
      <w:proofErr w:type="spellStart"/>
      <w:r w:rsidRPr="00B87286">
        <w:rPr>
          <w:rFonts w:ascii="Helvetica" w:hAnsi="Helvetica"/>
        </w:rPr>
        <w:t>Clínic</w:t>
      </w:r>
      <w:proofErr w:type="spellEnd"/>
      <w:r w:rsidRPr="00B87286">
        <w:rPr>
          <w:rFonts w:ascii="Helvetica" w:hAnsi="Helvetica"/>
        </w:rPr>
        <w:t xml:space="preserve"> Barcelona series: Salas 2023 primary; earlier Salas entries (2022, 2022a, 2022b, 2022c) and related Charry 2021 and Pinto 2025 retained for sensitivity where outcomes differ.</w:t>
      </w:r>
    </w:p>
    <w:p w14:paraId="3CED9BD4" w14:textId="77777777" w:rsidR="00BF0F7A" w:rsidRPr="00B87286" w:rsidRDefault="00BF0F7A">
      <w:pPr>
        <w:spacing w:after="120"/>
        <w:rPr>
          <w:rFonts w:ascii="Helvetica" w:hAnsi="Helvetica"/>
        </w:rPr>
      </w:pPr>
    </w:p>
    <w:p w14:paraId="027FDD99" w14:textId="77777777" w:rsidR="00BF0F7A" w:rsidRPr="00B87286" w:rsidRDefault="00BF0F7A">
      <w:pPr>
        <w:spacing w:after="120"/>
        <w:rPr>
          <w:rFonts w:ascii="Helvetica" w:hAnsi="Helvetica"/>
        </w:rPr>
      </w:pPr>
    </w:p>
    <w:p w14:paraId="7E64F84A" w14:textId="77777777" w:rsidR="00BF0F7A" w:rsidRPr="00B87286" w:rsidRDefault="00000000">
      <w:pPr>
        <w:spacing w:before="240" w:after="200"/>
        <w:rPr>
          <w:rFonts w:ascii="Helvetica" w:hAnsi="Helvetica"/>
        </w:rPr>
      </w:pPr>
      <w:r w:rsidRPr="00B87286">
        <w:rPr>
          <w:rFonts w:ascii="Helvetica" w:hAnsi="Helvetica"/>
          <w:b/>
          <w:bCs/>
          <w:sz w:val="24"/>
          <w:szCs w:val="24"/>
        </w:rPr>
        <w:t>Protocol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F0F7A" w:rsidRPr="00B87286" w14:paraId="57CDEF99"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2963A8E" w14:textId="77777777" w:rsidR="00BF0F7A" w:rsidRPr="00B87286" w:rsidRDefault="00000000">
            <w:pPr>
              <w:rPr>
                <w:rFonts w:ascii="Helvetica" w:hAnsi="Helvetica"/>
              </w:rPr>
            </w:pPr>
            <w:r w:rsidRPr="00B87286">
              <w:rPr>
                <w:rFonts w:ascii="Helvetica" w:hAnsi="Helvetica"/>
                <w:b/>
                <w:bCs/>
              </w:rPr>
              <w:t>Role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85113CE" w14:textId="77777777" w:rsidR="00BF0F7A" w:rsidRPr="00B87286" w:rsidRDefault="00000000">
            <w:pPr>
              <w:rPr>
                <w:rFonts w:ascii="Helvetica" w:hAnsi="Helvetica"/>
              </w:rPr>
            </w:pPr>
            <w:r w:rsidRPr="00B87286">
              <w:rPr>
                <w:rFonts w:ascii="Helvetica" w:hAnsi="Helvetica"/>
                <w:b/>
                <w:bCs/>
              </w:rPr>
              <w:t>Name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971A4D9" w14:textId="77777777" w:rsidR="00BF0F7A" w:rsidRPr="00B87286" w:rsidRDefault="00000000">
            <w:pPr>
              <w:rPr>
                <w:rFonts w:ascii="Helvetica" w:hAnsi="Helvetica"/>
              </w:rPr>
            </w:pPr>
            <w:r w:rsidRPr="00B87286">
              <w:rPr>
                <w:rFonts w:ascii="Helvetica" w:hAnsi="Helvetica"/>
                <w:b/>
                <w:bCs/>
              </w:rPr>
              <w:t>Date / Signature</w:t>
            </w:r>
          </w:p>
        </w:tc>
      </w:tr>
      <w:tr w:rsidR="00BF0F7A" w:rsidRPr="00B87286" w14:paraId="67D822F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DA776" w14:textId="77777777" w:rsidR="00BF0F7A" w:rsidRPr="00B87286" w:rsidRDefault="00000000">
            <w:pPr>
              <w:rPr>
                <w:rFonts w:ascii="Helvetica" w:hAnsi="Helvetica"/>
              </w:rPr>
            </w:pPr>
            <w:r w:rsidRPr="00B87286">
              <w:rPr>
                <w:rFonts w:ascii="Helvetica" w:hAnsi="Helvetica"/>
              </w:rPr>
              <w:t>Lead reviewer (guarantor)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E1C68" w14:textId="1775715D" w:rsidR="00BF0F7A" w:rsidRPr="00B87286" w:rsidRDefault="00092613">
            <w:pPr>
              <w:rPr>
                <w:rFonts w:ascii="Helvetica" w:hAnsi="Helvetica"/>
              </w:rPr>
            </w:pPr>
            <w:r>
              <w:rPr>
                <w:rFonts w:ascii="Helvetica" w:hAnsi="Helvetica"/>
              </w:rPr>
              <w:t>Russell Lewis, Pharm.D.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480A4" w14:textId="1F07D7AF" w:rsidR="00BF0F7A" w:rsidRPr="00B87286" w:rsidRDefault="00000000">
            <w:pPr>
              <w:rPr>
                <w:rFonts w:ascii="Helvetica" w:hAnsi="Helvetica"/>
              </w:rPr>
            </w:pPr>
            <w:r w:rsidRPr="00B87286">
              <w:rPr>
                <w:rFonts w:ascii="Helvetica" w:hAnsi="Helvetica"/>
              </w:rPr>
              <w:t xml:space="preserve"> </w:t>
            </w:r>
            <w:r w:rsidR="00092613">
              <w:rPr>
                <w:rFonts w:ascii="Helvetica" w:hAnsi="Helvetica"/>
              </w:rPr>
              <w:t>17-04-2026</w:t>
            </w:r>
          </w:p>
        </w:tc>
      </w:tr>
      <w:tr w:rsidR="00BF0F7A" w:rsidRPr="00092613" w14:paraId="363CB4E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33713" w14:textId="77777777" w:rsidR="00BF0F7A" w:rsidRPr="00B87286" w:rsidRDefault="00000000">
            <w:pPr>
              <w:rPr>
                <w:rFonts w:ascii="Helvetica" w:hAnsi="Helvetica"/>
              </w:rPr>
            </w:pPr>
            <w:r w:rsidRPr="00B87286">
              <w:rPr>
                <w:rFonts w:ascii="Helvetica" w:hAnsi="Helvetica"/>
              </w:rPr>
              <w:t>Co-lead reviewer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4B4B7" w14:textId="2F456E20" w:rsidR="00BF0F7A" w:rsidRPr="00092613" w:rsidRDefault="00092613">
            <w:pPr>
              <w:rPr>
                <w:rFonts w:ascii="Helvetica" w:hAnsi="Helvetica"/>
                <w:lang w:val="it-IT"/>
              </w:rPr>
            </w:pPr>
            <w:r w:rsidRPr="00092613">
              <w:rPr>
                <w:rFonts w:ascii="Helvetica" w:hAnsi="Helvetica"/>
                <w:lang w:val="it-IT"/>
              </w:rPr>
              <w:t xml:space="preserve">Marta Stanzani, M.D., </w:t>
            </w:r>
            <w:proofErr w:type="spellStart"/>
            <w:r>
              <w:rPr>
                <w:rFonts w:ascii="Helvetica" w:hAnsi="Helvetica"/>
                <w:lang w:val="it-IT"/>
              </w:rPr>
              <w:t>Ph.D</w:t>
            </w:r>
            <w:proofErr w:type="spellEnd"/>
            <w:r>
              <w:rPr>
                <w:rFonts w:ascii="Helvetica" w:hAnsi="Helvetica"/>
                <w:lang w:val="it-IT"/>
              </w:rPr>
              <w:t>.</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3577AA" w14:textId="171713F0" w:rsidR="00BF0F7A" w:rsidRPr="00092613" w:rsidRDefault="00000000">
            <w:pPr>
              <w:rPr>
                <w:rFonts w:ascii="Helvetica" w:hAnsi="Helvetica"/>
                <w:lang w:val="it-IT"/>
              </w:rPr>
            </w:pPr>
            <w:r w:rsidRPr="00092613">
              <w:rPr>
                <w:rFonts w:ascii="Helvetica" w:hAnsi="Helvetica"/>
                <w:lang w:val="it-IT"/>
              </w:rPr>
              <w:t xml:space="preserve"> </w:t>
            </w:r>
            <w:r w:rsidR="00092613">
              <w:rPr>
                <w:rFonts w:ascii="Helvetica" w:hAnsi="Helvetica"/>
              </w:rPr>
              <w:t>17-04-2026</w:t>
            </w:r>
          </w:p>
        </w:tc>
      </w:tr>
    </w:tbl>
    <w:p w14:paraId="51F43EB5" w14:textId="77777777" w:rsidR="00BF0F7A" w:rsidRPr="00092613" w:rsidRDefault="00BF0F7A">
      <w:pPr>
        <w:spacing w:after="120"/>
        <w:rPr>
          <w:rFonts w:ascii="Helvetica" w:hAnsi="Helvetica"/>
          <w:lang w:val="it-IT"/>
        </w:rPr>
      </w:pPr>
    </w:p>
    <w:p w14:paraId="22168238" w14:textId="53AF30E8" w:rsidR="00BF0F7A" w:rsidRPr="00B87286" w:rsidRDefault="00000000">
      <w:pPr>
        <w:spacing w:before="400"/>
        <w:jc w:val="center"/>
        <w:rPr>
          <w:rFonts w:ascii="Helvetica" w:hAnsi="Helvetica"/>
        </w:rPr>
      </w:pPr>
      <w:r w:rsidRPr="00B87286">
        <w:rPr>
          <w:rFonts w:ascii="Helvetica" w:hAnsi="Helvetica"/>
          <w:i/>
          <w:iCs/>
          <w:color w:val="666666"/>
          <w:sz w:val="18"/>
          <w:szCs w:val="18"/>
        </w:rPr>
        <w:t xml:space="preserve">End of protocol — Version </w:t>
      </w:r>
      <w:r w:rsidR="00521F79">
        <w:rPr>
          <w:rFonts w:ascii="Helvetica" w:hAnsi="Helvetica"/>
          <w:i/>
          <w:iCs/>
          <w:color w:val="666666"/>
          <w:sz w:val="18"/>
          <w:szCs w:val="18"/>
        </w:rPr>
        <w:t>2</w:t>
      </w:r>
      <w:r w:rsidRPr="00B87286">
        <w:rPr>
          <w:rFonts w:ascii="Helvetica" w:hAnsi="Helvetica"/>
          <w:i/>
          <w:iCs/>
          <w:color w:val="666666"/>
          <w:sz w:val="18"/>
          <w:szCs w:val="18"/>
        </w:rPr>
        <w:t>.0 (Draft for review)</w:t>
      </w:r>
    </w:p>
    <w:p w14:paraId="3D221F3C" w14:textId="77777777" w:rsidR="00B87286" w:rsidRPr="00B87286" w:rsidRDefault="00B87286">
      <w:pPr>
        <w:spacing w:before="400"/>
        <w:jc w:val="center"/>
        <w:rPr>
          <w:rFonts w:ascii="Helvetica" w:hAnsi="Helvetica"/>
        </w:rPr>
      </w:pPr>
    </w:p>
    <w:sectPr w:rsidR="00B87286" w:rsidRPr="00B872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35217" w14:textId="77777777" w:rsidR="00346309" w:rsidRDefault="00346309">
      <w:r>
        <w:separator/>
      </w:r>
    </w:p>
  </w:endnote>
  <w:endnote w:type="continuationSeparator" w:id="0">
    <w:p w14:paraId="461810A0" w14:textId="77777777" w:rsidR="00346309" w:rsidRDefault="00346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B724" w14:textId="77777777" w:rsidR="00BF0F7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4182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4182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3BED3" w14:textId="77777777" w:rsidR="00346309" w:rsidRDefault="00346309">
      <w:r>
        <w:separator/>
      </w:r>
    </w:p>
  </w:footnote>
  <w:footnote w:type="continuationSeparator" w:id="0">
    <w:p w14:paraId="44DAEC58" w14:textId="77777777" w:rsidR="00346309" w:rsidRDefault="00346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DF16" w14:textId="428FC7DC" w:rsidR="00BF0F7A" w:rsidRPr="00B87286" w:rsidRDefault="00000000">
    <w:pPr>
      <w:jc w:val="right"/>
      <w:rPr>
        <w:lang w:val="it-IT"/>
      </w:rPr>
    </w:pPr>
    <w:proofErr w:type="spellStart"/>
    <w:r w:rsidRPr="00B87286">
      <w:rPr>
        <w:color w:val="808080"/>
        <w:sz w:val="18"/>
        <w:szCs w:val="18"/>
        <w:lang w:val="it-IT"/>
      </w:rPr>
      <w:t>PTCy</w:t>
    </w:r>
    <w:proofErr w:type="spellEnd"/>
    <w:r w:rsidRPr="00B87286">
      <w:rPr>
        <w:color w:val="808080"/>
        <w:sz w:val="18"/>
        <w:szCs w:val="18"/>
        <w:lang w:val="it-IT"/>
      </w:rPr>
      <w:t xml:space="preserve"> </w:t>
    </w:r>
    <w:proofErr w:type="spellStart"/>
    <w:r w:rsidRPr="00B87286">
      <w:rPr>
        <w:color w:val="808080"/>
        <w:sz w:val="18"/>
        <w:szCs w:val="18"/>
        <w:lang w:val="it-IT"/>
      </w:rPr>
      <w:t>Infection</w:t>
    </w:r>
    <w:proofErr w:type="spellEnd"/>
    <w:r w:rsidRPr="00B87286">
      <w:rPr>
        <w:color w:val="808080"/>
        <w:sz w:val="18"/>
        <w:szCs w:val="18"/>
        <w:lang w:val="it-IT"/>
      </w:rPr>
      <w:t xml:space="preserve"> MA — PROSPERO Protocol v</w:t>
    </w:r>
    <w:r w:rsidR="00521F79">
      <w:rPr>
        <w:color w:val="808080"/>
        <w:sz w:val="18"/>
        <w:szCs w:val="18"/>
        <w:lang w:val="it-IT"/>
      </w:rPr>
      <w:t>2</w:t>
    </w:r>
    <w:r w:rsidRPr="00B87286">
      <w:rPr>
        <w:color w:val="808080"/>
        <w:sz w:val="18"/>
        <w:szCs w:val="18"/>
        <w:lang w:val="it-IT"/>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A7929"/>
    <w:multiLevelType w:val="hybridMultilevel"/>
    <w:tmpl w:val="C354F67E"/>
    <w:lvl w:ilvl="0" w:tplc="E38064CC">
      <w:start w:val="1"/>
      <w:numFmt w:val="decimal"/>
      <w:lvlText w:val="%1."/>
      <w:lvlJc w:val="left"/>
      <w:pPr>
        <w:ind w:left="720" w:hanging="360"/>
      </w:pPr>
    </w:lvl>
    <w:lvl w:ilvl="1" w:tplc="67CC566C">
      <w:start w:val="1"/>
      <w:numFmt w:val="lowerLetter"/>
      <w:lvlText w:val="%2."/>
      <w:lvlJc w:val="left"/>
      <w:pPr>
        <w:ind w:left="1440" w:hanging="360"/>
      </w:pPr>
    </w:lvl>
    <w:lvl w:ilvl="2" w:tplc="F51CE30A">
      <w:numFmt w:val="decimal"/>
      <w:lvlText w:val=""/>
      <w:lvlJc w:val="left"/>
    </w:lvl>
    <w:lvl w:ilvl="3" w:tplc="BD005C1A">
      <w:numFmt w:val="decimal"/>
      <w:lvlText w:val=""/>
      <w:lvlJc w:val="left"/>
    </w:lvl>
    <w:lvl w:ilvl="4" w:tplc="ECEE1BB0">
      <w:numFmt w:val="decimal"/>
      <w:lvlText w:val=""/>
      <w:lvlJc w:val="left"/>
    </w:lvl>
    <w:lvl w:ilvl="5" w:tplc="82B82D1C">
      <w:numFmt w:val="decimal"/>
      <w:lvlText w:val=""/>
      <w:lvlJc w:val="left"/>
    </w:lvl>
    <w:lvl w:ilvl="6" w:tplc="16482E80">
      <w:numFmt w:val="decimal"/>
      <w:lvlText w:val=""/>
      <w:lvlJc w:val="left"/>
    </w:lvl>
    <w:lvl w:ilvl="7" w:tplc="2BACEEA4">
      <w:numFmt w:val="decimal"/>
      <w:lvlText w:val=""/>
      <w:lvlJc w:val="left"/>
    </w:lvl>
    <w:lvl w:ilvl="8" w:tplc="AE821C26">
      <w:numFmt w:val="decimal"/>
      <w:lvlText w:val=""/>
      <w:lvlJc w:val="left"/>
    </w:lvl>
  </w:abstractNum>
  <w:abstractNum w:abstractNumId="1" w15:restartNumberingAfterBreak="0">
    <w:nsid w:val="5C5E5C32"/>
    <w:multiLevelType w:val="hybridMultilevel"/>
    <w:tmpl w:val="8182DF76"/>
    <w:lvl w:ilvl="0" w:tplc="37EA5D32">
      <w:start w:val="1"/>
      <w:numFmt w:val="bullet"/>
      <w:lvlText w:val="•"/>
      <w:lvlJc w:val="left"/>
      <w:pPr>
        <w:ind w:left="720" w:hanging="360"/>
      </w:pPr>
    </w:lvl>
    <w:lvl w:ilvl="1" w:tplc="A508C8AA">
      <w:start w:val="1"/>
      <w:numFmt w:val="bullet"/>
      <w:lvlText w:val="◦"/>
      <w:lvlJc w:val="left"/>
      <w:pPr>
        <w:ind w:left="1440" w:hanging="360"/>
      </w:pPr>
    </w:lvl>
    <w:lvl w:ilvl="2" w:tplc="B290C6DC">
      <w:numFmt w:val="decimal"/>
      <w:lvlText w:val=""/>
      <w:lvlJc w:val="left"/>
    </w:lvl>
    <w:lvl w:ilvl="3" w:tplc="6EB0B820">
      <w:numFmt w:val="decimal"/>
      <w:lvlText w:val=""/>
      <w:lvlJc w:val="left"/>
    </w:lvl>
    <w:lvl w:ilvl="4" w:tplc="1278E57C">
      <w:numFmt w:val="decimal"/>
      <w:lvlText w:val=""/>
      <w:lvlJc w:val="left"/>
    </w:lvl>
    <w:lvl w:ilvl="5" w:tplc="67128254">
      <w:numFmt w:val="decimal"/>
      <w:lvlText w:val=""/>
      <w:lvlJc w:val="left"/>
    </w:lvl>
    <w:lvl w:ilvl="6" w:tplc="50B237B0">
      <w:numFmt w:val="decimal"/>
      <w:lvlText w:val=""/>
      <w:lvlJc w:val="left"/>
    </w:lvl>
    <w:lvl w:ilvl="7" w:tplc="A808ECE4">
      <w:numFmt w:val="decimal"/>
      <w:lvlText w:val=""/>
      <w:lvlJc w:val="left"/>
    </w:lvl>
    <w:lvl w:ilvl="8" w:tplc="7112249E">
      <w:numFmt w:val="decimal"/>
      <w:lvlText w:val=""/>
      <w:lvlJc w:val="left"/>
    </w:lvl>
  </w:abstractNum>
  <w:abstractNum w:abstractNumId="2" w15:restartNumberingAfterBreak="0">
    <w:nsid w:val="7EEE4A02"/>
    <w:multiLevelType w:val="hybridMultilevel"/>
    <w:tmpl w:val="DDCA28C0"/>
    <w:lvl w:ilvl="0" w:tplc="CADE4D3E">
      <w:start w:val="1"/>
      <w:numFmt w:val="bullet"/>
      <w:lvlText w:val="●"/>
      <w:lvlJc w:val="left"/>
      <w:pPr>
        <w:ind w:left="720" w:hanging="360"/>
      </w:pPr>
    </w:lvl>
    <w:lvl w:ilvl="1" w:tplc="B5D41E14">
      <w:start w:val="1"/>
      <w:numFmt w:val="bullet"/>
      <w:lvlText w:val="○"/>
      <w:lvlJc w:val="left"/>
      <w:pPr>
        <w:ind w:left="1440" w:hanging="360"/>
      </w:pPr>
    </w:lvl>
    <w:lvl w:ilvl="2" w:tplc="4C68982A">
      <w:start w:val="1"/>
      <w:numFmt w:val="bullet"/>
      <w:lvlText w:val="■"/>
      <w:lvlJc w:val="left"/>
      <w:pPr>
        <w:ind w:left="2160" w:hanging="360"/>
      </w:pPr>
    </w:lvl>
    <w:lvl w:ilvl="3" w:tplc="028E5974">
      <w:start w:val="1"/>
      <w:numFmt w:val="bullet"/>
      <w:lvlText w:val="●"/>
      <w:lvlJc w:val="left"/>
      <w:pPr>
        <w:ind w:left="2880" w:hanging="360"/>
      </w:pPr>
    </w:lvl>
    <w:lvl w:ilvl="4" w:tplc="4D60BDF8">
      <w:start w:val="1"/>
      <w:numFmt w:val="bullet"/>
      <w:lvlText w:val="○"/>
      <w:lvlJc w:val="left"/>
      <w:pPr>
        <w:ind w:left="3600" w:hanging="360"/>
      </w:pPr>
    </w:lvl>
    <w:lvl w:ilvl="5" w:tplc="6C989808">
      <w:start w:val="1"/>
      <w:numFmt w:val="bullet"/>
      <w:lvlText w:val="■"/>
      <w:lvlJc w:val="left"/>
      <w:pPr>
        <w:ind w:left="4320" w:hanging="360"/>
      </w:pPr>
    </w:lvl>
    <w:lvl w:ilvl="6" w:tplc="10BEA42E">
      <w:start w:val="1"/>
      <w:numFmt w:val="bullet"/>
      <w:lvlText w:val="●"/>
      <w:lvlJc w:val="left"/>
      <w:pPr>
        <w:ind w:left="5040" w:hanging="360"/>
      </w:pPr>
    </w:lvl>
    <w:lvl w:ilvl="7" w:tplc="15F0E32A">
      <w:start w:val="1"/>
      <w:numFmt w:val="bullet"/>
      <w:lvlText w:val="●"/>
      <w:lvlJc w:val="left"/>
      <w:pPr>
        <w:ind w:left="5760" w:hanging="360"/>
      </w:pPr>
    </w:lvl>
    <w:lvl w:ilvl="8" w:tplc="6BD0A2F2">
      <w:start w:val="1"/>
      <w:numFmt w:val="bullet"/>
      <w:lvlText w:val="●"/>
      <w:lvlJc w:val="left"/>
      <w:pPr>
        <w:ind w:left="6480" w:hanging="360"/>
      </w:pPr>
    </w:lvl>
  </w:abstractNum>
  <w:num w:numId="1" w16cid:durableId="860512098">
    <w:abstractNumId w:val="2"/>
    <w:lvlOverride w:ilvl="0">
      <w:startOverride w:val="1"/>
    </w:lvlOverride>
  </w:num>
  <w:num w:numId="2" w16cid:durableId="211625114">
    <w:abstractNumId w:val="1"/>
    <w:lvlOverride w:ilvl="0">
      <w:startOverride w:val="1"/>
    </w:lvlOverride>
  </w:num>
  <w:num w:numId="3" w16cid:durableId="2117745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F7A"/>
    <w:rsid w:val="00092613"/>
    <w:rsid w:val="00346309"/>
    <w:rsid w:val="00521F79"/>
    <w:rsid w:val="00641824"/>
    <w:rsid w:val="00B53E44"/>
    <w:rsid w:val="00B87286"/>
    <w:rsid w:val="00BF0F7A"/>
    <w:rsid w:val="00C8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724630"/>
  <w15:docId w15:val="{40C00F93-BB7F-2744-B986-9E56564B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i/>
      <w:i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1F79"/>
    <w:pPr>
      <w:tabs>
        <w:tab w:val="center" w:pos="4680"/>
        <w:tab w:val="right" w:pos="9360"/>
      </w:tabs>
    </w:pPr>
  </w:style>
  <w:style w:type="character" w:customStyle="1" w:styleId="HeaderChar">
    <w:name w:val="Header Char"/>
    <w:basedOn w:val="DefaultParagraphFont"/>
    <w:link w:val="Header"/>
    <w:uiPriority w:val="99"/>
    <w:rsid w:val="00521F79"/>
  </w:style>
  <w:style w:type="paragraph" w:styleId="Footer">
    <w:name w:val="footer"/>
    <w:basedOn w:val="Normal"/>
    <w:link w:val="FooterChar"/>
    <w:uiPriority w:val="99"/>
    <w:unhideWhenUsed/>
    <w:rsid w:val="00521F79"/>
    <w:pPr>
      <w:tabs>
        <w:tab w:val="center" w:pos="4680"/>
        <w:tab w:val="right" w:pos="9360"/>
      </w:tabs>
    </w:pPr>
  </w:style>
  <w:style w:type="character" w:customStyle="1" w:styleId="FooterChar">
    <w:name w:val="Footer Char"/>
    <w:basedOn w:val="DefaultParagraphFont"/>
    <w:link w:val="Footer"/>
    <w:uiPriority w:val="99"/>
    <w:rsid w:val="00521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4022</Words>
  <Characters>22932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PTCy Infection Meta-Analysis — PROSPERO Protocol</vt:lpstr>
    </vt:vector>
  </TitlesOfParts>
  <Company/>
  <LinksUpToDate>false</LinksUpToDate>
  <CharactersWithSpaces>26901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PTCy Infection Meta-Analysis — PROSPERO Protocol</dc:title>
  <dc:creator>R. Lewis, University of Padova</dc:creator>
  <dc:description>PROSPERO registration protocol for systematic review and Bayesian meta-analysis of infection outcomes with PTCy vs non-PTCy GVHD prophylaxis</dc:description>
  <cp:lastModifiedBy>Russell Edward Lewis</cp:lastModifiedBy>
  <cp:revision>3</cp:revision>
  <cp:lastPrinted>2026-04-17T13:47:00Z</cp:lastPrinted>
  <dcterms:created xsi:type="dcterms:W3CDTF">2026-04-17T13:45:00Z</dcterms:created>
  <dcterms:modified xsi:type="dcterms:W3CDTF">2026-04-17T14:11:00Z</dcterms:modified>
</cp:coreProperties>
</file>