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C5B93" w14:textId="77777777" w:rsidR="00E43D1F" w:rsidRPr="00430CB7" w:rsidRDefault="00000000" w:rsidP="00430CB7">
      <w:pPr>
        <w:spacing w:after="400"/>
        <w:jc w:val="center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b/>
          <w:bCs/>
          <w:sz w:val="22"/>
          <w:szCs w:val="22"/>
          <w:lang w:val="it-IT"/>
        </w:rPr>
        <w:t>INDICE INTEGRATO</w:t>
      </w:r>
    </w:p>
    <w:p w14:paraId="2241EE5F" w14:textId="77777777" w:rsidR="00E43D1F" w:rsidRPr="00430CB7" w:rsidRDefault="00000000" w:rsidP="00430CB7">
      <w:pPr>
        <w:spacing w:after="600"/>
        <w:jc w:val="center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i/>
          <w:iCs/>
          <w:sz w:val="22"/>
          <w:szCs w:val="22"/>
          <w:lang w:val="it-IT"/>
        </w:rPr>
        <w:t>Tesi di Laurea in Medicina e Chirurgia</w:t>
      </w:r>
    </w:p>
    <w:p w14:paraId="56626F6D" w14:textId="77777777" w:rsidR="00E43D1F" w:rsidRPr="00430CB7" w:rsidRDefault="00000000" w:rsidP="00430CB7">
      <w:pPr>
        <w:spacing w:after="200"/>
        <w:jc w:val="center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b/>
          <w:bCs/>
          <w:sz w:val="22"/>
          <w:szCs w:val="22"/>
          <w:lang w:val="it-IT"/>
        </w:rPr>
        <w:t>Il Time to Positivity delle emocolture come predittore</w:t>
      </w:r>
    </w:p>
    <w:p w14:paraId="19599C4A" w14:textId="77777777" w:rsidR="00E43D1F" w:rsidRPr="00430CB7" w:rsidRDefault="00000000" w:rsidP="00430CB7">
      <w:pPr>
        <w:spacing w:after="800"/>
        <w:jc w:val="center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b/>
          <w:bCs/>
          <w:sz w:val="22"/>
          <w:szCs w:val="22"/>
          <w:lang w:val="it-IT"/>
        </w:rPr>
        <w:t>di fallimento della terapia antibiotica: una meta-analisi bayesiana</w:t>
      </w:r>
    </w:p>
    <w:p w14:paraId="1DCD87BF" w14:textId="77777777" w:rsidR="00E43D1F" w:rsidRPr="00430CB7" w:rsidRDefault="00000000" w:rsidP="00430CB7">
      <w:pPr>
        <w:pStyle w:val="Heading1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RIASSUNTO</w:t>
      </w:r>
    </w:p>
    <w:p w14:paraId="70DD5B16" w14:textId="77777777" w:rsidR="00E43D1F" w:rsidRPr="00430CB7" w:rsidRDefault="00000000" w:rsidP="00430CB7">
      <w:pPr>
        <w:spacing w:after="40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i/>
          <w:iCs/>
          <w:sz w:val="22"/>
          <w:szCs w:val="22"/>
          <w:lang w:val="it-IT"/>
        </w:rPr>
        <w:t>(in italiano)</w:t>
      </w:r>
    </w:p>
    <w:p w14:paraId="76FC5DBD" w14:textId="77777777" w:rsidR="00E43D1F" w:rsidRPr="00430CB7" w:rsidRDefault="00000000" w:rsidP="00430CB7">
      <w:pPr>
        <w:pStyle w:val="Heading1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ABSTRACT</w:t>
      </w:r>
    </w:p>
    <w:p w14:paraId="4AA51A83" w14:textId="77777777" w:rsidR="00E43D1F" w:rsidRPr="00430CB7" w:rsidRDefault="00000000" w:rsidP="00430CB7">
      <w:pPr>
        <w:spacing w:after="40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i/>
          <w:iCs/>
          <w:sz w:val="22"/>
          <w:szCs w:val="22"/>
          <w:lang w:val="it-IT"/>
        </w:rPr>
        <w:t>(in inglese)</w:t>
      </w:r>
    </w:p>
    <w:p w14:paraId="3AF7015C" w14:textId="77777777" w:rsidR="00E43D1F" w:rsidRPr="00430CB7" w:rsidRDefault="00000000" w:rsidP="00430CB7">
      <w:pPr>
        <w:pStyle w:val="Heading1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1. INTRODUZIONE</w:t>
      </w:r>
    </w:p>
    <w:p w14:paraId="30FC043C" w14:textId="77777777" w:rsidR="00E43D1F" w:rsidRPr="00430CB7" w:rsidRDefault="00000000" w:rsidP="00430CB7">
      <w:pPr>
        <w:pStyle w:val="Heading2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1.1 La Batteriemia</w:t>
      </w:r>
    </w:p>
    <w:p w14:paraId="4F3B3528" w14:textId="77777777" w:rsidR="00E43D1F" w:rsidRPr="00430CB7" w:rsidRDefault="00000000" w:rsidP="00430CB7">
      <w:pPr>
        <w:ind w:left="72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Definizione e inquadramento clinico</w:t>
      </w:r>
    </w:p>
    <w:p w14:paraId="2D7324B0" w14:textId="77777777" w:rsidR="00E43D1F" w:rsidRPr="00430CB7" w:rsidRDefault="00000000" w:rsidP="00430CB7">
      <w:pPr>
        <w:ind w:left="72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Classificazione: transitoria, persistente, ricorrente</w:t>
      </w:r>
    </w:p>
    <w:p w14:paraId="35532FA8" w14:textId="77777777" w:rsidR="00E43D1F" w:rsidRPr="00430CB7" w:rsidRDefault="00000000" w:rsidP="00430CB7">
      <w:pPr>
        <w:ind w:left="72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Collegamento con sepsi e shock settico</w:t>
      </w:r>
    </w:p>
    <w:p w14:paraId="535810F4" w14:textId="77777777" w:rsidR="00E43D1F" w:rsidRPr="00430CB7" w:rsidRDefault="00000000" w:rsidP="00430CB7">
      <w:pPr>
        <w:pStyle w:val="Heading2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1.2 Epidemiologia e Rilevanza Clinica</w:t>
      </w:r>
    </w:p>
    <w:p w14:paraId="748F4112" w14:textId="77777777" w:rsidR="00E43D1F" w:rsidRPr="00430CB7" w:rsidRDefault="00000000" w:rsidP="00430CB7">
      <w:pPr>
        <w:ind w:left="72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Eziologia: principali patogeni coinvolti (Gram-positivi, Gram-negativi)</w:t>
      </w:r>
    </w:p>
    <w:p w14:paraId="36C046FA" w14:textId="77777777" w:rsidR="00E43D1F" w:rsidRPr="00430CB7" w:rsidRDefault="00000000" w:rsidP="00430CB7">
      <w:pPr>
        <w:ind w:left="72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Incidenza nei pazienti ospedalizzati e nelle aree critiche</w:t>
      </w:r>
    </w:p>
    <w:p w14:paraId="096FACD4" w14:textId="77777777" w:rsidR="00E43D1F" w:rsidRPr="00430CB7" w:rsidRDefault="00000000" w:rsidP="00430CB7">
      <w:pPr>
        <w:ind w:left="72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Impatto su degenza, costi, complicanze e mortalità</w:t>
      </w:r>
    </w:p>
    <w:p w14:paraId="1C4609D9" w14:textId="77777777" w:rsidR="00E43D1F" w:rsidRPr="00430CB7" w:rsidRDefault="00000000" w:rsidP="00430CB7">
      <w:pPr>
        <w:pStyle w:val="Heading2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1.3 Fisiopatologia</w:t>
      </w:r>
    </w:p>
    <w:p w14:paraId="45F49296" w14:textId="77777777" w:rsidR="00E43D1F" w:rsidRPr="00430CB7" w:rsidRDefault="00000000" w:rsidP="00430CB7">
      <w:pPr>
        <w:ind w:left="72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Origine dell'infezione: foci primari e secondari</w:t>
      </w:r>
    </w:p>
    <w:p w14:paraId="52A86CA4" w14:textId="77777777" w:rsidR="00E43D1F" w:rsidRPr="00430CB7" w:rsidRDefault="00000000" w:rsidP="00430CB7">
      <w:pPr>
        <w:ind w:left="72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Carica batterica e severità dell'infezione</w:t>
      </w:r>
    </w:p>
    <w:p w14:paraId="225CBBDA" w14:textId="77777777" w:rsidR="00E43D1F" w:rsidRPr="00430CB7" w:rsidRDefault="00000000" w:rsidP="00430CB7">
      <w:pPr>
        <w:ind w:left="72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Meccanismi di persistenza: biofilm, foci non drenati, resistenze, immunocompromissione</w:t>
      </w:r>
    </w:p>
    <w:p w14:paraId="5A9F5FBA" w14:textId="77777777" w:rsidR="00E43D1F" w:rsidRPr="00430CB7" w:rsidRDefault="00000000" w:rsidP="00430CB7">
      <w:pPr>
        <w:ind w:left="72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Ruolo del source control</w:t>
      </w:r>
    </w:p>
    <w:p w14:paraId="2F2851FD" w14:textId="77777777" w:rsidR="00E43D1F" w:rsidRPr="00430CB7" w:rsidRDefault="00000000" w:rsidP="00430CB7">
      <w:pPr>
        <w:pStyle w:val="Heading2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1.4 Il Time to Positivity (TTP)</w:t>
      </w:r>
    </w:p>
    <w:p w14:paraId="38DE3492" w14:textId="77777777" w:rsidR="00E43D1F" w:rsidRPr="00430CB7" w:rsidRDefault="00000000" w:rsidP="00430CB7">
      <w:pPr>
        <w:ind w:left="72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Definizione e principi microbiologici</w:t>
      </w:r>
    </w:p>
    <w:p w14:paraId="3F93A0D4" w14:textId="77777777" w:rsidR="00E43D1F" w:rsidRPr="00430CB7" w:rsidRDefault="00000000" w:rsidP="00430CB7">
      <w:pPr>
        <w:ind w:left="72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Sistemi automatizzati di misurazione</w:t>
      </w:r>
    </w:p>
    <w:p w14:paraId="1D8DAC0D" w14:textId="77777777" w:rsidR="00E43D1F" w:rsidRPr="00430CB7" w:rsidRDefault="00000000" w:rsidP="00430CB7">
      <w:pPr>
        <w:ind w:left="72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Fattori che influenzano il TTP:</w:t>
      </w:r>
    </w:p>
    <w:p w14:paraId="5F0E29B1" w14:textId="77777777" w:rsidR="00E43D1F" w:rsidRPr="00430CB7" w:rsidRDefault="00000000" w:rsidP="00430CB7">
      <w:pPr>
        <w:ind w:left="108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- Carica batterica iniziale</w:t>
      </w:r>
    </w:p>
    <w:p w14:paraId="3D624344" w14:textId="77777777" w:rsidR="00E43D1F" w:rsidRPr="00430CB7" w:rsidRDefault="00000000" w:rsidP="00430CB7">
      <w:pPr>
        <w:ind w:left="108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- Specie patogena</w:t>
      </w:r>
    </w:p>
    <w:p w14:paraId="7DBB6AFB" w14:textId="77777777" w:rsidR="00E43D1F" w:rsidRPr="00430CB7" w:rsidRDefault="00000000" w:rsidP="00430CB7">
      <w:pPr>
        <w:ind w:left="108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- Volume ematico prelevato</w:t>
      </w:r>
    </w:p>
    <w:p w14:paraId="1A0412E0" w14:textId="77777777" w:rsidR="00E43D1F" w:rsidRPr="00430CB7" w:rsidRDefault="00000000" w:rsidP="00430CB7">
      <w:pPr>
        <w:ind w:left="108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- Terapie antibiotiche in corso</w:t>
      </w:r>
    </w:p>
    <w:p w14:paraId="2954E03C" w14:textId="77777777" w:rsidR="00E43D1F" w:rsidRPr="00430CB7" w:rsidRDefault="00000000" w:rsidP="00430CB7">
      <w:pPr>
        <w:ind w:left="108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- Caratteristiche del paziente</w:t>
      </w:r>
    </w:p>
    <w:p w14:paraId="382B34DD" w14:textId="77777777" w:rsidR="00E43D1F" w:rsidRPr="00430CB7" w:rsidRDefault="00000000" w:rsidP="00430CB7">
      <w:pPr>
        <w:ind w:left="72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TTP come surrogato della carica batterica e potenziale biomarcatore</w:t>
      </w:r>
    </w:p>
    <w:p w14:paraId="6C97DEAB" w14:textId="77777777" w:rsidR="00E43D1F" w:rsidRPr="00430CB7" w:rsidRDefault="00000000" w:rsidP="00430CB7">
      <w:pPr>
        <w:pStyle w:val="Heading2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lastRenderedPageBreak/>
        <w:t>1.5 La Terapia Antibiotica nelle Batteriemie</w:t>
      </w:r>
    </w:p>
    <w:p w14:paraId="194644E7" w14:textId="77777777" w:rsidR="00E43D1F" w:rsidRPr="00430CB7" w:rsidRDefault="00000000" w:rsidP="00430CB7">
      <w:pPr>
        <w:ind w:left="72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Principi generali: precocità, adeguatezza dello spettro, dosaggio, durata</w:t>
      </w:r>
    </w:p>
    <w:p w14:paraId="37CE1248" w14:textId="77777777" w:rsidR="00E43D1F" w:rsidRPr="00430CB7" w:rsidRDefault="00000000" w:rsidP="00430CB7">
      <w:pPr>
        <w:ind w:left="72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Fattori che influenzano il successo terapeutico</w:t>
      </w:r>
    </w:p>
    <w:p w14:paraId="77A02F1E" w14:textId="77777777" w:rsidR="00E43D1F" w:rsidRPr="00430CB7" w:rsidRDefault="00000000" w:rsidP="00430CB7">
      <w:pPr>
        <w:ind w:left="72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Definizione e conseguenze del fallimento terapeutico</w:t>
      </w:r>
    </w:p>
    <w:p w14:paraId="573C7F5E" w14:textId="77777777" w:rsidR="00E43D1F" w:rsidRPr="00430CB7" w:rsidRDefault="00000000" w:rsidP="00430CB7">
      <w:pPr>
        <w:ind w:left="72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Necessità di biomarcatori precoci per la stratificazione prognostica</w:t>
      </w:r>
    </w:p>
    <w:p w14:paraId="46EF2186" w14:textId="77777777" w:rsidR="00E43D1F" w:rsidRPr="00430CB7" w:rsidRDefault="00000000" w:rsidP="00430CB7">
      <w:pPr>
        <w:pStyle w:val="Heading1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2. SCOPO DELLO STUDIO</w:t>
      </w:r>
    </w:p>
    <w:p w14:paraId="5EE5EC7E" w14:textId="77777777" w:rsidR="00E43D1F" w:rsidRPr="00430CB7" w:rsidRDefault="00000000" w:rsidP="00430CB7">
      <w:pPr>
        <w:pStyle w:val="Heading2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2.1 Razionale</w:t>
      </w:r>
    </w:p>
    <w:p w14:paraId="35AE7D4F" w14:textId="77777777" w:rsidR="00E43D1F" w:rsidRPr="00430CB7" w:rsidRDefault="00000000" w:rsidP="00430CB7">
      <w:pPr>
        <w:ind w:left="72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Ipotesi: il TTP breve, riflettendo una maggiore carica batterica, potrebbe associarsi a un aumentato rischio di persistenza batteriemica, recidiva e mortalità</w:t>
      </w:r>
    </w:p>
    <w:p w14:paraId="020A09E2" w14:textId="77777777" w:rsidR="00E43D1F" w:rsidRPr="00430CB7" w:rsidRDefault="00000000" w:rsidP="00430CB7">
      <w:pPr>
        <w:ind w:left="72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Gap conoscitivi nella letteratura esistente</w:t>
      </w:r>
    </w:p>
    <w:p w14:paraId="5629CFD5" w14:textId="77777777" w:rsidR="00E43D1F" w:rsidRPr="00430CB7" w:rsidRDefault="00000000" w:rsidP="00430CB7">
      <w:pPr>
        <w:pStyle w:val="Heading2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2.2 Obiettivi</w:t>
      </w:r>
    </w:p>
    <w:p w14:paraId="1D170915" w14:textId="77777777" w:rsidR="00E43D1F" w:rsidRPr="00430CB7" w:rsidRDefault="00000000" w:rsidP="00430CB7">
      <w:pPr>
        <w:ind w:left="72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b/>
          <w:bCs/>
          <w:sz w:val="22"/>
          <w:szCs w:val="22"/>
          <w:lang w:val="it-IT"/>
        </w:rPr>
        <w:t xml:space="preserve">Obiettivo primario: </w:t>
      </w:r>
    </w:p>
    <w:p w14:paraId="17C427EC" w14:textId="77777777" w:rsidR="00E43D1F" w:rsidRPr="00430CB7" w:rsidRDefault="00000000" w:rsidP="00430CB7">
      <w:pPr>
        <w:ind w:left="108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Valutare l'associazione tra TTP e fallimento della terapia antibiotica</w:t>
      </w:r>
    </w:p>
    <w:p w14:paraId="5B3C528A" w14:textId="77777777" w:rsidR="00E43D1F" w:rsidRPr="00430CB7" w:rsidRDefault="00000000" w:rsidP="00430CB7">
      <w:pPr>
        <w:spacing w:before="120"/>
        <w:ind w:left="72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b/>
          <w:bCs/>
          <w:sz w:val="22"/>
          <w:szCs w:val="22"/>
          <w:lang w:val="it-IT"/>
        </w:rPr>
        <w:t>Obiettivi secondari:</w:t>
      </w:r>
    </w:p>
    <w:p w14:paraId="34374EC0" w14:textId="77777777" w:rsidR="00E43D1F" w:rsidRPr="00430CB7" w:rsidRDefault="00000000" w:rsidP="00430CB7">
      <w:pPr>
        <w:ind w:left="108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- Analizzare la variazione dell'associazione TTP-fallimento in base a patogeno e source control</w:t>
      </w:r>
    </w:p>
    <w:p w14:paraId="48D4F4B1" w14:textId="77777777" w:rsidR="00E43D1F" w:rsidRPr="00430CB7" w:rsidRDefault="00000000" w:rsidP="00430CB7">
      <w:pPr>
        <w:ind w:left="108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- Valutare l'associazione tra TTP e mortalità</w:t>
      </w:r>
    </w:p>
    <w:p w14:paraId="2CBBF515" w14:textId="77777777" w:rsidR="00E43D1F" w:rsidRPr="00430CB7" w:rsidRDefault="00000000" w:rsidP="00430CB7">
      <w:pPr>
        <w:ind w:left="108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- Confrontare i modelli a variabile continua e dicotomica</w:t>
      </w:r>
    </w:p>
    <w:p w14:paraId="41B5E4BF" w14:textId="77777777" w:rsidR="00E43D1F" w:rsidRPr="00430CB7" w:rsidRDefault="00000000" w:rsidP="00430CB7">
      <w:pPr>
        <w:pStyle w:val="Heading2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2.3 Outcome di Interesse</w:t>
      </w:r>
    </w:p>
    <w:p w14:paraId="7A153D1D" w14:textId="77777777" w:rsidR="00E43D1F" w:rsidRPr="00430CB7" w:rsidRDefault="00000000" w:rsidP="00430CB7">
      <w:pPr>
        <w:ind w:left="72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b/>
          <w:bCs/>
          <w:sz w:val="22"/>
          <w:szCs w:val="22"/>
          <w:lang w:val="it-IT"/>
        </w:rPr>
        <w:t>Outcome primari:</w:t>
      </w:r>
    </w:p>
    <w:p w14:paraId="1BD6778D" w14:textId="77777777" w:rsidR="00E43D1F" w:rsidRPr="00430CB7" w:rsidRDefault="00000000" w:rsidP="00430CB7">
      <w:pPr>
        <w:ind w:left="108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- Batteriemia persistente (emocolture positive a 48-72 ore nonostante terapia appropriata)</w:t>
      </w:r>
    </w:p>
    <w:p w14:paraId="0DB51300" w14:textId="77777777" w:rsidR="00E43D1F" w:rsidRPr="00430CB7" w:rsidRDefault="00000000" w:rsidP="00430CB7">
      <w:pPr>
        <w:ind w:left="108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- Recidiva/ricorrenza (emocolture positive dopo iniziale clearance, entro 30-90 giorni)</w:t>
      </w:r>
    </w:p>
    <w:p w14:paraId="76A69201" w14:textId="77777777" w:rsidR="00E43D1F" w:rsidRPr="00430CB7" w:rsidRDefault="00000000" w:rsidP="00430CB7">
      <w:pPr>
        <w:ind w:left="108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- Clearance microbiologica (documentata negativizzazione delle emocolture)</w:t>
      </w:r>
    </w:p>
    <w:p w14:paraId="6F3C3A9A" w14:textId="77777777" w:rsidR="00E43D1F" w:rsidRPr="00430CB7" w:rsidRDefault="00000000" w:rsidP="00430CB7">
      <w:pPr>
        <w:spacing w:before="120"/>
        <w:ind w:left="72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b/>
          <w:bCs/>
          <w:sz w:val="22"/>
          <w:szCs w:val="22"/>
          <w:lang w:val="it-IT"/>
        </w:rPr>
        <w:t>Outcome secondari:</w:t>
      </w:r>
    </w:p>
    <w:p w14:paraId="74A12B17" w14:textId="77777777" w:rsidR="00E43D1F" w:rsidRPr="00430CB7" w:rsidRDefault="00000000" w:rsidP="00430CB7">
      <w:pPr>
        <w:ind w:left="108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- Mortalità per tutte le cause (intraospedaliera e a 30 giorni)</w:t>
      </w:r>
    </w:p>
    <w:p w14:paraId="65FF0904" w14:textId="77777777" w:rsidR="00E43D1F" w:rsidRPr="00430CB7" w:rsidRDefault="00000000" w:rsidP="00430CB7">
      <w:pPr>
        <w:pStyle w:val="Heading1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3. MATERIALI E METODI</w:t>
      </w:r>
    </w:p>
    <w:p w14:paraId="0409BB71" w14:textId="77777777" w:rsidR="00E43D1F" w:rsidRPr="00430CB7" w:rsidRDefault="00000000" w:rsidP="00430CB7">
      <w:pPr>
        <w:pStyle w:val="Heading2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3.1 Disegno dello Studio</w:t>
      </w:r>
    </w:p>
    <w:p w14:paraId="0468A17D" w14:textId="77777777" w:rsidR="00E43D1F" w:rsidRPr="00430CB7" w:rsidRDefault="00000000" w:rsidP="00430CB7">
      <w:pPr>
        <w:ind w:left="72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Revisione sistematica e meta-analisi</w:t>
      </w:r>
    </w:p>
    <w:p w14:paraId="76AE9594" w14:textId="77777777" w:rsidR="00E43D1F" w:rsidRPr="00430CB7" w:rsidRDefault="00000000" w:rsidP="00430CB7">
      <w:pPr>
        <w:pStyle w:val="Heading2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3.2 Criteri di Eleggibilità (PICOTS)</w:t>
      </w:r>
    </w:p>
    <w:p w14:paraId="22AD466E" w14:textId="77777777" w:rsidR="00E43D1F" w:rsidRPr="00430CB7" w:rsidRDefault="00000000" w:rsidP="00430CB7">
      <w:pPr>
        <w:ind w:left="72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b/>
          <w:bCs/>
          <w:sz w:val="22"/>
          <w:szCs w:val="22"/>
          <w:lang w:val="it-IT"/>
        </w:rPr>
        <w:t>Popolazione:</w:t>
      </w:r>
    </w:p>
    <w:p w14:paraId="6C73A095" w14:textId="77777777" w:rsidR="00E43D1F" w:rsidRPr="00430CB7" w:rsidRDefault="00000000" w:rsidP="00430CB7">
      <w:pPr>
        <w:ind w:left="108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Adulti con batteriemia confermata da emocoltura positiva</w:t>
      </w:r>
    </w:p>
    <w:p w14:paraId="2AE45DEE" w14:textId="77777777" w:rsidR="00E43D1F" w:rsidRPr="00430CB7" w:rsidRDefault="00000000" w:rsidP="00430CB7">
      <w:pPr>
        <w:ind w:left="108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Sottogruppi: Gram-positivi (S. aureus come priorità), Gram-negativi</w:t>
      </w:r>
    </w:p>
    <w:p w14:paraId="15F43939" w14:textId="77777777" w:rsidR="00E43D1F" w:rsidRPr="00430CB7" w:rsidRDefault="00000000" w:rsidP="00430CB7">
      <w:pPr>
        <w:ind w:left="108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Stratificazione per source control status</w:t>
      </w:r>
    </w:p>
    <w:p w14:paraId="5543F74E" w14:textId="77777777" w:rsidR="00E43D1F" w:rsidRPr="00430CB7" w:rsidRDefault="00000000" w:rsidP="00430CB7">
      <w:pPr>
        <w:spacing w:before="120"/>
        <w:ind w:left="72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b/>
          <w:bCs/>
          <w:sz w:val="22"/>
          <w:szCs w:val="22"/>
          <w:lang w:val="it-IT"/>
        </w:rPr>
        <w:t>Fattore prognostico (Esposizione):</w:t>
      </w:r>
    </w:p>
    <w:p w14:paraId="2B733CA2" w14:textId="77777777" w:rsidR="00E43D1F" w:rsidRPr="00430CB7" w:rsidRDefault="00000000" w:rsidP="00430CB7">
      <w:pPr>
        <w:ind w:left="108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TTP come variabile continua (ore) o dicotomizzato (breve vs. prolungato)</w:t>
      </w:r>
    </w:p>
    <w:p w14:paraId="7EE9EFC2" w14:textId="77777777" w:rsidR="00E43D1F" w:rsidRPr="00430CB7" w:rsidRDefault="00000000" w:rsidP="00430CB7">
      <w:pPr>
        <w:spacing w:before="120"/>
        <w:ind w:left="72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b/>
          <w:bCs/>
          <w:sz w:val="22"/>
          <w:szCs w:val="22"/>
          <w:lang w:val="it-IT"/>
        </w:rPr>
        <w:t>Comparatore:</w:t>
      </w:r>
    </w:p>
    <w:p w14:paraId="6F9FEEAB" w14:textId="77777777" w:rsidR="00E43D1F" w:rsidRPr="00430CB7" w:rsidRDefault="00000000" w:rsidP="00430CB7">
      <w:pPr>
        <w:ind w:left="108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TTP breve vs. TTP lungo; incrementi orari di TTP</w:t>
      </w:r>
    </w:p>
    <w:p w14:paraId="65940670" w14:textId="77777777" w:rsidR="00E43D1F" w:rsidRPr="00430CB7" w:rsidRDefault="00000000" w:rsidP="00430CB7">
      <w:pPr>
        <w:spacing w:before="120"/>
        <w:ind w:left="72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b/>
          <w:bCs/>
          <w:sz w:val="22"/>
          <w:szCs w:val="22"/>
          <w:lang w:val="it-IT"/>
        </w:rPr>
        <w:lastRenderedPageBreak/>
        <w:t>Tipologia di studi:</w:t>
      </w:r>
    </w:p>
    <w:p w14:paraId="7AC7DB50" w14:textId="77777777" w:rsidR="00E43D1F" w:rsidRPr="00430CB7" w:rsidRDefault="00000000" w:rsidP="00430CB7">
      <w:pPr>
        <w:ind w:left="108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Studi di coorte prospettici e retrospettivi</w:t>
      </w:r>
    </w:p>
    <w:p w14:paraId="60358A17" w14:textId="77777777" w:rsidR="00E43D1F" w:rsidRPr="00430CB7" w:rsidRDefault="00000000" w:rsidP="00430CB7">
      <w:pPr>
        <w:pStyle w:val="Heading2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3.3 Strategia di Ricerca Bibliografica</w:t>
      </w:r>
    </w:p>
    <w:p w14:paraId="00FF8221" w14:textId="77777777" w:rsidR="00E43D1F" w:rsidRPr="00430CB7" w:rsidRDefault="00000000" w:rsidP="00430CB7">
      <w:pPr>
        <w:ind w:left="72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Database: PubMed, EMBASE, Cochrane Library, Web of Science</w:t>
      </w:r>
    </w:p>
    <w:p w14:paraId="652FE36F" w14:textId="77777777" w:rsidR="00E43D1F" w:rsidRPr="00430CB7" w:rsidRDefault="00000000" w:rsidP="00430CB7">
      <w:pPr>
        <w:ind w:left="72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Stringhe di ricerca e limiti temporali/linguistici</w:t>
      </w:r>
    </w:p>
    <w:p w14:paraId="7935030C" w14:textId="77777777" w:rsidR="00E43D1F" w:rsidRPr="00430CB7" w:rsidRDefault="00000000" w:rsidP="00430CB7">
      <w:pPr>
        <w:ind w:left="72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Ricerca della letteratura grigia</w:t>
      </w:r>
    </w:p>
    <w:p w14:paraId="01C2D3FB" w14:textId="77777777" w:rsidR="00E43D1F" w:rsidRPr="00430CB7" w:rsidRDefault="00000000" w:rsidP="00430CB7">
      <w:pPr>
        <w:pStyle w:val="Heading2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3.4 Selezione degli Studi ed Estrazione dei Dati</w:t>
      </w:r>
    </w:p>
    <w:p w14:paraId="2A4AF7F6" w14:textId="77777777" w:rsidR="00E43D1F" w:rsidRPr="00430CB7" w:rsidRDefault="00000000" w:rsidP="00430CB7">
      <w:pPr>
        <w:ind w:left="720"/>
        <w:rPr>
          <w:rFonts w:ascii="Calibri" w:hAnsi="Calibri" w:cs="Calibri"/>
          <w:sz w:val="22"/>
          <w:szCs w:val="22"/>
        </w:rPr>
      </w:pPr>
      <w:r w:rsidRPr="00430CB7">
        <w:rPr>
          <w:rFonts w:ascii="Calibri" w:hAnsi="Calibri" w:cs="Calibri"/>
          <w:sz w:val="22"/>
          <w:szCs w:val="22"/>
        </w:rPr>
        <w:t>Processo di screening (titoli, abstract, full-text)</w:t>
      </w:r>
    </w:p>
    <w:p w14:paraId="19175F8E" w14:textId="77777777" w:rsidR="00E43D1F" w:rsidRPr="00430CB7" w:rsidRDefault="00000000" w:rsidP="00430CB7">
      <w:pPr>
        <w:ind w:left="72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Diagramma PRISMA</w:t>
      </w:r>
    </w:p>
    <w:p w14:paraId="30B98422" w14:textId="77777777" w:rsidR="00E43D1F" w:rsidRPr="00430CB7" w:rsidRDefault="00000000" w:rsidP="00430CB7">
      <w:pPr>
        <w:ind w:left="72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Scheda di estrazione standardizzata</w:t>
      </w:r>
    </w:p>
    <w:p w14:paraId="580ED302" w14:textId="77777777" w:rsidR="00E43D1F" w:rsidRPr="00430CB7" w:rsidRDefault="00000000" w:rsidP="00430CB7">
      <w:pPr>
        <w:pStyle w:val="Heading2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3.5 Valutazione della Qualità Metodologica</w:t>
      </w:r>
    </w:p>
    <w:p w14:paraId="4BC1D894" w14:textId="77777777" w:rsidR="00E43D1F" w:rsidRPr="00430CB7" w:rsidRDefault="00000000" w:rsidP="00430CB7">
      <w:pPr>
        <w:ind w:left="72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QUIPS (Quality In Prognosis Studies) tool</w:t>
      </w:r>
    </w:p>
    <w:p w14:paraId="669E9256" w14:textId="77777777" w:rsidR="00E43D1F" w:rsidRPr="00430CB7" w:rsidRDefault="00000000" w:rsidP="00430CB7">
      <w:pPr>
        <w:ind w:left="72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Valutazione del rischio di bias</w:t>
      </w:r>
    </w:p>
    <w:p w14:paraId="6C60CEA6" w14:textId="77777777" w:rsidR="00E43D1F" w:rsidRPr="00430CB7" w:rsidRDefault="00000000" w:rsidP="00430CB7">
      <w:pPr>
        <w:pStyle w:val="Heading2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3.6 Analisi Statistica: Meta-analisi Bayesiana</w:t>
      </w:r>
    </w:p>
    <w:p w14:paraId="58E4953D" w14:textId="77777777" w:rsidR="00E43D1F" w:rsidRPr="00430CB7" w:rsidRDefault="00000000" w:rsidP="00430CB7">
      <w:pPr>
        <w:ind w:left="72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Razionale per l'approccio bayesiano</w:t>
      </w:r>
    </w:p>
    <w:p w14:paraId="543E2465" w14:textId="77777777" w:rsidR="00E43D1F" w:rsidRPr="00430CB7" w:rsidRDefault="00000000" w:rsidP="00430CB7">
      <w:pPr>
        <w:ind w:left="72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Modello gerarchico bayesiano</w:t>
      </w:r>
    </w:p>
    <w:p w14:paraId="6F070B5C" w14:textId="77777777" w:rsidR="00E43D1F" w:rsidRPr="00430CB7" w:rsidRDefault="00000000" w:rsidP="00430CB7">
      <w:pPr>
        <w:ind w:left="72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Specificazione delle prior:</w:t>
      </w:r>
    </w:p>
    <w:p w14:paraId="7C4BAC00" w14:textId="77777777" w:rsidR="00E43D1F" w:rsidRPr="00430CB7" w:rsidRDefault="00000000" w:rsidP="00430CB7">
      <w:pPr>
        <w:ind w:left="108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- Prior debolmente informative</w:t>
      </w:r>
    </w:p>
    <w:p w14:paraId="7E126545" w14:textId="77777777" w:rsidR="00E43D1F" w:rsidRPr="00430CB7" w:rsidRDefault="00000000" w:rsidP="00430CB7">
      <w:pPr>
        <w:ind w:left="108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- Giustificazione basata sulla plausibilità microbiologica</w:t>
      </w:r>
    </w:p>
    <w:p w14:paraId="22C41037" w14:textId="77777777" w:rsidR="00E43D1F" w:rsidRPr="00430CB7" w:rsidRDefault="00000000" w:rsidP="00430CB7">
      <w:pPr>
        <w:ind w:left="72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Meta-regressione bayesiana (moderatori: specie batterica, source control, soglia TTP)</w:t>
      </w:r>
    </w:p>
    <w:p w14:paraId="56AEC31B" w14:textId="77777777" w:rsidR="00E43D1F" w:rsidRPr="00430CB7" w:rsidRDefault="00000000" w:rsidP="00430CB7">
      <w:pPr>
        <w:ind w:left="72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 xml:space="preserve">Valutazione dell'eterogeneità: </w:t>
      </w:r>
      <w:r w:rsidRPr="00430CB7">
        <w:rPr>
          <w:rFonts w:ascii="Calibri" w:hAnsi="Calibri" w:cs="Calibri"/>
          <w:sz w:val="22"/>
          <w:szCs w:val="22"/>
        </w:rPr>
        <w:t>τ</w:t>
      </w:r>
      <w:r w:rsidRPr="00430CB7">
        <w:rPr>
          <w:rFonts w:ascii="Calibri" w:hAnsi="Calibri" w:cs="Calibri"/>
          <w:sz w:val="22"/>
          <w:szCs w:val="22"/>
          <w:lang w:val="it-IT"/>
        </w:rPr>
        <w:t>², intervalli di predizione</w:t>
      </w:r>
    </w:p>
    <w:p w14:paraId="097FB456" w14:textId="77777777" w:rsidR="00E43D1F" w:rsidRPr="00430CB7" w:rsidRDefault="00000000" w:rsidP="00430CB7">
      <w:pPr>
        <w:ind w:left="72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Analisi di sensibilità e valutazione del publication bias</w:t>
      </w:r>
    </w:p>
    <w:p w14:paraId="0335EC56" w14:textId="77777777" w:rsidR="00E43D1F" w:rsidRPr="00430CB7" w:rsidRDefault="00000000" w:rsidP="00430CB7">
      <w:pPr>
        <w:ind w:left="72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Software: R (pacchetti brms, meta, metafor)</w:t>
      </w:r>
    </w:p>
    <w:p w14:paraId="46B84F59" w14:textId="77777777" w:rsidR="00E43D1F" w:rsidRPr="00430CB7" w:rsidRDefault="00000000" w:rsidP="00430CB7">
      <w:pPr>
        <w:pStyle w:val="Heading1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4. RISULTATI</w:t>
      </w:r>
    </w:p>
    <w:p w14:paraId="27C8D457" w14:textId="77777777" w:rsidR="00E43D1F" w:rsidRPr="00430CB7" w:rsidRDefault="00000000" w:rsidP="00430CB7">
      <w:pPr>
        <w:pStyle w:val="Heading2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4.1 Selezione degli Studi</w:t>
      </w:r>
    </w:p>
    <w:p w14:paraId="5E86D144" w14:textId="77777777" w:rsidR="00E43D1F" w:rsidRPr="00430CB7" w:rsidRDefault="00000000" w:rsidP="00430CB7">
      <w:pPr>
        <w:ind w:left="72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Risultati della ricerca bibliografica</w:t>
      </w:r>
    </w:p>
    <w:p w14:paraId="7516F85D" w14:textId="77777777" w:rsidR="00E43D1F" w:rsidRPr="00430CB7" w:rsidRDefault="00000000" w:rsidP="00430CB7">
      <w:pPr>
        <w:ind w:left="72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Diagramma di flusso PRISMA</w:t>
      </w:r>
    </w:p>
    <w:p w14:paraId="0D42FFC0" w14:textId="77777777" w:rsidR="00E43D1F" w:rsidRPr="00430CB7" w:rsidRDefault="00000000" w:rsidP="00430CB7">
      <w:pPr>
        <w:pStyle w:val="Heading2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4.2 Caratteristiche degli Studi Inclusi</w:t>
      </w:r>
    </w:p>
    <w:p w14:paraId="5E5A14E2" w14:textId="77777777" w:rsidR="00E43D1F" w:rsidRPr="00430CB7" w:rsidRDefault="00000000" w:rsidP="00430CB7">
      <w:pPr>
        <w:ind w:left="72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Tabella riassuntiva</w:t>
      </w:r>
    </w:p>
    <w:p w14:paraId="40DFFB6B" w14:textId="77777777" w:rsidR="00E43D1F" w:rsidRPr="00430CB7" w:rsidRDefault="00000000" w:rsidP="00430CB7">
      <w:pPr>
        <w:ind w:left="72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Valutazione della qualità metodologica (QUIPS)</w:t>
      </w:r>
    </w:p>
    <w:p w14:paraId="6BBCFF20" w14:textId="77777777" w:rsidR="00E43D1F" w:rsidRPr="00430CB7" w:rsidRDefault="00000000" w:rsidP="00430CB7">
      <w:pPr>
        <w:pStyle w:val="Heading2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4.3 Outcome Primari</w:t>
      </w:r>
    </w:p>
    <w:p w14:paraId="4C9464DD" w14:textId="77777777" w:rsidR="00E43D1F" w:rsidRPr="00430CB7" w:rsidRDefault="00000000" w:rsidP="00430CB7">
      <w:pPr>
        <w:ind w:left="72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Batteriemia persistente: analisi principale e forest plot</w:t>
      </w:r>
    </w:p>
    <w:p w14:paraId="73EE3DE3" w14:textId="77777777" w:rsidR="00E43D1F" w:rsidRPr="00430CB7" w:rsidRDefault="00000000" w:rsidP="00430CB7">
      <w:pPr>
        <w:ind w:left="72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Recidiva/ricorrenza: analisi principale e forest plot</w:t>
      </w:r>
    </w:p>
    <w:p w14:paraId="15C911DF" w14:textId="77777777" w:rsidR="00E43D1F" w:rsidRPr="00430CB7" w:rsidRDefault="00000000" w:rsidP="00430CB7">
      <w:pPr>
        <w:ind w:left="72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Clearance microbiologica: analisi principale e forest plot</w:t>
      </w:r>
    </w:p>
    <w:p w14:paraId="5DBF5AC5" w14:textId="77777777" w:rsidR="00E43D1F" w:rsidRPr="00430CB7" w:rsidRDefault="00000000" w:rsidP="00430CB7">
      <w:pPr>
        <w:pStyle w:val="Heading2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4.4 Outcome Secondari</w:t>
      </w:r>
    </w:p>
    <w:p w14:paraId="110A31B4" w14:textId="77777777" w:rsidR="00E43D1F" w:rsidRPr="00430CB7" w:rsidRDefault="00000000" w:rsidP="00430CB7">
      <w:pPr>
        <w:ind w:left="72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Mortalità intraospedaliera e a 30 giorni</w:t>
      </w:r>
    </w:p>
    <w:p w14:paraId="4F217CB7" w14:textId="77777777" w:rsidR="00E43D1F" w:rsidRPr="00430CB7" w:rsidRDefault="00000000" w:rsidP="00430CB7">
      <w:pPr>
        <w:pStyle w:val="Heading2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lastRenderedPageBreak/>
        <w:t>4.5 Analisi per Sottogruppi</w:t>
      </w:r>
    </w:p>
    <w:p w14:paraId="52BA4668" w14:textId="77777777" w:rsidR="00E43D1F" w:rsidRPr="00430CB7" w:rsidRDefault="00000000" w:rsidP="00430CB7">
      <w:pPr>
        <w:ind w:left="72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Per microrganismo: S. aureus, altri Gram-positivi, Gram-negativi</w:t>
      </w:r>
    </w:p>
    <w:p w14:paraId="4F2BDA06" w14:textId="77777777" w:rsidR="00E43D1F" w:rsidRPr="00430CB7" w:rsidRDefault="00000000" w:rsidP="00430CB7">
      <w:pPr>
        <w:ind w:left="72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Per source control status</w:t>
      </w:r>
    </w:p>
    <w:p w14:paraId="6057F4A4" w14:textId="77777777" w:rsidR="00E43D1F" w:rsidRPr="00430CB7" w:rsidRDefault="00000000" w:rsidP="00430CB7">
      <w:pPr>
        <w:ind w:left="72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Per soglia di TTP utilizzata</w:t>
      </w:r>
    </w:p>
    <w:p w14:paraId="295116F7" w14:textId="77777777" w:rsidR="00E43D1F" w:rsidRPr="00430CB7" w:rsidRDefault="00000000" w:rsidP="00430CB7">
      <w:pPr>
        <w:pStyle w:val="Heading2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4.6 Meta-regressione e Analisi di Sensibilità</w:t>
      </w:r>
    </w:p>
    <w:p w14:paraId="26EABDFA" w14:textId="77777777" w:rsidR="00E43D1F" w:rsidRPr="00430CB7" w:rsidRDefault="00000000" w:rsidP="00430CB7">
      <w:pPr>
        <w:ind w:left="72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Identificazione dei moderatori significativi</w:t>
      </w:r>
    </w:p>
    <w:p w14:paraId="1686D4CC" w14:textId="77777777" w:rsidR="00E43D1F" w:rsidRPr="00430CB7" w:rsidRDefault="00000000" w:rsidP="00430CB7">
      <w:pPr>
        <w:ind w:left="72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Robustezza dei risultati</w:t>
      </w:r>
    </w:p>
    <w:p w14:paraId="4D9E59B2" w14:textId="77777777" w:rsidR="00E43D1F" w:rsidRPr="00430CB7" w:rsidRDefault="00000000" w:rsidP="00430CB7">
      <w:pPr>
        <w:ind w:left="72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Valutazione del publication bias</w:t>
      </w:r>
    </w:p>
    <w:p w14:paraId="4EE3D55C" w14:textId="77777777" w:rsidR="00E43D1F" w:rsidRPr="00430CB7" w:rsidRDefault="00000000" w:rsidP="00430CB7">
      <w:pPr>
        <w:pStyle w:val="Heading1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5. DISCUSSIONE</w:t>
      </w:r>
    </w:p>
    <w:p w14:paraId="157D0025" w14:textId="77777777" w:rsidR="00E43D1F" w:rsidRPr="00430CB7" w:rsidRDefault="00000000" w:rsidP="00430CB7">
      <w:pPr>
        <w:pStyle w:val="Heading2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5.1 Sintesi dei Principali Risultati</w:t>
      </w:r>
    </w:p>
    <w:p w14:paraId="777B371F" w14:textId="77777777" w:rsidR="00E43D1F" w:rsidRPr="00430CB7" w:rsidRDefault="00000000" w:rsidP="00430CB7">
      <w:pPr>
        <w:ind w:left="72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Risposta alla domanda di ricerca</w:t>
      </w:r>
    </w:p>
    <w:p w14:paraId="4CFE9C7E" w14:textId="77777777" w:rsidR="00E43D1F" w:rsidRPr="00430CB7" w:rsidRDefault="00000000" w:rsidP="00430CB7">
      <w:pPr>
        <w:ind w:left="72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Quantificazione dell'associazione TTP-fallimento</w:t>
      </w:r>
    </w:p>
    <w:p w14:paraId="5EC66DC1" w14:textId="77777777" w:rsidR="00E43D1F" w:rsidRPr="00430CB7" w:rsidRDefault="00000000" w:rsidP="00430CB7">
      <w:pPr>
        <w:pStyle w:val="Heading2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5.2 Interpretazione nel Contesto Biologico e Clinico</w:t>
      </w:r>
    </w:p>
    <w:p w14:paraId="7D6D7919" w14:textId="77777777" w:rsidR="00E43D1F" w:rsidRPr="00430CB7" w:rsidRDefault="00000000" w:rsidP="00430CB7">
      <w:pPr>
        <w:ind w:left="72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TTP come surrogato della carica batterica</w:t>
      </w:r>
    </w:p>
    <w:p w14:paraId="6BCBBB2D" w14:textId="77777777" w:rsidR="00E43D1F" w:rsidRPr="00430CB7" w:rsidRDefault="00000000" w:rsidP="00430CB7">
      <w:pPr>
        <w:ind w:left="72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Differenze tra Gram-positivi e Gram-negativi</w:t>
      </w:r>
    </w:p>
    <w:p w14:paraId="01D89A5F" w14:textId="77777777" w:rsidR="00E43D1F" w:rsidRPr="00430CB7" w:rsidRDefault="00000000" w:rsidP="00430CB7">
      <w:pPr>
        <w:ind w:left="72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Ruolo del source control</w:t>
      </w:r>
    </w:p>
    <w:p w14:paraId="6DA6ED13" w14:textId="77777777" w:rsidR="00E43D1F" w:rsidRPr="00430CB7" w:rsidRDefault="00000000" w:rsidP="00430CB7">
      <w:pPr>
        <w:pStyle w:val="Heading2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5.3 Confronto con la Letteratura</w:t>
      </w:r>
    </w:p>
    <w:p w14:paraId="37E1E572" w14:textId="77777777" w:rsidR="00E43D1F" w:rsidRPr="00430CB7" w:rsidRDefault="00000000" w:rsidP="00430CB7">
      <w:pPr>
        <w:pStyle w:val="Heading2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5.4 Punti di Forza e Limiti dello Studio</w:t>
      </w:r>
    </w:p>
    <w:p w14:paraId="702C1443" w14:textId="77777777" w:rsidR="00E43D1F" w:rsidRPr="00430CB7" w:rsidRDefault="00000000" w:rsidP="00430CB7">
      <w:pPr>
        <w:ind w:left="72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Vantaggi dell'approccio bayesiano</w:t>
      </w:r>
    </w:p>
    <w:p w14:paraId="661243FA" w14:textId="77777777" w:rsidR="00E43D1F" w:rsidRPr="00430CB7" w:rsidRDefault="00000000" w:rsidP="00430CB7">
      <w:pPr>
        <w:ind w:left="72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Limiti: eterogeneità nelle definizioni, possibile confondimento, publication bias</w:t>
      </w:r>
    </w:p>
    <w:p w14:paraId="65C6AE67" w14:textId="77777777" w:rsidR="00E43D1F" w:rsidRPr="00430CB7" w:rsidRDefault="00000000" w:rsidP="00430CB7">
      <w:pPr>
        <w:pStyle w:val="Heading2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5.5 Implicazioni Cliniche e per la Ricerca Futura</w:t>
      </w:r>
    </w:p>
    <w:p w14:paraId="121D846E" w14:textId="77777777" w:rsidR="00E43D1F" w:rsidRPr="00430CB7" w:rsidRDefault="00000000" w:rsidP="00430CB7">
      <w:pPr>
        <w:ind w:left="72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TTP come strumento di stratificazione prognostica</w:t>
      </w:r>
    </w:p>
    <w:p w14:paraId="116E2FBA" w14:textId="77777777" w:rsidR="00E43D1F" w:rsidRPr="00430CB7" w:rsidRDefault="00000000" w:rsidP="00430CB7">
      <w:pPr>
        <w:ind w:left="72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Applicabilità nella stewardship antimicrobica</w:t>
      </w:r>
    </w:p>
    <w:p w14:paraId="4B29BC26" w14:textId="77777777" w:rsidR="00E43D1F" w:rsidRPr="00430CB7" w:rsidRDefault="00000000" w:rsidP="00430CB7">
      <w:pPr>
        <w:ind w:left="72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Necessità di studi prospettici con definizioni standardizzate</w:t>
      </w:r>
    </w:p>
    <w:p w14:paraId="1B23E5E2" w14:textId="77777777" w:rsidR="00E43D1F" w:rsidRPr="00430CB7" w:rsidRDefault="00000000" w:rsidP="00430CB7">
      <w:pPr>
        <w:pStyle w:val="Heading1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6. CONCLUSIONI</w:t>
      </w:r>
    </w:p>
    <w:p w14:paraId="4B36CE0A" w14:textId="77777777" w:rsidR="00E43D1F" w:rsidRPr="00430CB7" w:rsidRDefault="00000000" w:rsidP="00430CB7">
      <w:pPr>
        <w:ind w:left="72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Conclusioni principali</w:t>
      </w:r>
    </w:p>
    <w:p w14:paraId="108B45A7" w14:textId="77777777" w:rsidR="00E43D1F" w:rsidRPr="00430CB7" w:rsidRDefault="00000000" w:rsidP="00430CB7">
      <w:pPr>
        <w:ind w:left="72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Messaggio chiave per la pratica clinica</w:t>
      </w:r>
    </w:p>
    <w:p w14:paraId="49FBE059" w14:textId="77777777" w:rsidR="00E43D1F" w:rsidRPr="00430CB7" w:rsidRDefault="00000000" w:rsidP="00430CB7">
      <w:pPr>
        <w:pStyle w:val="Heading1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BIBLIOGRAFIA</w:t>
      </w:r>
    </w:p>
    <w:p w14:paraId="5EDA9783" w14:textId="77777777" w:rsidR="00E43D1F" w:rsidRPr="00430CB7" w:rsidRDefault="00000000" w:rsidP="00430CB7">
      <w:pPr>
        <w:ind w:left="72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i/>
          <w:iCs/>
          <w:sz w:val="22"/>
          <w:szCs w:val="22"/>
          <w:lang w:val="it-IT"/>
        </w:rPr>
        <w:t>(gestita con Zotero)</w:t>
      </w:r>
    </w:p>
    <w:p w14:paraId="02F36CFD" w14:textId="77777777" w:rsidR="00E43D1F" w:rsidRPr="00430CB7" w:rsidRDefault="00000000" w:rsidP="00430CB7">
      <w:pPr>
        <w:pStyle w:val="Heading1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APPENDICI</w:t>
      </w:r>
    </w:p>
    <w:p w14:paraId="4FA8C4B4" w14:textId="77777777" w:rsidR="00E43D1F" w:rsidRPr="00430CB7" w:rsidRDefault="00000000" w:rsidP="00430CB7">
      <w:pPr>
        <w:ind w:left="72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Appendice A: Strategia di ricerca completa per database</w:t>
      </w:r>
    </w:p>
    <w:p w14:paraId="188F2056" w14:textId="77777777" w:rsidR="00E43D1F" w:rsidRPr="00430CB7" w:rsidRDefault="00000000" w:rsidP="00430CB7">
      <w:pPr>
        <w:ind w:left="72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Appendice B: Lista degli studi esclusi con motivazioni</w:t>
      </w:r>
    </w:p>
    <w:p w14:paraId="45D83FC9" w14:textId="77777777" w:rsidR="00E43D1F" w:rsidRPr="00430CB7" w:rsidRDefault="00000000" w:rsidP="00430CB7">
      <w:pPr>
        <w:ind w:left="72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Appendice C: Valutazione QUIPS dettagliata</w:t>
      </w:r>
    </w:p>
    <w:p w14:paraId="1413D2DF" w14:textId="77777777" w:rsidR="00E43D1F" w:rsidRPr="00430CB7" w:rsidRDefault="00000000" w:rsidP="00430CB7">
      <w:pPr>
        <w:ind w:left="72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t>Appendice D: Codice R per le analisi bayesiane</w:t>
      </w:r>
    </w:p>
    <w:p w14:paraId="578D681D" w14:textId="77777777" w:rsidR="00E43D1F" w:rsidRPr="00430CB7" w:rsidRDefault="00000000" w:rsidP="00430CB7">
      <w:pPr>
        <w:ind w:left="720"/>
        <w:rPr>
          <w:rFonts w:ascii="Calibri" w:hAnsi="Calibri" w:cs="Calibri"/>
          <w:sz w:val="22"/>
          <w:szCs w:val="22"/>
          <w:lang w:val="it-IT"/>
        </w:rPr>
      </w:pPr>
      <w:r w:rsidRPr="00430CB7">
        <w:rPr>
          <w:rFonts w:ascii="Calibri" w:hAnsi="Calibri" w:cs="Calibri"/>
          <w:sz w:val="22"/>
          <w:szCs w:val="22"/>
          <w:lang w:val="it-IT"/>
        </w:rPr>
        <w:lastRenderedPageBreak/>
        <w:t>Appendice E: Analisi di sensibilità supplementari</w:t>
      </w:r>
    </w:p>
    <w:p w14:paraId="66DFF5BA" w14:textId="77777777" w:rsidR="00E43D1F" w:rsidRPr="00430CB7" w:rsidRDefault="00E43D1F" w:rsidP="00430CB7">
      <w:pPr>
        <w:spacing w:before="600"/>
        <w:rPr>
          <w:rFonts w:ascii="Calibri" w:hAnsi="Calibri" w:cs="Calibri"/>
          <w:sz w:val="22"/>
          <w:szCs w:val="22"/>
          <w:lang w:val="it-IT"/>
        </w:rPr>
      </w:pPr>
    </w:p>
    <w:p w14:paraId="38E2CE91" w14:textId="77777777" w:rsidR="00E43D1F" w:rsidRPr="00430CB7" w:rsidRDefault="00000000" w:rsidP="00430CB7">
      <w:pPr>
        <w:spacing w:before="400" w:after="200"/>
        <w:rPr>
          <w:rFonts w:ascii="Calibri" w:hAnsi="Calibri" w:cs="Calibri"/>
          <w:sz w:val="22"/>
          <w:szCs w:val="22"/>
        </w:rPr>
      </w:pPr>
      <w:r w:rsidRPr="00430CB7">
        <w:rPr>
          <w:rFonts w:ascii="Calibri" w:hAnsi="Calibri" w:cs="Calibri"/>
          <w:b/>
          <w:bCs/>
          <w:i/>
          <w:iCs/>
          <w:sz w:val="22"/>
          <w:szCs w:val="22"/>
        </w:rPr>
        <w:t>Lunghezza stimata: 70-85 pagine</w:t>
      </w:r>
    </w:p>
    <w:p w14:paraId="3D85EEF0" w14:textId="77777777" w:rsidR="00430CB7" w:rsidRPr="00430CB7" w:rsidRDefault="00430CB7">
      <w:pPr>
        <w:spacing w:before="400" w:after="200"/>
        <w:rPr>
          <w:rFonts w:ascii="Calibri" w:hAnsi="Calibri" w:cs="Calibri"/>
          <w:sz w:val="22"/>
          <w:szCs w:val="22"/>
        </w:rPr>
      </w:pPr>
    </w:p>
    <w:sectPr w:rsidR="00430CB7" w:rsidRPr="00430CB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980617"/>
    <w:multiLevelType w:val="hybridMultilevel"/>
    <w:tmpl w:val="99BE899C"/>
    <w:lvl w:ilvl="0" w:tplc="B20C0FC8">
      <w:start w:val="1"/>
      <w:numFmt w:val="bullet"/>
      <w:lvlText w:val="●"/>
      <w:lvlJc w:val="left"/>
      <w:pPr>
        <w:ind w:left="720" w:hanging="360"/>
      </w:pPr>
    </w:lvl>
    <w:lvl w:ilvl="1" w:tplc="EB92FC4C">
      <w:start w:val="1"/>
      <w:numFmt w:val="bullet"/>
      <w:lvlText w:val="○"/>
      <w:lvlJc w:val="left"/>
      <w:pPr>
        <w:ind w:left="1440" w:hanging="360"/>
      </w:pPr>
    </w:lvl>
    <w:lvl w:ilvl="2" w:tplc="B6C8CDDA">
      <w:start w:val="1"/>
      <w:numFmt w:val="bullet"/>
      <w:lvlText w:val="■"/>
      <w:lvlJc w:val="left"/>
      <w:pPr>
        <w:ind w:left="2160" w:hanging="360"/>
      </w:pPr>
    </w:lvl>
    <w:lvl w:ilvl="3" w:tplc="A3546CF8">
      <w:start w:val="1"/>
      <w:numFmt w:val="bullet"/>
      <w:lvlText w:val="●"/>
      <w:lvlJc w:val="left"/>
      <w:pPr>
        <w:ind w:left="2880" w:hanging="360"/>
      </w:pPr>
    </w:lvl>
    <w:lvl w:ilvl="4" w:tplc="E9F4D0C0">
      <w:start w:val="1"/>
      <w:numFmt w:val="bullet"/>
      <w:lvlText w:val="○"/>
      <w:lvlJc w:val="left"/>
      <w:pPr>
        <w:ind w:left="3600" w:hanging="360"/>
      </w:pPr>
    </w:lvl>
    <w:lvl w:ilvl="5" w:tplc="09381146">
      <w:start w:val="1"/>
      <w:numFmt w:val="bullet"/>
      <w:lvlText w:val="■"/>
      <w:lvlJc w:val="left"/>
      <w:pPr>
        <w:ind w:left="4320" w:hanging="360"/>
      </w:pPr>
    </w:lvl>
    <w:lvl w:ilvl="6" w:tplc="EF7E4B02">
      <w:start w:val="1"/>
      <w:numFmt w:val="bullet"/>
      <w:lvlText w:val="●"/>
      <w:lvlJc w:val="left"/>
      <w:pPr>
        <w:ind w:left="5040" w:hanging="360"/>
      </w:pPr>
    </w:lvl>
    <w:lvl w:ilvl="7" w:tplc="F52ADF3A">
      <w:start w:val="1"/>
      <w:numFmt w:val="bullet"/>
      <w:lvlText w:val="●"/>
      <w:lvlJc w:val="left"/>
      <w:pPr>
        <w:ind w:left="5760" w:hanging="360"/>
      </w:pPr>
    </w:lvl>
    <w:lvl w:ilvl="8" w:tplc="4AB8CA5E">
      <w:start w:val="1"/>
      <w:numFmt w:val="bullet"/>
      <w:lvlText w:val="●"/>
      <w:lvlJc w:val="left"/>
      <w:pPr>
        <w:ind w:left="6480" w:hanging="360"/>
      </w:pPr>
    </w:lvl>
  </w:abstractNum>
  <w:num w:numId="1" w16cid:durableId="180846964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40"/>
  <w:displayBackgroundShape/>
  <w:hideSpellingErrors/>
  <w:hideGrammaticalError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3D1F"/>
    <w:rsid w:val="0032251C"/>
    <w:rsid w:val="00430CB7"/>
    <w:rsid w:val="004913A5"/>
    <w:rsid w:val="00B06781"/>
    <w:rsid w:val="00E43D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110BAF"/>
  <w15:docId w15:val="{308C92EC-2307-354A-A089-F93673958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sz w:val="28"/>
      <w:szCs w:val="28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2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724</Words>
  <Characters>5014</Characters>
  <Application>Microsoft Office Word</Application>
  <DocSecurity>0</DocSecurity>
  <Lines>143</Lines>
  <Paragraphs>139</Paragraphs>
  <ScaleCrop>false</ScaleCrop>
  <Company/>
  <LinksUpToDate>false</LinksUpToDate>
  <CharactersWithSpaces>5600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Russell Edward Lewis</cp:lastModifiedBy>
  <cp:revision>2</cp:revision>
  <dcterms:created xsi:type="dcterms:W3CDTF">2026-02-06T07:02:00Z</dcterms:created>
  <dcterms:modified xsi:type="dcterms:W3CDTF">2026-02-06T07:02:00Z</dcterms:modified>
</cp:coreProperties>
</file>