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firstLine="480" w:firstLineChars="200"/>
        <w:textAlignment w:val="auto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  <w:lang w:val="en-US" w:eastAsia="zh-CN"/>
        </w:rPr>
        <w:t>为</w:t>
      </w:r>
      <w:r>
        <w:rPr>
          <w:rFonts w:hint="eastAsia" w:ascii="仿宋_GB2312" w:hAnsi="宋体" w:eastAsia="仿宋_GB2312"/>
          <w:sz w:val="24"/>
          <w:szCs w:val="24"/>
        </w:rPr>
        <w:t>直播数据智算机房</w:t>
      </w:r>
      <w:r>
        <w:rPr>
          <w:rFonts w:hint="eastAsia" w:ascii="仿宋_GB2312" w:hAnsi="宋体" w:eastAsia="仿宋_GB2312"/>
          <w:sz w:val="24"/>
          <w:szCs w:val="24"/>
          <w:lang w:val="en-US" w:eastAsia="zh-CN"/>
        </w:rPr>
        <w:t>进行服务器上架及集成联调，</w:t>
      </w:r>
      <w:r>
        <w:rPr>
          <w:rFonts w:hint="eastAsia" w:ascii="仿宋_GB2312" w:hAnsi="宋体" w:eastAsia="仿宋_GB2312" w:cs="宋体"/>
          <w:sz w:val="24"/>
          <w:szCs w:val="24"/>
          <w:lang w:val="en-US" w:eastAsia="zh-CN"/>
        </w:rPr>
        <w:t>具体服务器清单见附件</w:t>
      </w:r>
    </w:p>
    <w:tbl>
      <w:tblPr>
        <w:tblStyle w:val="11"/>
        <w:tblpPr w:leftFromText="180" w:rightFromText="180" w:vertAnchor="text" w:horzAnchor="page" w:tblpX="1388" w:tblpY="472"/>
        <w:tblOverlap w:val="never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533"/>
        <w:gridCol w:w="5186"/>
        <w:gridCol w:w="648"/>
        <w:gridCol w:w="7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201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产品</w:t>
            </w:r>
          </w:p>
        </w:tc>
        <w:tc>
          <w:tcPr>
            <w:tcW w:w="15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品牌</w:t>
            </w:r>
          </w:p>
        </w:tc>
        <w:tc>
          <w:tcPr>
            <w:tcW w:w="518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参数</w:t>
            </w:r>
          </w:p>
        </w:tc>
        <w:tc>
          <w:tcPr>
            <w:tcW w:w="6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单位</w:t>
            </w:r>
          </w:p>
        </w:tc>
        <w:tc>
          <w:tcPr>
            <w:tcW w:w="79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20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运算服务器</w:t>
            </w:r>
          </w:p>
        </w:tc>
        <w:tc>
          <w:tcPr>
            <w:tcW w:w="15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定制</w:t>
            </w:r>
          </w:p>
        </w:tc>
        <w:tc>
          <w:tcPr>
            <w:tcW w:w="518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机箱：4U服务器机箱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主板：嵌入式工业级主板，配风扇的散热模块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内存：SO-DIMM内存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接口：VGA、USB、以太网等接口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扩展：6 槽位 PCIe 扩展板，搭配NVIDIA GeForce RTX显卡(不含显卡）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电源：定制多路输出电源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光模块：双光千兆</w:t>
            </w:r>
          </w:p>
        </w:tc>
        <w:tc>
          <w:tcPr>
            <w:tcW w:w="6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台</w:t>
            </w:r>
          </w:p>
        </w:tc>
        <w:tc>
          <w:tcPr>
            <w:tcW w:w="79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120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存储服务器</w:t>
            </w:r>
          </w:p>
        </w:tc>
        <w:tc>
          <w:tcPr>
            <w:tcW w:w="15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  <w:t>定制</w:t>
            </w:r>
          </w:p>
        </w:tc>
        <w:tc>
          <w:tcPr>
            <w:tcW w:w="518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机箱：4U服务器机箱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电源：长城GW-GRPS800-2H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内存：skhynix 32GB DDR4-2133P ECC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网卡：双口光纤网卡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CPU:Intel Xeon处理器（双路）单颗核心数量28-40核，主频2.0GHZ以上，支持超线程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主板：supermicro 双路服务器主板，支撑两颗CPU及多根DDR4 ECC内存条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硬盘：8TB,DC HC320*36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光模块：双光千兆</w:t>
            </w:r>
          </w:p>
        </w:tc>
        <w:tc>
          <w:tcPr>
            <w:tcW w:w="6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台</w:t>
            </w:r>
          </w:p>
        </w:tc>
        <w:tc>
          <w:tcPr>
            <w:tcW w:w="79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388</w:t>
            </w:r>
          </w:p>
        </w:tc>
      </w:tr>
    </w:tbl>
    <w:p/>
    <w:p/>
    <w:tbl>
      <w:tblPr>
        <w:tblStyle w:val="11"/>
        <w:tblpPr w:leftFromText="180" w:rightFromText="180" w:vertAnchor="text" w:horzAnchor="page" w:tblpX="1388" w:tblpY="472"/>
        <w:tblOverlap w:val="never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533"/>
        <w:gridCol w:w="5186"/>
        <w:gridCol w:w="648"/>
        <w:gridCol w:w="7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201" w:type="dxa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</w:t>
            </w:r>
          </w:p>
        </w:tc>
        <w:tc>
          <w:tcPr>
            <w:tcW w:w="15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名称</w:t>
            </w:r>
          </w:p>
        </w:tc>
        <w:tc>
          <w:tcPr>
            <w:tcW w:w="518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参数</w:t>
            </w:r>
          </w:p>
        </w:tc>
        <w:tc>
          <w:tcPr>
            <w:tcW w:w="6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单位</w:t>
            </w:r>
          </w:p>
        </w:tc>
        <w:tc>
          <w:tcPr>
            <w:tcW w:w="79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20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运算服务器</w:t>
            </w:r>
          </w:p>
        </w:tc>
        <w:tc>
          <w:tcPr>
            <w:tcW w:w="15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服务器</w:t>
            </w:r>
          </w:p>
        </w:tc>
        <w:tc>
          <w:tcPr>
            <w:tcW w:w="518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机箱：4U服务器机箱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主板：嵌入式工业级主板，配风扇的散热模块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内存：SO-DIMM内存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接口：VGA、USB、以太网等接口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扩展：6 槽位 PCIe 扩展板，搭配NVIDIA GeForce RTX显卡，RTX5090×6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电源：定制多路输出电源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yellow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光模块：双光千兆</w:t>
            </w:r>
          </w:p>
        </w:tc>
        <w:tc>
          <w:tcPr>
            <w:tcW w:w="6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台</w:t>
            </w:r>
          </w:p>
        </w:tc>
        <w:tc>
          <w:tcPr>
            <w:tcW w:w="79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201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运算服务器</w:t>
            </w:r>
          </w:p>
        </w:tc>
        <w:tc>
          <w:tcPr>
            <w:tcW w:w="15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服务器</w:t>
            </w:r>
          </w:p>
        </w:tc>
        <w:tc>
          <w:tcPr>
            <w:tcW w:w="518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机箱：4U服务器机箱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主板：嵌入式工业级主板，配风扇的散热模块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内存：SO-DIMM内存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接口：VGA、USB、以太网等接口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扩展：6 槽位 PCIe 扩展板，搭配NVIDIA GeForce RTX显卡，RTX4090×6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电源：定制多路输出电源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光模块：双光千兆</w:t>
            </w:r>
          </w:p>
        </w:tc>
        <w:tc>
          <w:tcPr>
            <w:tcW w:w="64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台</w:t>
            </w:r>
          </w:p>
        </w:tc>
        <w:tc>
          <w:tcPr>
            <w:tcW w:w="79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150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32302"/>
    <w:multiLevelType w:val="multilevel"/>
    <w:tmpl w:val="83B32302"/>
    <w:lvl w:ilvl="0" w:tentative="0">
      <w:start w:val="1"/>
      <w:numFmt w:val="none"/>
      <w:pStyle w:val="2"/>
      <w:lvlText w:val="%1"/>
      <w:lvlJc w:val="left"/>
      <w:pPr>
        <w:ind w:left="57" w:hanging="57"/>
      </w:pPr>
      <w:rPr>
        <w:rFonts w:hint="eastAsia" w:ascii="黑体" w:eastAsia="黑体"/>
        <w:b/>
        <w:i w:val="0"/>
        <w:sz w:val="36"/>
      </w:rPr>
    </w:lvl>
    <w:lvl w:ilvl="1" w:tentative="0">
      <w:start w:val="1"/>
      <w:numFmt w:val="decimal"/>
      <w:pStyle w:val="3"/>
      <w:isLgl/>
      <w:lvlText w:val="%16.%2"/>
      <w:lvlJc w:val="left"/>
      <w:pPr>
        <w:ind w:left="114" w:hanging="57"/>
      </w:pPr>
      <w:rPr>
        <w:rFonts w:hint="eastAsia" w:ascii="黑体" w:eastAsia="黑体"/>
        <w:b/>
        <w:i w:val="0"/>
        <w:sz w:val="32"/>
      </w:rPr>
    </w:lvl>
    <w:lvl w:ilvl="2" w:tentative="0">
      <w:start w:val="1"/>
      <w:numFmt w:val="decimal"/>
      <w:pStyle w:val="4"/>
      <w:isLgl/>
      <w:lvlText w:val="%16.%2.%3"/>
      <w:lvlJc w:val="left"/>
      <w:pPr>
        <w:ind w:left="171" w:hanging="57"/>
      </w:pPr>
      <w:rPr>
        <w:rFonts w:hint="eastAsia" w:ascii="黑体" w:eastAsia="黑体"/>
        <w:b/>
        <w:i w:val="0"/>
        <w:sz w:val="30"/>
      </w:rPr>
    </w:lvl>
    <w:lvl w:ilvl="3" w:tentative="0">
      <w:start w:val="1"/>
      <w:numFmt w:val="decimal"/>
      <w:pStyle w:val="5"/>
      <w:isLgl/>
      <w:lvlText w:val="%16.%2.%3.%4"/>
      <w:lvlJc w:val="left"/>
      <w:pPr>
        <w:ind w:left="228" w:hanging="57"/>
      </w:pPr>
      <w:rPr>
        <w:rFonts w:hint="eastAsia" w:ascii="黑体" w:eastAsia="黑体"/>
        <w:b/>
        <w:i w:val="0"/>
        <w:sz w:val="28"/>
      </w:rPr>
    </w:lvl>
    <w:lvl w:ilvl="4" w:tentative="0">
      <w:start w:val="1"/>
      <w:numFmt w:val="decimal"/>
      <w:pStyle w:val="6"/>
      <w:isLgl/>
      <w:lvlText w:val="%16.%2.%3.%4.%5"/>
      <w:lvlJc w:val="left"/>
      <w:pPr>
        <w:ind w:left="285" w:hanging="57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pStyle w:val="7"/>
      <w:isLgl/>
      <w:lvlText w:val="%16.%2.%3.%4.%5.%6"/>
      <w:lvlJc w:val="left"/>
      <w:pPr>
        <w:ind w:left="342" w:hanging="57"/>
      </w:pPr>
      <w:rPr>
        <w:rFonts w:hint="eastAsia" w:ascii="黑体" w:eastAsia="黑体"/>
        <w:b/>
        <w:i w:val="0"/>
        <w:sz w:val="24"/>
      </w:rPr>
    </w:lvl>
    <w:lvl w:ilvl="6" w:tentative="0">
      <w:start w:val="1"/>
      <w:numFmt w:val="decimal"/>
      <w:pStyle w:val="8"/>
      <w:isLgl/>
      <w:lvlText w:val="%16.%2.%3.%4.%5.%6.%7"/>
      <w:lvlJc w:val="left"/>
      <w:pPr>
        <w:ind w:left="399" w:hanging="57"/>
      </w:pPr>
      <w:rPr>
        <w:rFonts w:hint="eastAsia" w:ascii="黑体" w:eastAsia="黑体"/>
        <w:b/>
        <w:i w:val="0"/>
        <w:sz w:val="24"/>
      </w:rPr>
    </w:lvl>
    <w:lvl w:ilvl="7" w:tentative="0">
      <w:start w:val="1"/>
      <w:numFmt w:val="decimal"/>
      <w:pStyle w:val="9"/>
      <w:isLgl/>
      <w:lvlText w:val="%16.%2.%3.%4.%5.%6.%7.%8"/>
      <w:lvlJc w:val="left"/>
      <w:pPr>
        <w:ind w:left="456" w:hanging="57"/>
      </w:pPr>
      <w:rPr>
        <w:rFonts w:hint="eastAsia" w:ascii="黑体" w:eastAsia="黑体"/>
        <w:b/>
        <w:i w:val="0"/>
        <w:sz w:val="24"/>
      </w:rPr>
    </w:lvl>
    <w:lvl w:ilvl="8" w:tentative="0">
      <w:start w:val="1"/>
      <w:numFmt w:val="decimal"/>
      <w:pStyle w:val="10"/>
      <w:isLgl/>
      <w:lvlText w:val="%16.%2.%3.%4.%5.%6.%7.%8.%9"/>
      <w:lvlJc w:val="left"/>
      <w:pPr>
        <w:ind w:left="513" w:hanging="57"/>
      </w:pPr>
      <w:rPr>
        <w:rFonts w:hint="eastAsia" w:ascii="黑体" w:eastAsia="黑体"/>
        <w:b/>
        <w:i w:val="0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8A1D52"/>
    <w:rsid w:val="27BC422C"/>
    <w:rsid w:val="3634584D"/>
    <w:rsid w:val="6F58476F"/>
    <w:rsid w:val="7E2C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57" w:hanging="57"/>
      <w:outlineLvl w:val="0"/>
    </w:pPr>
    <w:rPr>
      <w:kern w:val="44"/>
      <w:sz w:val="44"/>
    </w:rPr>
  </w:style>
  <w:style w:type="paragraph" w:styleId="3">
    <w:name w:val="heading 2"/>
    <w:basedOn w:val="1"/>
    <w:next w:val="1"/>
    <w:link w:val="13"/>
    <w:semiHidden/>
    <w:unhideWhenUsed/>
    <w:qFormat/>
    <w:uiPriority w:val="0"/>
    <w:pPr>
      <w:keepNext/>
      <w:keepLines/>
      <w:numPr>
        <w:ilvl w:val="1"/>
        <w:numId w:val="1"/>
      </w:numPr>
      <w:spacing w:before="200" w:after="200"/>
      <w:outlineLvl w:val="1"/>
    </w:pPr>
    <w:rPr>
      <w:rFonts w:ascii="宋体" w:hAnsi="宋体" w:eastAsia="宋体" w:cstheme="majorBidi"/>
      <w:bCs/>
      <w:sz w:val="24"/>
      <w:szCs w:val="32"/>
    </w:rPr>
  </w:style>
  <w:style w:type="paragraph" w:styleId="4">
    <w:name w:val="heading 3"/>
    <w:basedOn w:val="5"/>
    <w:next w:val="1"/>
    <w:link w:val="14"/>
    <w:semiHidden/>
    <w:unhideWhenUsed/>
    <w:qFormat/>
    <w:uiPriority w:val="0"/>
    <w:pPr>
      <w:numPr>
        <w:ilvl w:val="2"/>
        <w:numId w:val="1"/>
      </w:numPr>
      <w:outlineLvl w:val="2"/>
    </w:pPr>
    <w:rPr>
      <w:rFonts w:ascii="宋体" w:hAnsi="宋体" w:eastAsia="宋体" w:cs="Times New Roman"/>
      <w:bCs/>
      <w:sz w:val="24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228" w:hanging="57"/>
      <w:outlineLvl w:val="3"/>
    </w:pPr>
    <w:rPr>
      <w:rFonts w:ascii="Arial" w:hAnsi="Arial" w:eastAsia="黑体"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285" w:hanging="57"/>
      <w:outlineLvl w:val="4"/>
    </w:pPr>
    <w:rPr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342" w:hanging="57"/>
      <w:outlineLvl w:val="5"/>
    </w:pPr>
    <w:rPr>
      <w:rFonts w:ascii="Arial" w:hAnsi="Arial" w:eastAsia="黑体"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399" w:hanging="57"/>
      <w:outlineLvl w:val="6"/>
    </w:pPr>
    <w:rPr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456" w:hanging="57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513" w:hanging="57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2 字符"/>
    <w:basedOn w:val="12"/>
    <w:link w:val="3"/>
    <w:qFormat/>
    <w:uiPriority w:val="9"/>
    <w:rPr>
      <w:rFonts w:ascii="宋体" w:hAnsi="宋体" w:eastAsia="宋体" w:cstheme="majorBidi"/>
      <w:b/>
      <w:bCs/>
      <w:sz w:val="24"/>
      <w:szCs w:val="32"/>
    </w:rPr>
  </w:style>
  <w:style w:type="character" w:customStyle="1" w:styleId="14">
    <w:name w:val="标题 3 字符"/>
    <w:link w:val="4"/>
    <w:qFormat/>
    <w:uiPriority w:val="0"/>
    <w:rPr>
      <w:rFonts w:ascii="宋体" w:hAnsi="宋体" w:eastAsia="宋体" w:cs="Times New Roman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2025-03-13T16:52:00Z</dcterms:created>
  <dc:creator>huanglinjin</dc:creator>
  <cp:lastModifiedBy>Lin</cp:lastModifiedBy>
  <dcterms:modified xsi:type="dcterms:W3CDTF">2026-07-21T08:59:52Z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8349A0431B9E453B8C0429E35447D87A</vt:lpwstr>
  </property>
</Properties>
</file>