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80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7  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Полином от трех переменных с целочисленными коэффициентами представить в виде списка коэффициентов полинома. Каждый элемент содержит значение коэффициента и значение показателей степеней переменных при этом коэффициенте. Вектора показателей степеней упорядочены в лексиграфическом порядке соответствующих переменных. Программа должна содержать следующие процедуры: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построение списка по полиному, заданному массивом коэффициентов в некотором текстовом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исходного вида полинома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элемента в некоторую позицию списка (при вставке учесть существует ли подобный элемент в списке, если да –то заменить существующий);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для данного показателей степеней удаление соответствующего элемента из списка;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Используя списки, построить сумму двух полиномов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Реализовать операцию построения полинома, являющегося частной производной исходного полинома по одному из его переменных </w:t>
      </w:r>
      <w:r>
        <w:rPr/>
        <w:t>(переменная задается в интерактивном режиме)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Вычислить значение полинома в некоторой точке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Найти вектор степеней слагаемого многочлена, имеющий минимальный коэффициент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921"/>
        </w:tabs>
        <w:ind w:left="92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2a5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2a2a5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2a2a5a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Application>LibreOffice/5.2.7.2$Linux_x86 LibreOffice_project/20m0$Build-2</Application>
  <Pages>1</Pages>
  <Words>266</Words>
  <Characters>1794</Characters>
  <CharactersWithSpaces>2032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2013-01-15T06:26:00Z</dcterms:created>
  <dc:creator>Программист</dc:creator>
  <dc:description/>
  <dc:language>ru-RU</dc:language>
  <cp:lastModifiedBy/>
  <dcterms:modified xsi:type="dcterms:W3CDTF">2018-02-26T10:19:20Z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