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Утверждаю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_____________________Рахимбердиев Ж.Х.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ДОЛЖНОСТНАЯ ИНСТРУКЦИЯ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МЕНЕДЖЕР ПО КООРДИНАЦИИ БИЗНЕС-ПРОЦЕССОВ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Общие положения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  На должность </w:t>
      </w:r>
      <w:bookmarkStart w:id="0" w:name="_Hlk17042617"/>
      <w:r>
        <w:rPr>
          <w:rFonts w:cs="Times New Roman" w:ascii="Times New Roman" w:hAnsi="Times New Roman"/>
          <w:sz w:val="24"/>
          <w:szCs w:val="24"/>
        </w:rPr>
        <w:t>менеджера по координации бизнес-процессов</w:t>
      </w:r>
      <w:bookmarkEnd w:id="0"/>
      <w:r>
        <w:rPr>
          <w:rFonts w:cs="Times New Roman" w:ascii="Times New Roman" w:hAnsi="Times New Roman"/>
          <w:sz w:val="24"/>
          <w:szCs w:val="24"/>
        </w:rPr>
        <w:t xml:space="preserve"> назначается лицо, имеющее высшее профессиональное (экономическое, математическое) образование.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Менеджер по координации бизнес-процессов должен знать: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  основы теории организации;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2.2.  правовые аспекты бизнес-анализа и управления проектами;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2.3.  основы маркетинга и менеджмента;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2.4.  основы логистики;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2.5.  контроллинг;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2.6.  правила проведения и оформления презентации;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2.7.  локальные нормативные акты компании, ее стратегию;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2.8.  структуру компании, направление ее деятельности, распределение обязанностей между высшими должностными лицами компании;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2.9.  положения, инструкции, определяющие порядок взаимодействия подразделений компании;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2.10.  стандарт предприятия по описанию, регламентации и внутреннему аудиту бизнес-процессов;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2.11.  текущие приказы и распоряжения руководства компании по аудиту и оптимизации бизнес-процессов;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2.12.  передовой отечественный и зарубежный опыт совершенствования менеджмента предприятия;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2.13.  действующую утвержденную бизнес-модель функционирования предприятия;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2.14.  законодательство о труде и охране труда Республики Узбекистан;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  Назначение на должность менеджера по координации бизнес-процессов и освобождение от должности производится приказом руководителя предприятия.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  Менеджер по координации бизнес-процессов подчиняется Генеральному директору, руководителю отдела по координации бизнес-процессов.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2. Функции и задачи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Менеджер по координации бизнес-процессов выполняет следующие задачи: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  Работа с банками.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  Участие в совершенствовании методики обследования бизнес-процессов предприятия.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  Участие в формировании управленческой отчетности.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 Участие в ценообразовании.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6. Контроль за работой специалистов отдела по координации бизнес-процессов.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3. Должностные обязанности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Менеджер по координации бизнес-процессов: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  Участвует в определении общую концепцию политики развития компании.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  Обосновывает цели развития предприятия.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  Разрабатывает эффективную стратегию развития предприятия.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  Участвует в организации презентаций проектов оптимизации бизнес-процессов предприятия высшему руководству, отвечает на вопросы руководства по проектам.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  После утверждения проектов оптимизации бизнес-процессов предприятия организует разработку, утверждение соответствующей документации.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  Формирует рекомендации по внедрению оптимизированных бизнес-процессов предприятия и изменению организационной структуры.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  Координирует работы по реализации проектов на всех этапах, контролирует соответствие принимаемых решений и совершаемых действий основной концепции оптимизации бизнес-процессов предприятия.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  Участвует в процессе внедрения изменений в корпоративную информационную систему в соответствии с оптимизированными бизнес-процессами.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9.  Эффективно выполнять все возложенные на него обязанности, предоставлять достоверную информацию, касающуюся анализа протекающих в компании бизнес-процессов, их оптимизации, контролировать соблюдение плановых сроков и других условий выполнения возложенных на него проектов.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10. Участвует в ценообразовании.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4. Должностное право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Менеджер по координации бизнес-процессов имеет должностное право: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  Запрашивать и получать от руководителей подразделений предприятия и специалистов необходимые информацию и документы.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  Проводить опрос или интервью, анкетирование должностных лиц предприятия с целью анализа и оптимизации бизнес-процессов, сбора необходимой информации, определения недостатков существующей системы бизнес-процессов предприятия, изучения потребности в ее дальнейшем усовершенствовании.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  Получать в установленном порядке от должностных лиц компании отзывы/рекомендации на вновь разрабатываемые документы, относящиеся к бизнес-процессам, в которых они непосредственно задействованы.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  Знакомиться с документами, определяющими его права и обязанности по занимаемой должности, критерии оценки качества исполнения должностных обязанностей.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  Вносить на рассмотрение руководства предложения по совершенствованию работы, связанной с предусмотренными настоящей инструкцией обязанностями.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  В случае необходимости выезжать в командировки.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5. Ответственность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Менеджер по координации бизнес-процессов несет ответственность: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  За ненадлежащее исполнение или неисполнение своих должностных обязанностей, предусмотренных настоящей должностной инструкцией — в пределах, установленных действующим трудовым законодательством Республики Узбекистан.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  За правонарушения, совершенные в процессе своей деятельности — в пределах, установленных действующим административным, уголовным и гражданским законодательством Республики Узбекистан.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  За причинение материального ущерба предприятию — в пределах, установленных действующим трудовым и гражданским законодательством Республики Узбекистан.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За причинения вреда информации, хранимой в информационной базе Компании.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619"/>
        <w:gridCol w:w="655"/>
        <w:gridCol w:w="3555"/>
        <w:gridCol w:w="466"/>
        <w:gridCol w:w="2060"/>
      </w:tblGrid>
      <w:tr>
        <w:trPr/>
        <w:tc>
          <w:tcPr>
            <w:tcW w:w="6829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С инструкцией ознакомлен: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619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  <w:t>${fio}</w:t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2060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  <w:t>${app_date}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(Ф.И.О.)</w:t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(дата)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irtec Times New Roman Uz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1665ff"/>
    <w:rPr>
      <w:color w:themeColor="hyperlink"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c93130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LibreOffice/24.8.3.2$Linux_X86_64 LibreOffice_project/e14c9fdd1f585efcbb2c5363087a99d20928d522</Application>
  <AppVersion>15.0000</AppVersion>
  <Pages>3</Pages>
  <Words>543</Words>
  <Characters>4473</Characters>
  <CharactersWithSpaces>4995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2023-05-12T08:12:00Z</dcterms:created>
  <dc:creator>Lena</dc:creator>
  <dc:description/>
  <dc:language>en-US</dc:language>
  <cp:lastModifiedBy/>
  <cp:lastPrinted>2022-02-10T05:21:00Z</cp:lastPrinted>
  <dcterms:modified xsi:type="dcterms:W3CDTF">2025-01-23T17:06:15Z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