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numPr>
          <w:ilvl w:val="0"/>
          <w:numId w:val="0"/>
        </w:numPr>
        <w:shd w:val="clear" w:color="auto" w:fill="FFFFFF"/>
        <w:jc w:val="right"/>
        <w:outlineLvl w:val="0"/>
        <w:rPr>
          <w:b/>
          <w:bCs/>
          <w:iCs/>
          <w:color w:val="000000"/>
          <w:kern w:val="2"/>
          <w:lang w:eastAsia="ru-RU"/>
        </w:rPr>
      </w:pPr>
      <w:r>
        <w:rPr>
          <w:b/>
          <w:bCs/>
          <w:iCs/>
          <w:color w:val="000000"/>
          <w:kern w:val="2"/>
          <w:lang w:eastAsia="ru-RU"/>
        </w:rPr>
        <w:t>Утверждаю</w:t>
      </w:r>
    </w:p>
    <w:p>
      <w:pPr>
        <w:pStyle w:val="Normal"/>
        <w:numPr>
          <w:ilvl w:val="0"/>
          <w:numId w:val="0"/>
        </w:numPr>
        <w:shd w:val="clear" w:color="auto" w:fill="FFFFFF"/>
        <w:jc w:val="right"/>
        <w:outlineLvl w:val="0"/>
        <w:rPr>
          <w:b/>
          <w:bCs/>
          <w:iCs/>
          <w:color w:val="000000"/>
          <w:kern w:val="2"/>
          <w:lang w:eastAsia="ru-RU"/>
        </w:rPr>
      </w:pPr>
      <w:r>
        <w:rPr>
          <w:b/>
          <w:bCs/>
          <w:iCs/>
          <w:color w:val="000000"/>
          <w:kern w:val="2"/>
          <w:lang w:eastAsia="ru-RU"/>
        </w:rPr>
        <w:t>___________________Рахимбердиев Ж.Х.</w:t>
      </w:r>
    </w:p>
    <w:p>
      <w:pPr>
        <w:pStyle w:val="Normal"/>
        <w:suppressAutoHyphens w:val="false"/>
        <w:jc w:val="right"/>
        <w:rPr/>
      </w:pPr>
      <w:r>
        <w:rPr/>
        <w:t xml:space="preserve">                                                                             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ДОЛЖНОСТНАЯ ИНСТРУКЦИЯ</w:t>
      </w:r>
    </w:p>
    <w:p>
      <w:pPr>
        <w:pStyle w:val="Normal"/>
        <w:jc w:val="center"/>
        <w:rPr/>
      </w:pPr>
      <w:r>
        <w:rPr>
          <w:b/>
        </w:rPr>
        <w:t>Менеджера по работе с возражениями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b/>
        </w:rPr>
        <w:t>1. Общие положения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EnvelopeAddress"/>
        <w:numPr>
          <w:ilvl w:val="1"/>
          <w:numId w:val="1"/>
        </w:numPr>
        <w:ind w:hanging="480" w:left="567"/>
        <w:jc w:val="both"/>
        <w:rPr/>
      </w:pPr>
      <w:r>
        <w:rPr/>
        <w:t>Настоящая должностная инструкция определяет функциональные, должностные обязанности, права и ответственность менеджера по работе с возражениями.</w:t>
      </w:r>
    </w:p>
    <w:p>
      <w:pPr>
        <w:pStyle w:val="EnvelopeAddress"/>
        <w:ind w:left="1185"/>
        <w:jc w:val="both"/>
        <w:rPr/>
      </w:pPr>
      <w:r>
        <w:rPr/>
        <w:t xml:space="preserve">   </w:t>
      </w:r>
    </w:p>
    <w:p>
      <w:pPr>
        <w:pStyle w:val="EnvelopeAddress"/>
        <w:numPr>
          <w:ilvl w:val="1"/>
          <w:numId w:val="1"/>
        </w:numPr>
        <w:ind w:hanging="425" w:left="567"/>
        <w:jc w:val="both"/>
        <w:rPr/>
      </w:pPr>
      <w:r>
        <w:rPr/>
        <w:t>На должность менеджера по работе с возражениями назначается лицо, имеющее средне-специальное образование.</w:t>
      </w:r>
    </w:p>
    <w:p>
      <w:pPr>
        <w:pStyle w:val="ListParagraph"/>
        <w:rPr/>
      </w:pPr>
      <w:r>
        <w:rPr/>
      </w:r>
    </w:p>
    <w:p>
      <w:pPr>
        <w:pStyle w:val="EnvelopeAddress"/>
        <w:numPr>
          <w:ilvl w:val="1"/>
          <w:numId w:val="1"/>
        </w:numPr>
        <w:ind w:hanging="425" w:left="567"/>
        <w:jc w:val="both"/>
        <w:rPr/>
      </w:pPr>
      <w:r>
        <w:rPr/>
        <w:t xml:space="preserve"> </w:t>
      </w:r>
      <w:r>
        <w:rPr/>
        <w:t>Менеджер по работе с возражениями должен знать:</w:t>
      </w:r>
    </w:p>
    <w:p>
      <w:pPr>
        <w:pStyle w:val="EnvelopeAddress"/>
        <w:jc w:val="both"/>
        <w:rPr/>
      </w:pPr>
      <w:r>
        <w:rPr/>
      </w:r>
    </w:p>
    <w:p>
      <w:pPr>
        <w:pStyle w:val="EnvelopeAddress"/>
        <w:ind w:left="284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- Приемы и методы делового общения и ведения переговоров;</w:t>
      </w:r>
      <w:r>
        <w:rPr>
          <w:color w:val="000000"/>
        </w:rPr>
        <w:br/>
      </w:r>
      <w:r>
        <w:rPr>
          <w:color w:val="000000"/>
          <w:shd w:fill="FFFFFF" w:val="clear"/>
        </w:rPr>
        <w:t>- Основы делового этикета, навыки ведения деловых (в т.ч. телефонных) переговоров;</w:t>
      </w:r>
      <w:r>
        <w:rPr>
          <w:color w:val="000000"/>
        </w:rPr>
        <w:br/>
      </w:r>
      <w:r>
        <w:rPr>
          <w:color w:val="000000"/>
          <w:shd w:fill="FFFFFF" w:val="clear"/>
        </w:rPr>
        <w:t>- Законодательство о труде;</w:t>
      </w:r>
      <w:r>
        <w:rPr>
          <w:color w:val="000000"/>
        </w:rPr>
        <w:br/>
      </w:r>
      <w:r>
        <w:rPr>
          <w:color w:val="000000"/>
          <w:shd w:fill="FFFFFF" w:val="clear"/>
        </w:rPr>
        <w:t>- Правила внутреннего трудового распорядка;</w:t>
      </w:r>
      <w:r>
        <w:rPr>
          <w:color w:val="000000"/>
        </w:rPr>
        <w:br/>
      </w:r>
      <w:r>
        <w:rPr>
          <w:color w:val="000000"/>
          <w:shd w:fill="FFFFFF" w:val="clear"/>
        </w:rPr>
        <w:t>- Правила и нормы охраны труда, техники безопасности, производственной санитарии и противопожарной защиты.</w:t>
      </w:r>
    </w:p>
    <w:p>
      <w:pPr>
        <w:pStyle w:val="EnvelopeAddress"/>
        <w:ind w:left="284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EnvelopeAddress"/>
        <w:ind w:hanging="425" w:left="567"/>
        <w:rPr/>
      </w:pPr>
      <w:r>
        <w:rPr/>
        <w:t>1.4.  Менеджер по работе с возражениями принимается и освобождается от должности приказом генерального директора компании.</w:t>
      </w:r>
    </w:p>
    <w:p>
      <w:pPr>
        <w:pStyle w:val="EnvelopeAddress"/>
        <w:ind w:hanging="425" w:left="567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EnvelopeAddress"/>
        <w:ind w:hanging="425" w:left="567"/>
        <w:rPr>
          <w:color w:val="000000"/>
          <w:shd w:fill="FFFFFF" w:val="clear"/>
        </w:rPr>
      </w:pPr>
      <w:r>
        <w:rPr/>
        <w:t>1.5. Менеджер по работе с возражениями подчиняется Генеральному директору и руководителю отдела по клиентскому опыту.</w:t>
      </w:r>
    </w:p>
    <w:p>
      <w:pPr>
        <w:pStyle w:val="EnvelopeAddress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b/>
        </w:rPr>
        <w:t>2. Должностные обязанности</w:t>
      </w:r>
    </w:p>
    <w:p>
      <w:pPr>
        <w:pStyle w:val="EnvelopeAddress"/>
        <w:ind w:firstLine="567" w:left="142"/>
        <w:rPr>
          <w:color w:themeColor="text1" w:val="000000"/>
        </w:rPr>
      </w:pPr>
      <w:r>
        <w:rPr/>
        <w:tab/>
      </w:r>
    </w:p>
    <w:p>
      <w:pPr>
        <w:pStyle w:val="EnvelopeAddress"/>
        <w:ind w:hanging="425" w:left="567"/>
        <w:rPr>
          <w:color w:themeColor="text1" w:val="000000"/>
          <w:shd w:fill="F9FFFF" w:val="clear"/>
        </w:rPr>
      </w:pPr>
      <w:r>
        <w:rPr>
          <w:color w:themeColor="text1" w:val="000000"/>
        </w:rPr>
        <w:t xml:space="preserve">2.1. </w:t>
      </w:r>
      <w:r>
        <w:rPr>
          <w:color w:themeColor="text1" w:val="000000"/>
          <w:shd w:fill="F9FFFF" w:val="clear"/>
        </w:rPr>
        <w:t>Ведет работу с клиентскими жалобами, замечаниями и пожеланиями;</w:t>
      </w:r>
    </w:p>
    <w:p>
      <w:pPr>
        <w:pStyle w:val="EnvelopeAddress"/>
        <w:ind w:hanging="425" w:left="567"/>
        <w:rPr>
          <w:color w:themeColor="text1" w:val="000000"/>
          <w:shd w:fill="F9FFFF" w:val="clear"/>
        </w:rPr>
      </w:pPr>
      <w:r>
        <w:rPr>
          <w:color w:themeColor="text1" w:val="000000"/>
          <w:shd w:fill="F9FFFF" w:val="clear"/>
        </w:rPr>
        <w:t>2.2. Выявляет ошибки в возражениях клиентов;</w:t>
      </w:r>
    </w:p>
    <w:p>
      <w:pPr>
        <w:pStyle w:val="EnvelopeAddress"/>
        <w:ind w:hanging="425" w:left="567"/>
        <w:rPr>
          <w:color w:themeColor="text1" w:val="000000"/>
          <w:shd w:fill="F9FFFF" w:val="clear"/>
        </w:rPr>
      </w:pPr>
      <w:r>
        <w:rPr>
          <w:color w:themeColor="text1" w:val="000000"/>
          <w:shd w:fill="F9FFFF" w:val="clear"/>
        </w:rPr>
        <w:t>2.3. Своевременно закрывает возражения, жалобы и замечания клиентов;</w:t>
      </w:r>
    </w:p>
    <w:p>
      <w:pPr>
        <w:pStyle w:val="EnvelopeAddress"/>
        <w:ind w:hanging="425" w:left="567"/>
        <w:rPr/>
      </w:pPr>
      <w:r>
        <w:rPr>
          <w:color w:themeColor="text1" w:val="000000"/>
          <w:shd w:fill="F9FFFF" w:val="clear"/>
        </w:rPr>
        <w:t xml:space="preserve">2.4. Изучает обращения, поступившие из </w:t>
      </w:r>
      <w:r>
        <w:rPr>
          <w:rStyle w:val="Absatz-Standardschriftart"/>
        </w:rPr>
        <w:t>Комитета по развитию конкуренции и защите прав Потребителей Республики Узбекистан и из Антимонопольного комитета Республики Узбекистан.</w:t>
      </w:r>
    </w:p>
    <w:p>
      <w:pPr>
        <w:pStyle w:val="EnvelopeAddress"/>
        <w:ind w:hanging="425" w:left="567"/>
        <w:rPr>
          <w:rStyle w:val="Absatz-Standardschriftart"/>
        </w:rPr>
      </w:pPr>
      <w:r>
        <w:rPr/>
        <w:t xml:space="preserve">2.5.  С помощью юристов оперативно отвечать на письма </w:t>
      </w:r>
      <w:r>
        <w:rPr>
          <w:rStyle w:val="Absatz-Standardschriftart"/>
        </w:rPr>
        <w:t>Комитета по развитию конкуренции и защите прав Потребителей Республики Узбекистан и Антимонопольному комитету Республики Узбекистан.</w:t>
      </w:r>
    </w:p>
    <w:p>
      <w:pPr>
        <w:pStyle w:val="EnvelopeAddress"/>
        <w:ind w:hanging="425" w:left="567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3. Права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EnvelopeAddress"/>
        <w:rPr>
          <w:b/>
        </w:rPr>
      </w:pPr>
      <w:r>
        <w:rPr>
          <w:b/>
        </w:rPr>
        <w:tab/>
      </w:r>
      <w:r>
        <w:rPr>
          <w:b/>
          <w:bCs/>
        </w:rPr>
        <w:t>Менеджер по работе с возражениями</w:t>
      </w:r>
      <w:r>
        <w:rPr>
          <w:b/>
        </w:rPr>
        <w:t xml:space="preserve"> имеет право:</w:t>
      </w:r>
    </w:p>
    <w:p>
      <w:pPr>
        <w:pStyle w:val="EnvelopeAddress"/>
        <w:rPr>
          <w:b/>
        </w:rPr>
      </w:pPr>
      <w:r>
        <w:rPr>
          <w:b/>
        </w:rPr>
      </w:r>
    </w:p>
    <w:p>
      <w:pPr>
        <w:pStyle w:val="EnvelopeAddress"/>
        <w:ind w:hanging="425" w:left="567"/>
        <w:rPr>
          <w:b/>
        </w:rPr>
      </w:pPr>
      <w:r>
        <w:rPr/>
        <w:t>3.1. Запрашивать и получать необходимую информацию, а так же материалы и документы, относящиеся к вопросам деятельности специалиста.</w:t>
      </w:r>
    </w:p>
    <w:p>
      <w:pPr>
        <w:pStyle w:val="EnvelopeAddress"/>
        <w:ind w:hanging="425" w:left="567"/>
        <w:rPr>
          <w:b/>
        </w:rPr>
      </w:pPr>
      <w:r>
        <w:rPr/>
        <w:t>3.2. Повышать квалификацию, проходить переподготовку (переквалификацию).</w:t>
      </w:r>
    </w:p>
    <w:p>
      <w:pPr>
        <w:pStyle w:val="EnvelopeAddress"/>
        <w:ind w:hanging="425" w:left="567"/>
        <w:rPr>
          <w:b/>
        </w:rPr>
      </w:pPr>
      <w:r>
        <w:rPr/>
        <w:t>3.3. Вступать во взаимоотношения с подразделениями сторонних учреждений и организаций для решения вопросов, входящих в компетенцию специалиста контакт центра.</w:t>
      </w:r>
    </w:p>
    <w:p>
      <w:pPr>
        <w:pStyle w:val="EnvelopeAddress"/>
        <w:ind w:hanging="425" w:left="567"/>
        <w:rPr>
          <w:b/>
        </w:rPr>
      </w:pPr>
      <w:r>
        <w:rPr/>
        <w:t>3.4. Принимать участие в обсуждении вопросов, входящих в его функциональные обязанности.</w:t>
      </w:r>
    </w:p>
    <w:p>
      <w:pPr>
        <w:pStyle w:val="EnvelopeAddress"/>
        <w:ind w:hanging="425" w:left="567"/>
        <w:rPr>
          <w:b/>
        </w:rPr>
      </w:pPr>
      <w:r>
        <w:rPr/>
        <w:t xml:space="preserve">3.5. Вносить предложения и замечания по вопросам улучшения деятельности на порученном участке работы.           </w:t>
      </w:r>
    </w:p>
    <w:p>
      <w:pPr>
        <w:pStyle w:val="EnvelopeAddress"/>
        <w:ind w:hanging="425" w:left="567"/>
        <w:rPr>
          <w:b/>
        </w:rPr>
      </w:pPr>
      <w:r>
        <w:rPr/>
        <w:t>3.6. Пользоваться информационными материалами и нормативно-правовыми документами, необходимыми для исполнения своих должностных обязанностей.</w:t>
      </w:r>
    </w:p>
    <w:p>
      <w:pPr>
        <w:pStyle w:val="Normal"/>
        <w:tabs>
          <w:tab w:val="clear" w:pos="708"/>
          <w:tab w:val="left" w:pos="720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720" w:leader="none"/>
        </w:tabs>
        <w:jc w:val="center"/>
        <w:rPr/>
      </w:pPr>
      <w:r>
        <w:rPr>
          <w:b/>
        </w:rPr>
        <w:t>4. Ответственность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EnvelopeAddress"/>
        <w:rPr>
          <w:b/>
        </w:rPr>
      </w:pPr>
      <w:r>
        <w:rPr>
          <w:b/>
        </w:rPr>
        <w:t xml:space="preserve">            </w:t>
      </w:r>
      <w:r>
        <w:rPr>
          <w:b/>
          <w:bCs/>
        </w:rPr>
        <w:t>Менеджер по работе с возражениями</w:t>
      </w:r>
      <w:r>
        <w:rPr>
          <w:b/>
        </w:rPr>
        <w:t xml:space="preserve"> несет ответственность за:</w:t>
      </w:r>
    </w:p>
    <w:p>
      <w:pPr>
        <w:pStyle w:val="EnvelopeAddress"/>
        <w:rPr/>
      </w:pPr>
      <w:r>
        <w:rPr/>
      </w:r>
    </w:p>
    <w:p>
      <w:pPr>
        <w:pStyle w:val="EnvelopeAddress"/>
        <w:ind w:hanging="567"/>
        <w:rPr/>
      </w:pPr>
      <w:r>
        <w:rPr>
          <w:b/>
        </w:rPr>
        <w:t xml:space="preserve">            </w:t>
      </w:r>
      <w:r>
        <w:rPr/>
        <w:t>4.1. Неисполнение (ненадлежащее исполнение) своих функциональных обязанностей;</w:t>
      </w:r>
    </w:p>
    <w:p>
      <w:pPr>
        <w:pStyle w:val="EnvelopeAddress"/>
        <w:ind w:firstLine="142"/>
        <w:rPr/>
      </w:pPr>
      <w:r>
        <w:rPr/>
        <w:t>4.2. Невыполнение распоряжений и поручений руководителя компании;</w:t>
      </w:r>
    </w:p>
    <w:p>
      <w:pPr>
        <w:pStyle w:val="EnvelopeAddress"/>
        <w:ind w:hanging="425" w:left="567"/>
        <w:rPr/>
      </w:pPr>
      <w:r>
        <w:rPr/>
        <w:t>4.3. Недостоверную информацию о состоянии выполнения порученных заданий и поручений, нарушении сроков их исполнения.</w:t>
      </w:r>
    </w:p>
    <w:p>
      <w:pPr>
        <w:pStyle w:val="EnvelopeAddress"/>
        <w:ind w:hanging="425" w:left="567"/>
        <w:rPr/>
      </w:pPr>
      <w:r>
        <w:rPr/>
        <w:t xml:space="preserve">4.4. </w:t>
      </w:r>
      <w:r>
        <w:rPr>
          <w:color w:val="000000"/>
        </w:rPr>
        <w:t>Причинение материального ущерба в пределах, установленных действующим законодательством Республики Узбекистан</w:t>
      </w:r>
      <w:r>
        <w:rPr/>
        <w:t>.</w:t>
      </w:r>
    </w:p>
    <w:p>
      <w:pPr>
        <w:pStyle w:val="EnvelopeAddress"/>
        <w:ind w:hanging="425" w:left="567"/>
        <w:rPr/>
      </w:pPr>
      <w:r>
        <w:rPr/>
        <w:t xml:space="preserve">4.5. Разглашение сведений, ставших известными в связи с исполнением должностных обязанностей.           </w:t>
      </w:r>
    </w:p>
    <w:p>
      <w:pPr>
        <w:pStyle w:val="EnvelopeAddress"/>
        <w:rPr/>
      </w:pPr>
      <w:r>
        <w:rPr/>
        <w:t xml:space="preserve">            </w:t>
      </w:r>
    </w:p>
    <w:p>
      <w:pPr>
        <w:pStyle w:val="EnvelopeAddress"/>
        <w:rPr/>
      </w:pPr>
      <w:r>
        <w:rPr/>
      </w:r>
      <w:bookmarkStart w:id="0" w:name="_GoBack"/>
      <w:bookmarkStart w:id="1" w:name="_GoBack"/>
      <w:bookmarkEnd w:id="1"/>
    </w:p>
    <w:tbl>
      <w:tblPr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619"/>
        <w:gridCol w:w="655"/>
        <w:gridCol w:w="3555"/>
        <w:gridCol w:w="467"/>
        <w:gridCol w:w="2059"/>
      </w:tblGrid>
      <w:tr>
        <w:trPr/>
        <w:tc>
          <w:tcPr>
            <w:tcW w:w="6829" w:type="dxa"/>
            <w:gridSpan w:val="3"/>
            <w:tcBorders/>
          </w:tcPr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С инструкцией ознакомлен:</w:t>
            </w:r>
          </w:p>
        </w:tc>
        <w:tc>
          <w:tcPr>
            <w:tcW w:w="467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59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</w:p>
        </w:tc>
        <w:tc>
          <w:tcPr>
            <w:tcW w:w="655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467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59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</w:tr>
      <w:tr>
        <w:trPr/>
        <w:tc>
          <w:tcPr>
            <w:tcW w:w="2619" w:type="dxa"/>
            <w:tcBorders>
              <w:bottom w:val="single" w:sz="6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</w:p>
        </w:tc>
        <w:tc>
          <w:tcPr>
            <w:tcW w:w="655" w:type="dxa"/>
            <w:tcBorders/>
          </w:tcPr>
          <w:p>
            <w:pPr>
              <w:pStyle w:val="Normal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3555" w:type="dxa"/>
            <w:tcBorders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  <w:t>${fio}</w:t>
            </w:r>
          </w:p>
        </w:tc>
        <w:tc>
          <w:tcPr>
            <w:tcW w:w="467" w:type="dxa"/>
            <w:tcBorders/>
          </w:tcPr>
          <w:p>
            <w:pPr>
              <w:pStyle w:val="Normal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59" w:type="dxa"/>
            <w:tcBorders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  <w:t>${app_date}</w:t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подпись)</w:t>
            </w:r>
          </w:p>
        </w:tc>
        <w:tc>
          <w:tcPr>
            <w:tcW w:w="655" w:type="dxa"/>
            <w:tcBorders/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(Ф.И.О.)</w:t>
            </w:r>
          </w:p>
        </w:tc>
        <w:tc>
          <w:tcPr>
            <w:tcW w:w="467" w:type="dxa"/>
            <w:tcBorders/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59" w:type="dxa"/>
            <w:tcBorders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(дата)</w:t>
            </w:r>
          </w:p>
        </w:tc>
      </w:tr>
    </w:tbl>
    <w:p>
      <w:pPr>
        <w:pStyle w:val="EnvelopeAddress"/>
        <w:rPr/>
      </w:pPr>
      <w:r>
        <w:rPr/>
      </w:r>
    </w:p>
    <w:p>
      <w:pPr>
        <w:pStyle w:val="EnvelopeAddress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850" w:gutter="0" w:header="709" w:top="1134" w:footer="72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Virtec Times New Roman Uz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 wp14:anchorId="672F1D50">
              <wp:simplePos x="0" y="0"/>
              <wp:positionH relativeFrom="page">
                <wp:posOffset>7005320</wp:posOffset>
              </wp:positionH>
              <wp:positionV relativeFrom="paragraph">
                <wp:posOffset>635</wp:posOffset>
              </wp:positionV>
              <wp:extent cx="22860" cy="182880"/>
              <wp:effectExtent l="0" t="0" r="0" b="0"/>
              <wp:wrapSquare wrapText="largest"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" cy="182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51.6pt;margin-top:0.05pt;width:1.75pt;height:14.35pt;mso-wrap-style:none;v-text-anchor:middle;mso-position-horizontal-relative:page" wp14:anchorId="672F1D5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 wp14:anchorId="672F1D50">
              <wp:simplePos x="0" y="0"/>
              <wp:positionH relativeFrom="page">
                <wp:posOffset>7005320</wp:posOffset>
              </wp:positionH>
              <wp:positionV relativeFrom="paragraph">
                <wp:posOffset>635</wp:posOffset>
              </wp:positionV>
              <wp:extent cx="22860" cy="182880"/>
              <wp:effectExtent l="0" t="0" r="0" b="0"/>
              <wp:wrapSquare wrapText="largest"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" cy="182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51.6pt;margin-top:0.05pt;width:1.75pt;height:14.35pt;mso-wrap-style:none;v-text-anchor:middle;mso-position-horizontal-relative:page" wp14:anchorId="672F1D5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185" w:hanging="48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3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35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90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605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67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375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440" w:hanging="18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isplayBackgroundShape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uiPriority="0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eastAsia="ar-SA" w:val="ru-RU" w:bidi="ar-SA"/>
    </w:rPr>
  </w:style>
  <w:style w:type="paragraph" w:styleId="Heading1">
    <w:name w:val="heading 1"/>
    <w:basedOn w:val="Heading"/>
    <w:qFormat/>
    <w:pPr>
      <w:outlineLvl w:val="0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atz-Standardschriftart" w:customStyle="1">
    <w:name w:val="Absatz-Standardschriftart"/>
    <w:qFormat/>
    <w:rPr/>
  </w:style>
  <w:style w:type="character" w:styleId="1" w:customStyle="1">
    <w:name w:val="Основной шрифт абзаца1"/>
    <w:qFormat/>
    <w:rPr/>
  </w:style>
  <w:style w:type="character" w:styleId="PageNumber">
    <w:name w:val="page number"/>
    <w:basedOn w:val="1"/>
    <w:qFormat/>
    <w:rPr/>
  </w:style>
  <w:style w:type="character" w:styleId="Style13" w:customStyle="1">
    <w:name w:val="Символ нумерации"/>
    <w:qFormat/>
    <w:rPr/>
  </w:style>
  <w:style w:type="character" w:styleId="Style14" w:customStyle="1">
    <w:name w:val="Нижний колонтитул Знак"/>
    <w:uiPriority w:val="99"/>
    <w:qFormat/>
    <w:rsid w:val="005c4989"/>
    <w:rPr>
      <w:sz w:val="24"/>
      <w:szCs w:val="24"/>
      <w:lang w:eastAsia="ar-SA"/>
    </w:rPr>
  </w:style>
  <w:style w:type="character" w:styleId="11" w:customStyle="1">
    <w:name w:val="Гиперссылка1"/>
    <w:basedOn w:val="DefaultParagraphFont"/>
    <w:uiPriority w:val="99"/>
    <w:semiHidden/>
    <w:unhideWhenUsed/>
    <w:qFormat/>
    <w:rsid w:val="0066668a"/>
    <w:rPr>
      <w:color w:themeColor="hyperlink" w:val="0000FF"/>
      <w:u w:val="single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uiPriority w:val="20"/>
    <w:qFormat/>
    <w:rPr>
      <w:i/>
      <w:iCs/>
    </w:rPr>
  </w:style>
  <w:style w:type="character" w:styleId="StrongEmphasis" w:customStyle="1">
    <w:name w:val="Strong Emphasis"/>
    <w:qFormat/>
    <w:rPr>
      <w:b/>
      <w:bCs/>
    </w:rPr>
  </w:style>
  <w:style w:type="character" w:styleId="Quotation" w:customStyle="1">
    <w:name w:val="Quotation"/>
    <w:qFormat/>
    <w:rPr>
      <w:i/>
      <w:iCs/>
    </w:rPr>
  </w:style>
  <w:style w:type="character" w:styleId="VisitedInternetLink" w:customStyle="1">
    <w:name w:val="Visited Internet Link"/>
    <w:qFormat/>
    <w:rPr>
      <w:color w:val="80000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ascii="Arial" w:hAnsi="Arial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12" w:customStyle="1">
    <w:name w:val="Заголовок1"/>
    <w:basedOn w:val="Normal"/>
    <w:qFormat/>
    <w:pPr>
      <w:keepNext w:val="true"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13" w:customStyle="1">
    <w:name w:val="Название1"/>
    <w:basedOn w:val="Normal"/>
    <w:qFormat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styleId="14" w:customStyle="1">
    <w:name w:val="Указатель1"/>
    <w:basedOn w:val="Normal"/>
    <w:qFormat/>
    <w:pPr>
      <w:suppressLineNumbers/>
    </w:pPr>
    <w:rPr>
      <w:rFonts w:ascii="Arial" w:hAnsi="Arial" w:cs="Tahoma"/>
    </w:rPr>
  </w:style>
  <w:style w:type="paragraph" w:styleId="ConsNormal" w:customStyle="1">
    <w:name w:val="ConsNormal"/>
    <w:qFormat/>
    <w:pPr>
      <w:widowControl w:val="false"/>
      <w:suppressAutoHyphens w:val="true"/>
      <w:bidi w:val="0"/>
      <w:spacing w:before="0" w:after="0"/>
      <w:ind w:firstLine="720" w:right="19772"/>
      <w:jc w:val="left"/>
    </w:pPr>
    <w:rPr>
      <w:rFonts w:ascii="Arial" w:hAnsi="Arial" w:eastAsia="Arial" w:cs="Arial"/>
      <w:color w:val="00000A"/>
      <w:kern w:val="0"/>
      <w:sz w:val="24"/>
      <w:szCs w:val="20"/>
      <w:lang w:eastAsia="ar-SA" w:val="ru-RU" w:bidi="ar-SA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5" w:customStyle="1">
    <w:name w:val="Содержимое врезки"/>
    <w:basedOn w:val="BodyText"/>
    <w:qFormat/>
    <w:pPr/>
    <w:rPr/>
  </w:style>
  <w:style w:type="paragraph" w:styleId="Footer">
    <w:name w:val="footer"/>
    <w:basedOn w:val="Normal"/>
    <w:uiPriority w:val="99"/>
    <w:pPr>
      <w:suppressLineNumbers/>
      <w:tabs>
        <w:tab w:val="clear" w:pos="708"/>
        <w:tab w:val="center" w:pos="4818" w:leader="none"/>
        <w:tab w:val="right" w:pos="9637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Salutation">
    <w:name w:val="Salutation"/>
    <w:basedOn w:val="Normal"/>
    <w:pPr/>
    <w:rPr/>
  </w:style>
  <w:style w:type="paragraph" w:styleId="EnvelopeAddress">
    <w:name w:val="envelope address"/>
    <w:basedOn w:val="Normal"/>
    <w:pPr/>
    <w:rPr/>
  </w:style>
  <w:style w:type="paragraph" w:styleId="PreformattedText" w:customStyle="1">
    <w:name w:val="Preformatted Text"/>
    <w:basedOn w:val="Normal"/>
    <w:qFormat/>
    <w:pPr/>
    <w:rPr/>
  </w:style>
  <w:style w:type="paragraph" w:styleId="ListParagraph">
    <w:name w:val="List Paragraph"/>
    <w:basedOn w:val="Normal"/>
    <w:uiPriority w:val="34"/>
    <w:qFormat/>
    <w:rsid w:val="00184ccf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7D9E9-DF83-4CC1-890C-891083D07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LibreOffice/24.8.3.2$Linux_X86_64 LibreOffice_project/e14c9fdd1f585efcbb2c5363087a99d20928d522</Application>
  <AppVersion>15.0000</AppVersion>
  <Pages>2</Pages>
  <Words>350</Words>
  <Characters>2598</Characters>
  <CharactersWithSpaces>3060</CharactersWithSpaces>
  <Paragraphs>46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2025-01-22T08:10:00Z</dcterms:created>
  <dc:creator>Радуга</dc:creator>
  <dc:description/>
  <cp:keywords>должностная инструкция бухгалтера</cp:keywords>
  <dc:language>en-US</dc:language>
  <cp:lastModifiedBy/>
  <cp:lastPrinted>2024-07-29T10:38:00Z</cp:lastPrinted>
  <dcterms:modified xsi:type="dcterms:W3CDTF">2025-01-22T13:15:16Z</dcterms:modified>
  <cp:revision>3</cp:revision>
  <dc:subject>Должностные инструкции</dc:subject>
  <dc:title>Должностная инструкция бухгалтера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category">
    <vt:lpwstr>Делопроизводство</vt:lpwstr>
  </property>
</Properties>
</file>