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Утверждаю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_____________________Рахимбердиев Ж.Х.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ДОЛЖНОСТНАЯ ИНСТРУКЦИЯ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МЕНЕДЖЕРА СКС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 Общие положения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1.1.  Менеджер СКС относится к категории руководителей.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1.2.  На должность </w:t>
      </w:r>
      <w:bookmarkStart w:id="0" w:name="_Hlk17042617"/>
      <w:r>
        <w:rPr>
          <w:rFonts w:cs="Times New Roman" w:ascii="Times New Roman" w:hAnsi="Times New Roman"/>
          <w:sz w:val="24"/>
          <w:szCs w:val="24"/>
        </w:rPr>
        <w:t xml:space="preserve">Менеджера </w:t>
      </w:r>
      <w:bookmarkEnd w:id="0"/>
      <w:r>
        <w:rPr>
          <w:rFonts w:cs="Times New Roman" w:ascii="Times New Roman" w:hAnsi="Times New Roman"/>
          <w:sz w:val="24"/>
          <w:szCs w:val="24"/>
        </w:rPr>
        <w:t>СКС назначается лицо, имеющее высшее образование соответствующего направления.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1.3.  Менеджер СКС должен знать: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  законодательные и иные нормативно-правовые акты, регламентирующие предпринимательскую и коммерческую деятельность;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 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соответствующую отчетность по бухгалтерии, умение составлять и оформлять соответствующую документацию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 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правила проведения переговоров с клиентами, партнерами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-  этику делового общения.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1.8.  Назначение на должность Менеджера СКС и освобождение от должности производится приказом Генерального директора.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1.9.  Менеджер СКС подчиняется Генеральному директору.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Функции и задачи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СКС выполняет следующие задачи: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  Следит за имиджем компании;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  Внесение предложений по улучшению процессов;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  Мониторинг конкурентов (новые локации);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2.4. Руководит и следит за работой специалистов СКС.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 Должностные обязанности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СКС обязан: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  Следить за материально-техническим состоянием магазинов;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3.2.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Организационно-распорядительные документы и нормативные материалы вышестоящих и других органов, касающиеся производственно-хозяйственной деятельности участка (объекта);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3.3.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Организацию и технологию строительного производства;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3.4.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Проектно-сметную документацию на строящиеся объекты;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3.5.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Строительные нормы и правила, технические условия на производство и приемку строительно-монтажных и пусконаладочных работ;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3.6.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Формы и методы производственно-хозяйственного деятельности на участке (объекте);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3.7.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Нормы и расценки на выполняемые работы;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3.8. Порядок хозяйственных и финансовых взаимоотношений подрядной организации с заказчиками и субподрядчиками;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3.9.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Систему производственно-технологической комплектации и диспетчеризации строительной организации;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3.10.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Научно-технические достижения и опыт организации строительного производства;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3.11.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Основы экономики, организации производства, труда и управления;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3.12. </w:t>
      </w:r>
      <w:r>
        <w:rPr>
          <w:rFonts w:cs="Times New Roman" w:ascii="Times New Roman" w:hAnsi="Times New Roman"/>
          <w:sz w:val="24"/>
          <w:szCs w:val="24"/>
        </w:rPr>
        <w:t>Контролировать работу специалистов СКС.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 Должностное право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СКС имеет должностное право: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4.1.  Запрашивать и получать от руководителей подразделений предприятия и специалистов необходимые информацию и документы;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sz w:val="24"/>
          <w:szCs w:val="24"/>
        </w:rPr>
        <w:t>4.2. Получать в установленном порядке от должностных лиц компании отзывы/рекомендации на планируемые новые локации;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4.3.  В пределах своей компетенции подписывать и визировать документы, издавать за своей подписью распоряжения по вопросам реализации планов оптимизации бизнес-процессов предприятия;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4.4.  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4.5.  Требовать от руководства предприятия обеспечения организационно-технических условий и оформления установленных документов, необходимых для исполнения должностных обязанностей;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4.6.  В случае необходимости выезжать в командировки.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 Ответственность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Менеджер СКС несет ответственность: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  За ненадлежащее исполнение или неисполнение своих должностных обязанностей, предусмотренных настоящей должностной инструкцией — в пределах, установленных действующим трудовым законодательством Республики Узбекистан;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5.2.  За правонарушения, совершенные в процессе своей деятельности — в пределах, установленных действующим административным, уголовным и гражданским законодательством Республики Узбекистан;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5.3.  За причинение материального ущерба предприятию — в пределах, установленных действующим трудовым и гражданским законодательством Республики Узбекистан;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5.4. За причинения вреда информации, хранимой в информационной базе Компании.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С инструкцией ознакомлен: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eastAsia="Times New Roman" w:cs="Virtec Times New Roman Uz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Virtec Times New Roman Uz" w:ascii="Virtec Times New Roman Uz" w:hAnsi="Virtec Times New Roman Uz"/>
                <w:b/>
                <w:bCs/>
                <w:sz w:val="24"/>
                <w:szCs w:val="24"/>
                <w:lang w:eastAsia="ru-RU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irtec Times New Roman Uz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665f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LibreOffice/24.8.3.2$Linux_X86_64 LibreOffice_project/e14c9fdd1f585efcbb2c5363087a99d20928d522</Application>
  <AppVersion>15.0000</AppVersion>
  <Pages>2</Pages>
  <Words>410</Words>
  <Characters>3316</Characters>
  <CharactersWithSpaces>3720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2023-05-23T11:35:00Z</dcterms:created>
  <dc:creator>Lena</dc:creator>
  <dc:description/>
  <dc:language>en-US</dc:language>
  <cp:lastModifiedBy/>
  <dcterms:modified xsi:type="dcterms:W3CDTF">2025-01-22T13:08:35Z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