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end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ДОЛЖНОСТНАЯ ИНСТРУКЦИЯ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Руководитель отдела по подбору и адаптации персонала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1. Общие положения:</w:t>
      </w:r>
    </w:p>
    <w:p>
      <w:pPr>
        <w:pStyle w:val="Normal"/>
        <w:ind w:start="1080" w:end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Normal"/>
        <w:widowControl/>
        <w:numPr>
          <w:ilvl w:val="1"/>
          <w:numId w:val="2"/>
        </w:numPr>
        <w:ind w:hanging="196" w:start="127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Настоящая должностная инструкция определяет функциональные обязанности, права и ответственность руководителя отдела по подбору и адаптации персонала.</w:t>
      </w:r>
    </w:p>
    <w:p>
      <w:pPr>
        <w:pStyle w:val="ConsNormal"/>
        <w:widowControl/>
        <w:ind w:hanging="0" w:start="127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276" w:leader="none"/>
        </w:tabs>
        <w:ind w:hanging="196"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Руководитель отдела по подбору и адаптации персонала подчиняется Генеральному директору.</w:t>
      </w:r>
    </w:p>
    <w:p>
      <w:pPr>
        <w:pStyle w:val="Normal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В своей деятельности руководитель по подбору и адаптации персонала руководствуется: </w:t>
      </w:r>
    </w:p>
    <w:p>
      <w:pPr>
        <w:pStyle w:val="Normal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ind w:start="1276" w:end="0"/>
        <w:rPr>
          <w:iCs/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- Действующим законодательством РУз;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Правилами внутреннего трудового распорядка и другими ЛНА Компании.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Приказами и распоряжениями Генерального директора и иных уполномоченных лиц;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Настоящей Должностной инструкцией;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Иными инструкциями, получаемыми от непосредственного руководителя;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Нормативными правовыми документами, методическими и нормативными материалами, касающимися деятельности Компании;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Политиками и инструкциями по организации документооборота, правилами его ведения и формами отчетности. Документами, регулирующими внутренние процессы Компании;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Законодательством об обработке персональных данных, осуществляемой без использования и с использованием средств автоматизации;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Правилами и нормами охраны труда, производственной санитарии и противопожарной безопасности;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Инструкциями по работе со средствами вычислительной техники, коммуникаций и связи; методы обработки информации с использованием современных технических средств коммуникации и связи, компьютеров;</w:t>
      </w:r>
    </w:p>
    <w:p>
      <w:pPr>
        <w:pStyle w:val="Normal"/>
        <w:ind w:start="1276" w:end="0"/>
        <w:rPr>
          <w:iCs/>
          <w:color w:val="041B26"/>
          <w:sz w:val="24"/>
          <w:szCs w:val="24"/>
          <w:shd w:fill="FFFFFF" w:val="clear"/>
        </w:rPr>
      </w:pPr>
      <w:r>
        <w:rPr>
          <w:iCs/>
          <w:color w:val="041B26"/>
          <w:sz w:val="24"/>
          <w:szCs w:val="24"/>
          <w:shd w:fill="FFFFFF" w:val="clear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rPr>
          <w:sz w:val="24"/>
          <w:szCs w:val="24"/>
        </w:rPr>
      </w:pPr>
      <w:r>
        <w:rPr>
          <w:sz w:val="24"/>
          <w:szCs w:val="24"/>
        </w:rPr>
        <w:t>Руководитель по подбору и адаптации персонала должен знать: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1276" w:end="0"/>
        <w:rPr>
          <w:color w:val="041B26"/>
          <w:sz w:val="24"/>
          <w:szCs w:val="24"/>
          <w:shd w:fill="FFFFFF" w:val="clear"/>
        </w:rPr>
      </w:pPr>
      <w:r>
        <w:rPr>
          <w:sz w:val="24"/>
          <w:szCs w:val="24"/>
        </w:rPr>
        <w:t xml:space="preserve">- </w:t>
      </w:r>
      <w:r>
        <w:rPr>
          <w:color w:val="000000"/>
          <w:sz w:val="24"/>
          <w:szCs w:val="24"/>
          <w:shd w:fill="FFFFFF" w:val="clear"/>
        </w:rPr>
        <w:t>Основы трудового законодательства;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41B26"/>
          <w:sz w:val="24"/>
          <w:szCs w:val="24"/>
          <w:shd w:fill="FFFFFF" w:val="clear"/>
        </w:rPr>
        <w:t>- Навыки ведения успешных переговоров и успешной презентации;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Знание современных методов и инструментов подбора персонала.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Знание современных методик профессиональной и личностной оценки кандидатов.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Знание систем автоматизации подбора персонала.</w:t>
      </w:r>
      <w:r>
        <w:rPr>
          <w:color w:val="041B26"/>
          <w:sz w:val="24"/>
          <w:szCs w:val="24"/>
        </w:rPr>
        <w:br/>
      </w:r>
      <w:r>
        <w:rPr>
          <w:color w:val="041B26"/>
          <w:sz w:val="24"/>
          <w:szCs w:val="24"/>
          <w:shd w:fill="FFFFFF" w:val="clear"/>
        </w:rPr>
        <w:t>- Подготавливать презентации и выступать перед аудиторией.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Правила и нормы охраны труда, техники безопасности и противопожарной безопасности;</w:t>
      </w:r>
    </w:p>
    <w:p>
      <w:pPr>
        <w:pStyle w:val="Normal"/>
        <w:ind w:start="1276" w:end="0"/>
        <w:rPr>
          <w:rFonts w:ascii="Roboto" w:hAnsi="Roboto" w:cs="Roboto"/>
          <w:color w:val="000000"/>
          <w:sz w:val="27"/>
          <w:szCs w:val="27"/>
          <w:shd w:fill="FFFFFF" w:val="clear"/>
        </w:rPr>
      </w:pPr>
      <w:r>
        <w:rPr>
          <w:color w:val="000000"/>
          <w:sz w:val="24"/>
          <w:szCs w:val="24"/>
        </w:rPr>
        <w:t>- правила внутреннего трудового распорядка.</w:t>
      </w:r>
    </w:p>
    <w:p>
      <w:pPr>
        <w:pStyle w:val="Normal"/>
        <w:ind w:start="1276" w:end="0"/>
        <w:rPr>
          <w:rFonts w:ascii="Roboto" w:hAnsi="Roboto" w:cs="Roboto"/>
          <w:color w:val="000000"/>
          <w:sz w:val="27"/>
          <w:szCs w:val="27"/>
          <w:shd w:fill="FFFFFF" w:val="clear"/>
        </w:rPr>
      </w:pPr>
      <w:r>
        <w:rPr>
          <w:rFonts w:cs="Roboto" w:ascii="Roboto" w:hAnsi="Roboto"/>
          <w:color w:val="000000"/>
          <w:sz w:val="27"/>
          <w:szCs w:val="27"/>
          <w:shd w:fill="FFFFFF" w:val="clear"/>
        </w:rPr>
      </w:r>
    </w:p>
    <w:p>
      <w:pPr>
        <w:pStyle w:val="Normal"/>
        <w:ind w:start="1276" w:end="0"/>
        <w:rPr>
          <w:rFonts w:ascii="Roboto" w:hAnsi="Roboto" w:cs="Roboto"/>
          <w:color w:val="000000"/>
          <w:sz w:val="24"/>
          <w:szCs w:val="24"/>
          <w:shd w:fill="FFFFFF" w:val="clear"/>
        </w:rPr>
      </w:pPr>
      <w:r>
        <w:rPr>
          <w:rFonts w:cs="Roboto" w:ascii="Roboto" w:hAnsi="Roboto"/>
          <w:color w:val="000000"/>
          <w:sz w:val="24"/>
          <w:szCs w:val="24"/>
          <w:shd w:fill="FFFFFF" w:val="clear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отсутствия руководителя по подбору и адаптации персонала его обязанности выполняет в установленном порядке назначаемый заместитель, несущий полную ответственность надлежащее исполнение возложенных на него обязанностей.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Должностные обязанности: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hanging="142" w:start="993" w:end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Для выполнения возложенных на него функций руководитель по подбору и адаптации персонала обязан:</w:t>
      </w:r>
    </w:p>
    <w:p>
      <w:pPr>
        <w:pStyle w:val="Normal"/>
        <w:ind w:hanging="142" w:start="993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2.1. Организовать и координировать деятельность отдела подбора персонала;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2.2. Разрабатывать нормативную и регламентирующую документацию отдела;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2.3. Разрабатывать систему подбора персонала;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2.4. Определять потребность компании в персонале;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2.5. Осуществлять поиск эффективных источников привлечения кандидатов;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2.6. Контролировать исполнение сроков подбора персонала;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2.7. Контролировать соблюдение подчиненными работниками требований и положений ЛНА компании и законодательства Республики Узбекистан;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2.8. Осуществлять подбор работников на открытые вакансии компании;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2.9. Осуществлять подбор, обучение и развитие подчиненных работников;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2.10. Организовывать и осуществлять мероприятия по адаптации новых работников;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2.11. Разрабатывать мероприятия по снижению текучести кадров во время испытательного срока;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2.12. Составлять, согласовывать, контролировать исполнение бюджета отдела;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2.13. Анализировать тенденции рынка труда (зарплатные предложения, методы подбора персонала и т.д.);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2.14. Формировать и своевременно предоставлять отчетность и аналитику по подбору персонала;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2.15. Взаимодействовать с руководителями Компании по вопросам подбора и адаптации персонала;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2.16. Участвовать в проектах департамента по работе с персоналом;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  <w:t>2.17. Участвовать в разрешении трудовых споров и конфликтов.</w:t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</w:r>
    </w:p>
    <w:p>
      <w:pPr>
        <w:pStyle w:val="Normal"/>
        <w:ind w:hanging="142" w:start="993" w:end="0"/>
        <w:rPr>
          <w:color w:val="041B26"/>
          <w:sz w:val="24"/>
          <w:szCs w:val="24"/>
          <w:shd w:fill="FFFFFF" w:val="clear"/>
        </w:rPr>
      </w:pPr>
      <w:r>
        <w:rPr>
          <w:color w:val="041B26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Права: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Руководитель по подбору и адаптации персонала имеет право: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360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Знакомиться с проектами решений руководства компании, касающимися деятельности отдела подбора и адаптации персонала;</w:t>
      </w:r>
    </w:p>
    <w:p>
      <w:pPr>
        <w:pStyle w:val="Normal"/>
        <w:numPr>
          <w:ilvl w:val="1"/>
          <w:numId w:val="1"/>
        </w:numPr>
        <w:ind w:hanging="502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Вносить на рассмотрение руководства компании предложения по совершенствованию работы, связанной с обязанностями, предусмотренными настоящей инструкцией;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Получать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Привлекать специалистов всех подразделений компании для решения возложенных на него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Требовать от руководства компании оказания содействия в исполнении своих должностных обязанностей.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Руководитель по подбору и адаптации персонала несет ответственность: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неисполнение (ненадлежащее исполнение) своих должностных обязанностей, предусмотренных настоящей должностной инструкцией, а также </w:t>
      </w:r>
      <w:r>
        <w:rPr>
          <w:color w:val="000000"/>
          <w:sz w:val="24"/>
          <w:szCs w:val="24"/>
        </w:rPr>
        <w:t>работу подчиненных ему работников по вопросам их производственной деятельности;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>За совершение в процессе осуществления своей деятельности правонарушений;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 причинение материального ущерба;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2"/>
        <w:gridCol w:w="711"/>
        <w:gridCol w:w="3859"/>
        <w:gridCol w:w="508"/>
        <w:gridCol w:w="2236"/>
      </w:tblGrid>
      <w:tr>
        <w:trPr/>
        <w:tc>
          <w:tcPr>
            <w:tcW w:w="7412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</w:t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719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Roboto">
    <w:charset w:val="01" w:characterSet="utf-8"/>
    <w:family w:val="auto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start"/>
      <w:pPr>
        <w:tabs>
          <w:tab w:val="num" w:pos="0"/>
        </w:tabs>
        <w:ind w:start="360" w:hanging="360"/>
      </w:pPr>
      <w:rPr>
        <w:b/>
        <w:bCs/>
      </w:rPr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144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880" w:hanging="720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3960" w:hanging="720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540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64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792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900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0440" w:hanging="180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080"/>
        </w:tabs>
        <w:ind w:start="1080" w:hanging="720"/>
      </w:pPr>
      <w:rPr/>
    </w:lvl>
    <w:lvl w:ilvl="1">
      <w:start w:val="1"/>
      <w:numFmt w:val="decimal"/>
      <w:lvlText w:val="%2."/>
      <w:lvlJc w:val="start"/>
      <w:pPr>
        <w:tabs>
          <w:tab w:val="num" w:pos="2040"/>
        </w:tabs>
        <w:ind w:start="2040" w:hanging="9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>
      <w:b/>
      <w:bCs/>
    </w:rPr>
  </w:style>
  <w:style w:type="character" w:styleId="WW8Num1z1">
    <w:name w:val="WW8Num1z1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>
    <w:name w:val="Обычный (Интернет)"/>
    <w:basedOn w:val="Normal"/>
    <w:qFormat/>
    <w:pPr>
      <w:spacing w:before="280" w:after="280"/>
    </w:pPr>
    <w:rPr>
      <w:sz w:val="24"/>
      <w:szCs w:val="24"/>
    </w:rPr>
  </w:style>
  <w:style w:type="paragraph" w:styleId="Style18">
    <w:name w:val="Абзац списка"/>
    <w:basedOn w:val="Normal"/>
    <w:qFormat/>
    <w:pPr>
      <w:ind w:hanging="0" w:start="708" w:end="0"/>
    </w:pPr>
    <w:rPr/>
  </w:style>
  <w:style w:type="paragraph" w:styleId="Style19">
    <w:name w:val="Без интервала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LibreOffice/24.8.3.2$Linux_X86_64 LibreOffice_project/e14c9fdd1f585efcbb2c5363087a99d20928d522</Application>
  <AppVersion>15.0000</AppVersion>
  <Pages>3</Pages>
  <Words>559</Words>
  <Characters>4317</Characters>
  <CharactersWithSpaces>4916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2024-07-25T14:45:00Z</dcterms:created>
  <dc:creator>Tanya Efremova</dc:creator>
  <dc:description/>
  <dc:language>en-US</dc:language>
  <cp:lastModifiedBy/>
  <cp:lastPrinted>2022-05-05T16:28:00Z</cp:lastPrinted>
  <dcterms:modified xsi:type="dcterms:W3CDTF">2025-01-23T17:09:09Z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