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851" w:leader="none"/>
          <w:tab w:val="right" w:pos="10156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>Утверждаю</w:t>
      </w:r>
    </w:p>
    <w:p>
      <w:pPr>
        <w:pStyle w:val="Normal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ДОЛЖНОСТНАЯ ИНСТРУКЦИЯ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СОВЕТНИКА ПО ПРАВОВЫМ ВОПРОСАМ.</w:t>
      </w:r>
    </w:p>
    <w:p>
      <w:pPr>
        <w:pStyle w:val="Normal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ind w:star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1.Общие положения:</w:t>
      </w:r>
    </w:p>
    <w:p>
      <w:pPr>
        <w:pStyle w:val="ConsNormal"/>
        <w:widowControl/>
        <w:ind w:hanging="0" w:star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1.Настоящая должностная инструкция определяет функциональные обязанности, права и ответственность Советника по правовым вопросам.</w:t>
      </w:r>
    </w:p>
    <w:p>
      <w:pPr>
        <w:pStyle w:val="ConsNormal"/>
        <w:widowControl/>
        <w:ind w:hanging="0" w:star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2.Советник по правовым вопросам подчиняется Генеральному директору.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1080"/>
        <w:jc w:val="both"/>
        <w:rPr>
          <w:iCs/>
          <w:sz w:val="24"/>
          <w:szCs w:val="24"/>
        </w:rPr>
      </w:pPr>
      <w:r>
        <w:rPr>
          <w:sz w:val="24"/>
          <w:szCs w:val="24"/>
        </w:rPr>
        <w:t>3.Назначение на должность советника и освобождение от неё производится приказом генерального директора.</w:t>
      </w:r>
    </w:p>
    <w:p>
      <w:pPr>
        <w:pStyle w:val="Normal"/>
        <w:ind w:start="108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iCs/>
          <w:sz w:val="24"/>
          <w:szCs w:val="24"/>
        </w:rPr>
        <w:t>4.</w:t>
      </w:r>
      <w:r>
        <w:rPr>
          <w:sz w:val="24"/>
          <w:szCs w:val="24"/>
        </w:rPr>
        <w:t>Советник по правовым вопросам должен знать: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4.1.Нормативные акты, регламентирующие производственно-хозяйственную деятельность;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4.2.Законодательство Республики Узбекистан, региона и муниципальное законодательство, регулирующее деятельность хозяйственных обществ;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4.3.Решения общего собрания. Постановления, распоряжения и приказы, касающиеся правовой деятельности Компании;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4.4.Правила работы с персональным компьютером в базах данных действующего законодательства;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4.5.Порядок Заключения и оформления хозяйственных договоров;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4.6.Основы экономики, организации труда, производства и управления;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4.7.Правила внутреннего трудового распорядка;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4.8.Правила и нормы охраны труда, техники безопасности, производственной санитарии и противопожарной защиты.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5.Советник по правовым вопросам руководствуется: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5.1.Действующим законодательством Республики Узбекистан;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5.2.Уставом и коллективным договором;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5.3.Приказами, указаниями и распоряжениями генерального директора;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5.4.Правилами внутреннего трудового распорядка;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5.5.Положением о правовом департаменте;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  <w:t>5.6.Настоящей должностной инструкцией.</w:t>
      </w:r>
    </w:p>
    <w:p>
      <w:pPr>
        <w:pStyle w:val="Normal"/>
        <w:ind w:start="10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360"/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                                                  </w:t>
      </w:r>
      <w:r>
        <w:rPr>
          <w:b/>
          <w:iCs/>
          <w:sz w:val="24"/>
          <w:szCs w:val="24"/>
        </w:rPr>
        <w:t>2.Должностные обязанности: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2.1.Консультирует генерального директора по правовым вопросам;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2.2.Участвует в выработке правовых позиций основных направлений стратегии  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развития, в разработке и реализации стратегии развития в части совершенствования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правовой работы;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2.3.Контролирует соответствие требованиям законодательства и интересам Компании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проекта приказов, инструкций, решений, и других документов Компании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нормативного и/или правового характера;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2.4.Обеспечивает подготовку предложений, заключений об отмене или изменении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указанных документов;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2.5.Представляет Компанию в судах общей юрисдикции, арбитражном и третейском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судах, в государственных и общественных органах и организациях, органах местного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самоуправления, других организациях;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2.6.Проводит мероприятия по повышению уровня правовых знаний работников;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2.7.Контролирует соблюдение законодательства структурными подразделениями,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должностными лицами Компании, принимает меры к предупреждению нарушений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действующего законодательства;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2.8.Организует и ведёт консультационную работу по применению действующего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законодательства;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2.9.Вносит на рассмотрение генеральному директору предложения по обеспечению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правового департаменты оборудованием, законодательно-справочными материалами,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</w:rPr>
        <w:t>правовой и специальной литературой, компьютерными базами данных;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2.10.Организует получение, хранение, обобщение и анализ информационных и иных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материалов от вышестоящих организаций, других организаций, оказывающих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консультационные услуги, по вопросам правовой работы, вновь принятым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законодательным актам, их изменении и дополнении, другие информационно-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аналитические материалы;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2.11.Обеспечивает взаимодействие правового департамента с юридическими отделами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(службами) дочерних и зависимых обществ, а также с организациями и гражданами,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оказывающими Компании юридические услуги;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2.12.Участвует в разработке и осуществлении мероприятий по укреплению трудовой и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финансовой дисциплины;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2.13.Дает заключения по запросам работников и должностных лиц структурных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подразделений Общества;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2.14.Обеспечивает надлежащий учет и сохранность служебных документов,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организацию ведения делопроизводства в правовом департаменте в соответствии с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установленным порядком;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2.15.Организует проведение правовой экспертизы проектов учредительных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документов создаваемых при участии организаций, в том числе и с иностранными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инвестициями. Обеспечивает взаимодействие со структурными подразделениями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Компании и/или другими организациями, производящими экспертизу бизнес-планов;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2.16.Организует работу по анализу и обобщению результатов рассмотрения претензий,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судебных и арбитражных дел в Компании, а также практики заключения и исполнения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хозяйственных договоров; разрабатывает предложения по устранению нарушений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договорной дисциплины по поставкам продукции, выявленных недостатков и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улучшению производственной и финансово-хозяйственной деятельности Компании;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2.17.Обеспечивает (совместно с департаментом безопасности) подготовку материалов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 хищениях, растратах, недостачах и об иных правонарушениях для передачи их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следственным и судебным органам; принимает меры к возмещению ущерба,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причиненного Компании; организует учет и хранение находящихся в производстве и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законченных исполнением арбитражных и судебных дел;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2.18.Оказывает организационно-методическую помощь в постановке правовой работы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организациях, создаваемых при участии Компании;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2.19.Участвует в подготовке и заключении коллективных договоров и соглашений;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2.20.Осуществляет комплексный анализ правовой работы в Компании;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2.21.Руководит работой правового департамента в отсутствии директора правового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Департамента;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2.22.Обеспечивает качественное и своевременное выполнение возложенных на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правовой департамент задач, а также поручений руководства Компании.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2.23.Готовит и представляет руководству Компании предложения по вопросам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подбора и расстановки кадров в правовом департаменте, поощрения и наложения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взысканий, премирования по результатам работы;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2.24.Вносит на рассмотрение руководства Компании предложения по повышению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квалификации и обучению специалистов правового департамента Компании и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юридических служб структурных подразделений;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2.25.Организует взаимодействие правового департамента с другими структурными </w:t>
      </w:r>
    </w:p>
    <w:p>
      <w:pPr>
        <w:pStyle w:val="Normal"/>
        <w:ind w:firstLine="1134"/>
        <w:jc w:val="both"/>
        <w:rPr>
          <w:sz w:val="24"/>
          <w:szCs w:val="24"/>
        </w:rPr>
      </w:pPr>
      <w:r>
        <w:rPr>
          <w:sz w:val="24"/>
          <w:szCs w:val="24"/>
          <w:lang w:eastAsia="ru-RU"/>
        </w:rPr>
        <w:t>подразделениями Компании.</w:t>
      </w:r>
    </w:p>
    <w:p>
      <w:pPr>
        <w:pStyle w:val="Normal"/>
        <w:ind w:start="15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3.Права:</w:t>
      </w:r>
    </w:p>
    <w:p>
      <w:pPr>
        <w:pStyle w:val="Normal"/>
        <w:ind w:star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>Советник по правовым вопросам имеет право:</w:t>
      </w:r>
    </w:p>
    <w:p>
      <w:pPr>
        <w:pStyle w:val="Normal"/>
        <w:ind w:star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3.1.Знакомиться с проектами решений органов управления Компании и вносить на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рассмотрение руководства свои замечания и предложения поданным документам;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3.2. Вносить на рассмотрение Генеральному директору предложения по улучшению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деятельности Компании и правового департамента;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3.3.Присутствовать на служебных совещаниях при рассмотрении правовых вопросов;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3.4.Требовать от должностных лиц и специалистов Компании необходимые материалы,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разъяснения по представляемым ему на заключение и экспертизу проектам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документов, а также согласования этих документов с заинтересованными лицами,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структурными подразделениями Компании;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3.5.Не визировать проекты документов, противоречащие действующему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Законодательству;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3.6.Запрашивать у руководителей структурных подразделений, дочерних и зависимых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обществ информацию и документы, необходимые для выполнения должностных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обязанностей;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3.7.Привлекать специалистов всех структурных подразделений по согласованию с их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руководителями к решению возложенных на него задач;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3.8.Осуществлять взаимодействие с руководителями всех подразделений Компании;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3.9.Контролировать организацию правовой работы и соблюдение действующего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законодательства, внутренних нормативных документов в структурных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подразделениях Компании;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3.10.Вести переписку по вопросам правовой работы;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3.11.Вносить на рассмотрение генерального директора предложения о поощрении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отличившихся работников, наложении взысканий на нарушителей трудовой и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производственной дисциплины;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3.12.Ходатайствовать перед руководством Компании об оказании содействия в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исполнении должностных обязанностей;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3.13.Реализовывать иные правомочия и функции, предусмотренные Положением о 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правовом департаменте, трудовым договором и доверенностью генерального </w:t>
      </w:r>
    </w:p>
    <w:p>
      <w:pPr>
        <w:pStyle w:val="Normal"/>
        <w:ind w:firstLine="1134"/>
        <w:jc w:val="both"/>
        <w:rPr>
          <w:b/>
          <w:bCs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директора.</w:t>
      </w:r>
    </w:p>
    <w:p>
      <w:pPr>
        <w:pStyle w:val="Normal"/>
        <w:jc w:val="center"/>
        <w:rPr>
          <w:b/>
          <w:i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b/>
          <w:iCs/>
          <w:sz w:val="24"/>
          <w:szCs w:val="24"/>
        </w:rPr>
        <w:t>Ответственность:</w:t>
      </w:r>
    </w:p>
    <w:p>
      <w:pPr>
        <w:pStyle w:val="Normal"/>
        <w:ind w:star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>Советник по правовым вопросам несет ответственность:</w:t>
      </w:r>
    </w:p>
    <w:p>
      <w:pPr>
        <w:pStyle w:val="Normal"/>
        <w:ind w:star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4.1.За ненадлежащее исполнение или неисполнение своих должностных обязанностей,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предусмотренных настоящей должностной инструкцией, трудовым договором — в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пределах, определенных действующим трудовым законодательством Республики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Узбекистан;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4.2.За правонарушения, совершенные в процессе осуществления своей деятельности,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— </w:t>
      </w:r>
      <w:r>
        <w:rPr>
          <w:sz w:val="24"/>
          <w:szCs w:val="24"/>
          <w:lang w:eastAsia="ru-RU"/>
        </w:rPr>
        <w:t>в пределах, определенных действующих административным, уголовным и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гражданским законодательством Республики Узбекистан;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4.3.За причинение материального ущерба — в пределах, определенных действующим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трудовым и гражданским законодательством Республики Узбекистан;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4.4.За разглашение конфиденциальной информации, являющейся коммерческой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тайной Компании.</w:t>
      </w:r>
    </w:p>
    <w:p>
      <w:pPr>
        <w:pStyle w:val="Normal"/>
        <w:ind w:firstLine="1134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2843"/>
        <w:gridCol w:w="711"/>
        <w:gridCol w:w="3859"/>
        <w:gridCol w:w="508"/>
        <w:gridCol w:w="2235"/>
      </w:tblGrid>
      <w:tr>
        <w:trPr/>
        <w:tc>
          <w:tcPr>
            <w:tcW w:w="7413" w:type="dxa"/>
            <w:gridSpan w:val="3"/>
            <w:tcBorders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  <w:sz w:val="24"/>
                <w:szCs w:val="24"/>
                <w:lang w:val="en-US" w:eastAsia="en-US"/>
              </w:rPr>
              <w:t xml:space="preserve">            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 w:eastAsia="en-US"/>
              </w:rPr>
              <w:t>С инструкцией ознакомлен: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sz w:val="24"/>
                <w:szCs w:val="24"/>
                <w:lang w:val="en-US" w:eastAsia="en-US"/>
              </w:rPr>
              <w:t xml:space="preserve">      </w:t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sz w:val="24"/>
                <w:szCs w:val="24"/>
                <w:lang w:val="en-US" w:eastAsia="en-US"/>
              </w:rPr>
              <w:t xml:space="preserve">  </w:t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${fio}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${fio}</w:t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(подпись)</w:t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(Ф.И.О.)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(дата)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900" w:right="850" w:gutter="0" w:header="0" w:top="719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Virtec Times New Roman Uz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bidi="ar-SA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  <w:sz w:val="20"/>
    </w:rPr>
  </w:style>
  <w:style w:type="character" w:styleId="WW8Num5z1" w:customStyle="1">
    <w:name w:val="WW8Num5z1"/>
    <w:qFormat/>
    <w:rPr>
      <w:rFonts w:ascii="Courier New" w:hAnsi="Courier New" w:cs="Courier New"/>
      <w:sz w:val="20"/>
    </w:rPr>
  </w:style>
  <w:style w:type="character" w:styleId="WW8Num5z2" w:customStyle="1">
    <w:name w:val="WW8Num5z2"/>
    <w:qFormat/>
    <w:rPr>
      <w:rFonts w:ascii="Wingdings" w:hAnsi="Wingdings" w:cs="Wingdings"/>
      <w:sz w:val="20"/>
    </w:rPr>
  </w:style>
  <w:style w:type="character" w:styleId="WW8Num6z0" w:customStyle="1">
    <w:name w:val="WW8Num6z0"/>
    <w:qFormat/>
    <w:rPr>
      <w:rFonts w:ascii="Symbol" w:hAnsi="Symbol" w:cs="Symbol"/>
      <w:sz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</w:rPr>
  </w:style>
  <w:style w:type="character" w:styleId="WW8Num6z2" w:customStyle="1">
    <w:name w:val="WW8Num6z2"/>
    <w:qFormat/>
    <w:rPr>
      <w:rFonts w:ascii="Wingdings" w:hAnsi="Wingdings" w:cs="Wingdings"/>
      <w:sz w:val="20"/>
    </w:rPr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cs="Symbol"/>
      <w:sz w:val="20"/>
    </w:rPr>
  </w:style>
  <w:style w:type="character" w:styleId="WW8Num10z1" w:customStyle="1">
    <w:name w:val="WW8Num10z1"/>
    <w:qFormat/>
    <w:rPr>
      <w:rFonts w:ascii="Courier New" w:hAnsi="Courier New" w:cs="Courier New"/>
      <w:sz w:val="20"/>
    </w:rPr>
  </w:style>
  <w:style w:type="character" w:styleId="WW8Num10z2" w:customStyle="1">
    <w:name w:val="WW8Num10z2"/>
    <w:qFormat/>
    <w:rPr>
      <w:rFonts w:ascii="Wingdings" w:hAnsi="Wingdings" w:cs="Wingdings"/>
      <w:sz w:val="20"/>
    </w:rPr>
  </w:style>
  <w:style w:type="character" w:styleId="WW8Num11z0" w:customStyle="1">
    <w:name w:val="WW8Num11z0"/>
    <w:qFormat/>
    <w:rPr/>
  </w:style>
  <w:style w:type="character" w:styleId="WW8Num12z0" w:customStyle="1">
    <w:name w:val="WW8Num12z0"/>
    <w:qFormat/>
    <w:rPr/>
  </w:style>
  <w:style w:type="character" w:styleId="WW8Num13z0" w:customStyle="1">
    <w:name w:val="WW8Num13z0"/>
    <w:qFormat/>
    <w:rPr>
      <w:color w:val="000000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7z0" w:customStyle="1">
    <w:name w:val="WW8Num17z0"/>
    <w:qFormat/>
    <w:rPr/>
  </w:style>
  <w:style w:type="character" w:styleId="WW8Num18z0" w:customStyle="1">
    <w:name w:val="WW8Num18z0"/>
    <w:qFormat/>
    <w:rPr/>
  </w:style>
  <w:style w:type="character" w:styleId="WW8Num19z0" w:customStyle="1">
    <w:name w:val="WW8Num19z0"/>
    <w:qFormat/>
    <w:rPr/>
  </w:style>
  <w:style w:type="character" w:styleId="WW8Num20z0" w:customStyle="1">
    <w:name w:val="WW8Num20z0"/>
    <w:qFormat/>
    <w:rPr/>
  </w:style>
  <w:style w:type="character" w:styleId="WW8Num21z0" w:customStyle="1">
    <w:name w:val="WW8Num21z0"/>
    <w:qFormat/>
    <w:rPr/>
  </w:style>
  <w:style w:type="character" w:styleId="WW8Num22z0" w:customStyle="1">
    <w:name w:val="WW8Num22z0"/>
    <w:qFormat/>
    <w:rPr/>
  </w:style>
  <w:style w:type="character" w:styleId="WW8Num23z0" w:customStyle="1">
    <w:name w:val="WW8Num23z0"/>
    <w:qFormat/>
    <w:rPr>
      <w:rFonts w:ascii="Symbol" w:hAnsi="Symbol" w:cs="Symbol"/>
      <w:sz w:val="20"/>
    </w:rPr>
  </w:style>
  <w:style w:type="character" w:styleId="WW8Num23z1" w:customStyle="1">
    <w:name w:val="WW8Num23z1"/>
    <w:qFormat/>
    <w:rPr>
      <w:rFonts w:ascii="Courier New" w:hAnsi="Courier New" w:cs="Courier New"/>
      <w:sz w:val="20"/>
    </w:rPr>
  </w:style>
  <w:style w:type="character" w:styleId="WW8Num23z2" w:customStyle="1">
    <w:name w:val="WW8Num23z2"/>
    <w:qFormat/>
    <w:rPr>
      <w:rFonts w:ascii="Wingdings" w:hAnsi="Wingdings" w:cs="Wingdings"/>
      <w:sz w:val="20"/>
    </w:rPr>
  </w:style>
  <w:style w:type="character" w:styleId="Style14" w:customStyle="1">
    <w:name w:val="Верхний колонтитул Знак"/>
    <w:qFormat/>
    <w:rPr/>
  </w:style>
  <w:style w:type="character" w:styleId="Style15" w:customStyle="1">
    <w:name w:val="Нижний колонтитул Знак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333333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bidi="ar-SA" w:eastAsia="zh-CN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6" w:customStyle="1">
    <w:name w:val="Обычный (Интернет)"/>
    <w:basedOn w:val="Normal"/>
    <w:qFormat/>
    <w:pPr>
      <w:spacing w:before="280" w:after="280"/>
    </w:pPr>
    <w:rPr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LibreOffice/24.8.3.2$Linux_X86_64 LibreOffice_project/e14c9fdd1f585efcbb2c5363087a99d20928d522</Application>
  <AppVersion>15.0000</AppVersion>
  <Pages>4</Pages>
  <Words>863</Words>
  <Characters>7486</Characters>
  <CharactersWithSpaces>8430</CharactersWithSpaces>
  <Paragraphs>145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2021-02-01T13:40:00Z</dcterms:created>
  <dc:creator>Tanya Efremova</dc:creator>
  <dc:description/>
  <dc:language>en-US</dc:language>
  <cp:lastModifiedBy/>
  <cp:lastPrinted>2021-01-27T13:19:00Z</cp:lastPrinted>
  <dcterms:modified xsi:type="dcterms:W3CDTF">2025-01-22T13:46:04Z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