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numPr>
          <w:ilvl w:val="0"/>
          <w:numId w:val="0"/>
        </w:numPr>
        <w:shd w:val="clear" w:color="auto" w:fill="FFFFFF"/>
        <w:ind w:hanging="0" w:left="0"/>
        <w:jc w:val="right"/>
        <w:outlineLvl w:val="0"/>
        <w:rPr>
          <w:b/>
          <w:bCs/>
          <w:iCs/>
          <w:color w:val="000000"/>
          <w:kern w:val="2"/>
          <w:lang w:eastAsia="ru-RU"/>
        </w:rPr>
      </w:pPr>
      <w:r>
        <w:rPr>
          <w:b/>
          <w:bCs/>
          <w:iCs/>
          <w:color w:val="000000"/>
          <w:kern w:val="2"/>
          <w:lang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ind w:hanging="0" w:left="0"/>
        <w:jc w:val="right"/>
        <w:outlineLvl w:val="0"/>
        <w:rPr>
          <w:b/>
          <w:bCs/>
          <w:iCs/>
          <w:color w:val="000000"/>
          <w:kern w:val="2"/>
          <w:lang w:eastAsia="ru-RU"/>
        </w:rPr>
      </w:pPr>
      <w:r>
        <w:rPr>
          <w:b/>
          <w:bCs/>
          <w:iCs/>
          <w:color w:val="000000"/>
          <w:kern w:val="2"/>
          <w:lang w:eastAsia="ru-RU"/>
        </w:rPr>
        <w:t>Утверждаю</w:t>
      </w:r>
    </w:p>
    <w:p>
      <w:pPr>
        <w:pStyle w:val="Normal"/>
        <w:numPr>
          <w:ilvl w:val="0"/>
          <w:numId w:val="0"/>
        </w:numPr>
        <w:shd w:val="clear" w:color="auto" w:fill="FFFFFF"/>
        <w:ind w:hanging="0" w:left="0"/>
        <w:jc w:val="right"/>
        <w:outlineLvl w:val="0"/>
        <w:rPr>
          <w:b/>
          <w:bCs/>
          <w:iCs/>
          <w:color w:val="000000"/>
          <w:kern w:val="2"/>
          <w:lang w:eastAsia="ru-RU"/>
        </w:rPr>
      </w:pPr>
      <w:r>
        <w:rPr>
          <w:b/>
          <w:bCs/>
          <w:iCs/>
          <w:color w:val="000000"/>
          <w:kern w:val="2"/>
          <w:lang w:eastAsia="ru-RU"/>
        </w:rPr>
        <w:t>___________________Рахимбердиев Ж.Х.</w:t>
      </w:r>
    </w:p>
    <w:p>
      <w:pPr>
        <w:pStyle w:val="Normal"/>
        <w:suppressAutoHyphens w:val="false"/>
        <w:jc w:val="right"/>
        <w:rPr/>
      </w:pPr>
      <w:r>
        <w:rPr/>
        <w:t xml:space="preserve">                                                                             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ДОЛЖНОСТНАЯ ИНСТРУКЦИЯ</w:t>
      </w:r>
    </w:p>
    <w:p>
      <w:pPr>
        <w:pStyle w:val="Normal"/>
        <w:jc w:val="center"/>
        <w:rPr/>
      </w:pPr>
      <w:r>
        <w:rPr>
          <w:b/>
        </w:rPr>
        <w:t>СПЕЦИАЛИСТА ПО МЕРЧЕНДАЙЗИНГУ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</w:rPr>
        <w:t>1. Общие положения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EnvelopeAddress"/>
        <w:numPr>
          <w:ilvl w:val="1"/>
          <w:numId w:val="1"/>
        </w:numPr>
        <w:ind w:firstLine="376" w:left="-142"/>
        <w:jc w:val="both"/>
        <w:rPr/>
      </w:pPr>
      <w:r>
        <w:rPr/>
        <w:t xml:space="preserve">Настоящая должностная инструкция определяет функциональные, должностные обязанности, права и ответственность специалиста по мерчендайзингу.   </w:t>
      </w:r>
    </w:p>
    <w:p>
      <w:pPr>
        <w:pStyle w:val="EnvelopeAddress"/>
        <w:ind w:left="1184"/>
        <w:jc w:val="both"/>
        <w:rPr/>
      </w:pPr>
      <w:r>
        <w:rPr/>
      </w:r>
    </w:p>
    <w:p>
      <w:pPr>
        <w:pStyle w:val="EnvelopeAddress"/>
        <w:numPr>
          <w:ilvl w:val="1"/>
          <w:numId w:val="1"/>
        </w:numPr>
        <w:ind w:firstLine="426" w:left="-142"/>
        <w:jc w:val="both"/>
        <w:rPr/>
      </w:pPr>
      <w:r>
        <w:rPr/>
        <w:t>На должность специалиста по мерчендайзингу назначается лицо, имеющее профильное высшее образование.</w:t>
      </w:r>
    </w:p>
    <w:p>
      <w:pPr>
        <w:pStyle w:val="EnvelopeAddress"/>
        <w:jc w:val="both"/>
        <w:rPr/>
      </w:pPr>
      <w:r>
        <w:rPr/>
      </w:r>
    </w:p>
    <w:p>
      <w:pPr>
        <w:pStyle w:val="EnvelopeAddress"/>
        <w:numPr>
          <w:ilvl w:val="1"/>
          <w:numId w:val="1"/>
        </w:numPr>
        <w:ind w:firstLine="376" w:left="-142"/>
        <w:jc w:val="both"/>
        <w:rPr/>
      </w:pPr>
      <w:r>
        <w:rPr/>
        <w:t>Специалист по мерчендайзингу должен знать:</w:t>
      </w:r>
    </w:p>
    <w:p>
      <w:pPr>
        <w:pStyle w:val="FrameContents"/>
        <w:rPr/>
      </w:pPr>
      <w:r>
        <w:rPr/>
        <w:t>- основы торгового маркетинга и менеджмента;</w:t>
      </w:r>
    </w:p>
    <w:p>
      <w:pPr>
        <w:pStyle w:val="FrameContents"/>
        <w:rPr/>
      </w:pPr>
      <w:r>
        <w:rPr/>
        <w:t>- характеристику и принципы использования инструментов мерчендайзинга;</w:t>
      </w:r>
    </w:p>
    <w:p>
      <w:pPr>
        <w:pStyle w:val="FrameContents"/>
        <w:rPr/>
      </w:pPr>
      <w:r>
        <w:rPr/>
        <w:t>- виды рекламы и основы организации рекламной деятельности;</w:t>
      </w:r>
    </w:p>
    <w:p>
      <w:pPr>
        <w:pStyle w:val="FrameContents"/>
        <w:rPr/>
      </w:pPr>
      <w:bookmarkStart w:id="0" w:name="sub_14"/>
      <w:bookmarkEnd w:id="0"/>
      <w:r>
        <w:rPr/>
        <w:t>-  приказы, указания, распоряжения, инструкции и другие нормативно-распорядительные документы, регламентирующие работу мерчендайзера, а так же основы гражданского законодательства РФ, законодательства о защите прав потребителей, о рекламе;</w:t>
      </w:r>
    </w:p>
    <w:p>
      <w:pPr>
        <w:pStyle w:val="FrameContents"/>
        <w:rPr/>
      </w:pPr>
      <w:r>
        <w:rPr/>
        <w:t>- основы организации работы по формированию спроса и стимулированию продаж товаров;</w:t>
      </w:r>
    </w:p>
    <w:p>
      <w:pPr>
        <w:pStyle w:val="FrameContents"/>
        <w:rPr/>
      </w:pPr>
      <w:r>
        <w:rPr/>
        <w:t>- принципы организации торгового пространства и эффективного использования торговых площадей;</w:t>
      </w:r>
    </w:p>
    <w:p>
      <w:pPr>
        <w:pStyle w:val="FrameContents"/>
        <w:rPr/>
      </w:pPr>
      <w:r>
        <w:rPr/>
        <w:t>- принципы организации продаж;</w:t>
      </w:r>
    </w:p>
    <w:p>
      <w:pPr>
        <w:pStyle w:val="FrameContents"/>
        <w:rPr/>
      </w:pPr>
      <w:r>
        <w:rPr/>
        <w:t>- методы оценки эффективности выкладки товаров в торговом зале;</w:t>
      </w:r>
    </w:p>
    <w:p>
      <w:pPr>
        <w:pStyle w:val="FrameContents"/>
        <w:rPr/>
      </w:pPr>
      <w:r>
        <w:rPr/>
        <w:t>- ассортимент предлагаемых товаров, их основные качественные и потребительские</w:t>
      </w:r>
    </w:p>
    <w:p>
      <w:pPr>
        <w:pStyle w:val="FrameContents"/>
        <w:rPr/>
      </w:pPr>
      <w:r>
        <w:rPr/>
        <w:t>характеристики;</w:t>
      </w:r>
    </w:p>
    <w:p>
      <w:pPr>
        <w:pStyle w:val="FrameContents"/>
        <w:rPr/>
      </w:pPr>
      <w:r>
        <w:rPr/>
        <w:t>- действующие цены на товары;</w:t>
      </w:r>
    </w:p>
    <w:p>
      <w:pPr>
        <w:pStyle w:val="FrameContents"/>
        <w:rPr/>
      </w:pPr>
      <w:r>
        <w:rPr/>
        <w:t>- факторы влияния на прогнозируемые и незапланированные покупки;</w:t>
      </w:r>
    </w:p>
    <w:p>
      <w:pPr>
        <w:pStyle w:val="FrameContents"/>
        <w:rPr/>
      </w:pPr>
      <w:r>
        <w:rPr/>
        <w:t>- основные принципы планирования работы;</w:t>
      </w:r>
    </w:p>
    <w:p>
      <w:pPr>
        <w:pStyle w:val="FrameContents"/>
        <w:rPr/>
      </w:pPr>
      <w:r>
        <w:rPr/>
        <w:t>- основы рыночной экономики;</w:t>
      </w:r>
    </w:p>
    <w:p>
      <w:pPr>
        <w:pStyle w:val="FrameContents"/>
        <w:rPr/>
      </w:pPr>
      <w:r>
        <w:rPr/>
        <w:t>- требования к составлению и оформлению документации (учетной, отчетной и пр.);</w:t>
      </w:r>
    </w:p>
    <w:p>
      <w:pPr>
        <w:pStyle w:val="FrameContents"/>
        <w:rPr/>
      </w:pPr>
      <w:r>
        <w:rPr/>
        <w:t>- основы психологии и социологии, психологические типы потребителей, а так же модели поведения покупателей в торговом зале;</w:t>
      </w:r>
    </w:p>
    <w:p>
      <w:pPr>
        <w:pStyle w:val="FrameContents"/>
        <w:rPr/>
      </w:pPr>
      <w:r>
        <w:rPr/>
        <w:t>- правила внутреннего трудового распорядка;</w:t>
      </w:r>
    </w:p>
    <w:p>
      <w:pPr>
        <w:pStyle w:val="FrameContents"/>
        <w:rPr/>
      </w:pPr>
      <w:r>
        <w:rPr/>
        <w:t>- правила и нормы охраны труда, техники безопасности, производственной санитарии и противопожарной защиты;</w:t>
      </w:r>
    </w:p>
    <w:p>
      <w:pPr>
        <w:pStyle w:val="FrameContents"/>
        <w:rPr/>
      </w:pPr>
      <w:r>
        <w:rPr/>
        <w:t>- основы организации производства, труда и управления, основы законодательства о труде РФ;</w:t>
      </w:r>
    </w:p>
    <w:p>
      <w:pPr>
        <w:pStyle w:val="FrameContents"/>
        <w:rPr>
          <w:lang w:val="en-US"/>
        </w:rPr>
      </w:pPr>
      <w:r>
        <w:rPr/>
        <w:t>- этику делового общения.</w:t>
      </w:r>
    </w:p>
    <w:p>
      <w:pPr>
        <w:pStyle w:val="EnvelopeAddress"/>
        <w:ind w:firstLine="709"/>
        <w:jc w:val="both"/>
        <w:rPr/>
      </w:pPr>
      <w:r>
        <w:rPr/>
      </w:r>
    </w:p>
    <w:p>
      <w:pPr>
        <w:pStyle w:val="EnvelopeAddress"/>
        <w:numPr>
          <w:ilvl w:val="1"/>
          <w:numId w:val="1"/>
        </w:numPr>
        <w:ind w:hanging="283" w:left="567"/>
        <w:jc w:val="both"/>
        <w:rPr/>
      </w:pPr>
      <w:r>
        <w:rPr/>
        <w:t>Специалист по мерчендайзингу назначается на должность и освобождается от должности приказом генерального директора компании.</w:t>
      </w:r>
    </w:p>
    <w:p>
      <w:pPr>
        <w:pStyle w:val="EnvelopeAddress"/>
        <w:ind w:left="1184"/>
        <w:jc w:val="both"/>
        <w:rPr/>
      </w:pPr>
      <w:r>
        <w:rPr/>
      </w:r>
    </w:p>
    <w:p>
      <w:pPr>
        <w:pStyle w:val="EnvelopeAddress"/>
        <w:numPr>
          <w:ilvl w:val="1"/>
          <w:numId w:val="1"/>
        </w:numPr>
        <w:ind w:hanging="283" w:left="567"/>
        <w:jc w:val="both"/>
        <w:rPr/>
      </w:pPr>
      <w:r>
        <w:rPr/>
        <w:t>Специалист по мерчендайзингу подчиняется Генеральному директору, руководителю отдела ПМ и менеджеру по мерчендайзингу.</w:t>
      </w:r>
    </w:p>
    <w:p>
      <w:pPr>
        <w:pStyle w:val="EnvelopeAddress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t>Должностные обязанности</w:t>
      </w:r>
    </w:p>
    <w:p>
      <w:pPr>
        <w:pStyle w:val="ListParagraph"/>
        <w:ind w:left="480"/>
        <w:rPr>
          <w:b/>
        </w:rPr>
      </w:pPr>
      <w:r>
        <w:rPr>
          <w:b/>
        </w:rPr>
      </w:r>
    </w:p>
    <w:p>
      <w:pPr>
        <w:pStyle w:val="FrameContents"/>
        <w:rPr/>
      </w:pPr>
      <w:r>
        <w:rPr>
          <w:color w:val="000000"/>
          <w:shd w:fill="FFFFFF" w:val="clear"/>
        </w:rPr>
        <w:t>2.1. Специалист по мерчендайзингу предпринимает действия по обеспечению:</w:t>
      </w:r>
    </w:p>
    <w:p>
      <w:pPr>
        <w:pStyle w:val="FrameContents"/>
        <w:rPr>
          <w:lang w:eastAsia="ru-RU"/>
        </w:rPr>
      </w:pPr>
      <w:r>
        <w:rPr/>
        <w:t>- грамотного и эффективного позиционирования всех товаров, реализуемых предприятием розничной торговли;</w:t>
      </w:r>
    </w:p>
    <w:p>
      <w:pPr>
        <w:pStyle w:val="FrameContents"/>
        <w:rPr/>
      </w:pPr>
      <w:r>
        <w:rPr/>
        <w:t>- принятия мер по реконструкции, ремонту, замене неисправных или пришедших в негодность рекламных элементов;</w:t>
      </w:r>
    </w:p>
    <w:p>
      <w:pPr>
        <w:pStyle w:val="FrameContents"/>
        <w:rPr/>
      </w:pPr>
      <w:r>
        <w:rPr/>
        <w:t>- товарных запасов в местах продаж на необходимом уровне, а так же высоких объемов продаж товара в местах розничных продаж;</w:t>
      </w:r>
    </w:p>
    <w:p>
      <w:pPr>
        <w:pStyle w:val="FrameContents"/>
        <w:rPr/>
      </w:pPr>
      <w:r>
        <w:rPr/>
        <w:t>- проведения мероприятий по представлению товаров в местах продажи с использованием инструментов мерчендайзинга, а к ним относятся:</w:t>
      </w:r>
    </w:p>
    <w:p>
      <w:pPr>
        <w:pStyle w:val="FrameContents"/>
        <w:rPr/>
      </w:pPr>
      <w:r>
        <w:rPr/>
        <w:t>а) Space-management - выкладка (размещение, позиционирование) товара способами, поощряющими импульсивные покупки товаров;</w:t>
      </w:r>
    </w:p>
    <w:p>
      <w:pPr>
        <w:pStyle w:val="FrameContents"/>
        <w:rPr/>
      </w:pPr>
      <w:r>
        <w:rPr/>
        <w:t>б) POS designing - размещение в пространстве мест продаж рекламных элементов - плакатов, буклетов, моделей товаров (подвесных, стоячих и др.), гирлянд, флагов, рекламного торгового оборудования (стоек, стеллажей, светильников);</w:t>
      </w:r>
    </w:p>
    <w:p>
      <w:pPr>
        <w:pStyle w:val="FrameContents"/>
        <w:rPr/>
      </w:pPr>
      <w:r>
        <w:rPr/>
        <w:t>в) Stock-control - расчет необходимого и достаточного количества (баланса) товаров в местах продаж, обеспечение их наличия.</w:t>
      </w:r>
    </w:p>
    <w:p>
      <w:pPr>
        <w:pStyle w:val="FrameContents"/>
        <w:rPr/>
      </w:pPr>
      <w:r>
        <w:rPr/>
        <w:t>2.2. Анализирует принципы работы в местах продаж мерчендайзеров других предприятий, наблюдает за их работой;</w:t>
      </w:r>
    </w:p>
    <w:p>
      <w:pPr>
        <w:pStyle w:val="FrameContents"/>
        <w:rPr/>
      </w:pPr>
      <w:r>
        <w:rPr/>
        <w:t>2.3. Проводит разработку программы мерчендайзинга (выбор методов реализации товаров, формирование техники выкладки товаров в различных типах торговых предприятий, подбор и бюджетирование рекламных элементов и пр.).</w:t>
      </w:r>
    </w:p>
    <w:p>
      <w:pPr>
        <w:pStyle w:val="FrameContents"/>
        <w:rPr/>
      </w:pPr>
      <w:r>
        <w:rPr/>
        <w:t>2.4. Передает заявки агентам (при желании торговой точки), доносит информацию до супервайзера и ответственного торгового представителя об отсутствии достаточного количества продукции и заявки;</w:t>
      </w:r>
    </w:p>
    <w:p>
      <w:pPr>
        <w:pStyle w:val="FrameContents"/>
        <w:rPr/>
      </w:pPr>
      <w:r>
        <w:rPr/>
        <w:t>2.5. Создает дублирующие точки продаж, следит за правильным размещением существующих, улучшает места размещения продукции по отношению к продукции конкурентов;</w:t>
      </w:r>
    </w:p>
    <w:p>
      <w:pPr>
        <w:pStyle w:val="FrameContents"/>
        <w:rPr/>
      </w:pPr>
      <w:r>
        <w:rPr/>
        <w:t>2.6. Собирает маркетинговую информацию по заданию компании;</w:t>
      </w:r>
    </w:p>
    <w:p>
      <w:pPr>
        <w:pStyle w:val="FrameContents"/>
        <w:rPr/>
      </w:pPr>
      <w:r>
        <w:rPr/>
        <w:t>2.7. По мере возможности всячески способствует поддержанию положительного имиджа производителя или оптового продавца товара, обеспечивает благоприятные условия для продвижения товара на потребительский рынок и высоких объемов продаж в местах осуществления розничных продаж;</w:t>
      </w:r>
    </w:p>
    <w:p>
      <w:pPr>
        <w:pStyle w:val="FrameContents"/>
        <w:rPr/>
      </w:pPr>
      <w:r>
        <w:rPr/>
        <w:t>2.8. Осуществляет регулярный объезд закрепленных за ним торговых объектов (мест продаж);</w:t>
      </w:r>
    </w:p>
    <w:p>
      <w:pPr>
        <w:pStyle w:val="FrameContents"/>
        <w:rPr/>
      </w:pPr>
      <w:r>
        <w:rPr/>
        <w:t>2.9. В обязанности специалиста по мерчендайзингу входит:</w:t>
      </w:r>
    </w:p>
    <w:p>
      <w:pPr>
        <w:pStyle w:val="FrameContents"/>
        <w:rPr/>
      </w:pPr>
      <w:r>
        <w:rPr/>
        <w:t>- вовремя отвечать на запросы других сотрудников по направлению профессиональной деятельности, предоставлять требуемую информацию в полном объеме;</w:t>
      </w:r>
    </w:p>
    <w:p>
      <w:pPr>
        <w:pStyle w:val="FrameContents"/>
        <w:rPr/>
      </w:pPr>
      <w:r>
        <w:rPr/>
        <w:t>- постоянно повышать свой профессиональный уровень;</w:t>
      </w:r>
    </w:p>
    <w:p>
      <w:pPr>
        <w:pStyle w:val="FrameContents"/>
        <w:rPr/>
      </w:pPr>
      <w:r>
        <w:rPr/>
        <w:t>- честно и добросовестно исполнять возложенные на него должностные обязанности;</w:t>
      </w:r>
    </w:p>
    <w:p>
      <w:pPr>
        <w:pStyle w:val="FrameContents"/>
        <w:rPr/>
      </w:pPr>
      <w:r>
        <w:rPr/>
        <w:t>- хранить коммерческую тайну;</w:t>
      </w:r>
    </w:p>
    <w:p>
      <w:pPr>
        <w:pStyle w:val="FrameContents"/>
        <w:rPr/>
      </w:pPr>
      <w:r>
        <w:rPr/>
        <w:t>- соблюдать правила внутреннего трудового распорядка, охраны труда, техники безопасности, производственной санитарии и противопожарной защиты.</w:t>
      </w:r>
    </w:p>
    <w:p>
      <w:pPr>
        <w:pStyle w:val="EnvelopeAddress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3. Права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EnvelopeAddress"/>
        <w:rPr>
          <w:b/>
        </w:rPr>
      </w:pPr>
      <w:r>
        <w:rPr>
          <w:b/>
        </w:rPr>
        <w:tab/>
      </w:r>
      <w:r>
        <w:rPr>
          <w:b/>
          <w:bCs/>
        </w:rPr>
        <w:t xml:space="preserve">Специалист по мерчендайзингу </w:t>
      </w:r>
      <w:r>
        <w:rPr>
          <w:b/>
        </w:rPr>
        <w:t>имеет право:</w:t>
      </w:r>
    </w:p>
    <w:p>
      <w:pPr>
        <w:pStyle w:val="EnvelopeAddress"/>
        <w:rPr/>
      </w:pPr>
      <w:r>
        <w:rPr/>
      </w:r>
    </w:p>
    <w:p>
      <w:pPr>
        <w:pStyle w:val="EnvelopeAddress"/>
        <w:jc w:val="both"/>
        <w:rPr/>
      </w:pPr>
      <w:r>
        <w:rPr/>
        <w:t xml:space="preserve">            </w:t>
      </w:r>
      <w:r>
        <w:rPr/>
        <w:t>3.1. Запрашивать и получать необходимую информацию, а так же материалы и документы, относящиеся к вопросам деятельности специалиста по мерчендайзингу;</w:t>
      </w:r>
    </w:p>
    <w:p>
      <w:pPr>
        <w:pStyle w:val="EnvelopeAddress"/>
        <w:jc w:val="both"/>
        <w:rPr/>
      </w:pPr>
      <w:r>
        <w:rPr/>
        <w:t xml:space="preserve">            </w:t>
      </w:r>
      <w:r>
        <w:rPr/>
        <w:t>3.2. Повышать квалификацию, проходить переподготовку (переквалификацию);</w:t>
      </w:r>
    </w:p>
    <w:p>
      <w:pPr>
        <w:pStyle w:val="EnvelopeAddress"/>
        <w:jc w:val="both"/>
        <w:rPr/>
      </w:pPr>
      <w:r>
        <w:rPr/>
        <w:t xml:space="preserve">            </w:t>
      </w:r>
      <w:r>
        <w:rPr/>
        <w:t>3.3. Вступать во взаимоотношения с подразделениями сторонних учреждений и организаций для решения вопросов, входящих в компетенцию специалиста по мерчендайзингу;</w:t>
      </w:r>
    </w:p>
    <w:p>
      <w:pPr>
        <w:pStyle w:val="EnvelopeAddress"/>
        <w:jc w:val="both"/>
        <w:rPr/>
      </w:pPr>
      <w:r>
        <w:rPr/>
        <w:t xml:space="preserve">            </w:t>
      </w:r>
      <w:r>
        <w:rPr/>
        <w:t>3.4. Принимать участие в обсуждении вопросов, входящих в его функциональные обязанности;</w:t>
      </w:r>
    </w:p>
    <w:p>
      <w:pPr>
        <w:pStyle w:val="EnvelopeAddress"/>
        <w:jc w:val="both"/>
        <w:rPr/>
      </w:pPr>
      <w:r>
        <w:rPr/>
        <w:t xml:space="preserve">            </w:t>
      </w:r>
      <w:r>
        <w:rPr/>
        <w:t xml:space="preserve">3.5. Вносить предложения и замечания по вопросам улучшения деятельности на порученном участке работы;      </w:t>
      </w:r>
    </w:p>
    <w:p>
      <w:pPr>
        <w:pStyle w:val="EnvelopeAddress"/>
        <w:jc w:val="both"/>
        <w:rPr/>
      </w:pPr>
      <w:r>
        <w:rPr/>
        <w:t xml:space="preserve">             </w:t>
      </w:r>
      <w:r>
        <w:rPr/>
        <w:t>3.7. Пользоваться информационными материалами и нормативно-правовыми документами, необходимыми для исполнения своих должностных обязанностей;</w:t>
      </w:r>
    </w:p>
    <w:p>
      <w:pPr>
        <w:pStyle w:val="EnvelopeAddress"/>
        <w:rPr/>
      </w:pPr>
      <w:r>
        <w:rPr/>
      </w:r>
    </w:p>
    <w:p>
      <w:pPr>
        <w:pStyle w:val="Normal"/>
        <w:tabs>
          <w:tab w:val="clear" w:pos="708"/>
          <w:tab w:val="left" w:pos="720" w:leader="none"/>
        </w:tabs>
        <w:jc w:val="center"/>
        <w:rPr/>
      </w:pPr>
      <w:r>
        <w:rPr>
          <w:b/>
        </w:rPr>
        <w:t>4. Ответственность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EnvelopeAddress"/>
        <w:rPr>
          <w:b/>
        </w:rPr>
      </w:pPr>
      <w:r>
        <w:rPr>
          <w:b/>
        </w:rPr>
        <w:t xml:space="preserve">            </w:t>
      </w:r>
      <w:r>
        <w:rPr>
          <w:b/>
          <w:bCs/>
        </w:rPr>
        <w:t>Специалист по мерчендайзингу</w:t>
      </w:r>
      <w:r>
        <w:rPr>
          <w:b/>
        </w:rPr>
        <w:t xml:space="preserve"> несет ответственность за:</w:t>
      </w:r>
    </w:p>
    <w:p>
      <w:pPr>
        <w:pStyle w:val="EnvelopeAddress"/>
        <w:rPr/>
      </w:pPr>
      <w:r>
        <w:rPr/>
      </w:r>
    </w:p>
    <w:p>
      <w:pPr>
        <w:pStyle w:val="EnvelopeAddress"/>
        <w:rPr/>
      </w:pPr>
      <w:r>
        <w:rPr>
          <w:b/>
        </w:rPr>
        <w:t xml:space="preserve">            </w:t>
      </w:r>
      <w:r>
        <w:rPr/>
        <w:t xml:space="preserve">4.1. Неисполнение (ненадлежащее исполнение) своих функциональных обязанностей. </w:t>
      </w:r>
    </w:p>
    <w:p>
      <w:pPr>
        <w:pStyle w:val="EnvelopeAddress"/>
        <w:rPr/>
      </w:pPr>
      <w:r>
        <w:rPr/>
        <w:t xml:space="preserve">            </w:t>
      </w:r>
      <w:r>
        <w:rPr/>
        <w:t>4.2. Невыполнение распоряжений и поручений руководителя компании</w:t>
      </w:r>
    </w:p>
    <w:p>
      <w:pPr>
        <w:pStyle w:val="EnvelopeAddress"/>
        <w:rPr/>
      </w:pPr>
      <w:r>
        <w:rPr/>
        <w:t xml:space="preserve">            </w:t>
      </w:r>
      <w:r>
        <w:rPr/>
        <w:t>4.3. Недостоверную информацию о состоянии выполнения порученных заданий и поручений, нарушении сроков их исполнения.</w:t>
      </w:r>
    </w:p>
    <w:p>
      <w:pPr>
        <w:pStyle w:val="EnvelopeAddress"/>
        <w:rPr/>
      </w:pPr>
      <w:r>
        <w:rPr>
          <w:color w:val="000000"/>
        </w:rPr>
        <w:t xml:space="preserve">      </w:t>
      </w:r>
    </w:p>
    <w:p>
      <w:pPr>
        <w:pStyle w:val="EnvelopeAddress"/>
        <w:rPr/>
      </w:pPr>
      <w:r>
        <w:rPr/>
        <w:t xml:space="preserve">            </w:t>
      </w:r>
      <w:r>
        <w:rPr/>
        <w:t xml:space="preserve">4.4. </w:t>
      </w:r>
      <w:r>
        <w:rPr>
          <w:color w:val="000000"/>
        </w:rPr>
        <w:t>Причинение материального ущерба в пределах, установленных действующим законодательством Республики Узбекистан</w:t>
      </w:r>
      <w:r>
        <w:rPr/>
        <w:t>.</w:t>
      </w:r>
    </w:p>
    <w:p>
      <w:pPr>
        <w:pStyle w:val="EnvelopeAddress"/>
        <w:rPr/>
      </w:pPr>
      <w:r>
        <w:rPr/>
        <w:t xml:space="preserve">            </w:t>
      </w:r>
      <w:r>
        <w:rPr/>
        <w:t xml:space="preserve">4.5. Разглашение сведений, ставших известными в связи с исполнением должностных обязанностей.    </w:t>
      </w:r>
    </w:p>
    <w:p>
      <w:pPr>
        <w:pStyle w:val="EnvelopeAddress"/>
        <w:rPr/>
      </w:pPr>
      <w:r>
        <w:rPr/>
        <w:t xml:space="preserve">       </w:t>
      </w:r>
    </w:p>
    <w:p>
      <w:pPr>
        <w:pStyle w:val="EnvelopeAddress"/>
        <w:rPr/>
      </w:pPr>
      <w:r>
        <w:rPr/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619"/>
        <w:gridCol w:w="655"/>
        <w:gridCol w:w="3555"/>
        <w:gridCol w:w="466"/>
        <w:gridCol w:w="2060"/>
      </w:tblGrid>
      <w:tr>
        <w:trPr/>
        <w:tc>
          <w:tcPr>
            <w:tcW w:w="6829" w:type="dxa"/>
            <w:gridSpan w:val="3"/>
            <w:tcBorders/>
          </w:tcPr>
          <w:p>
            <w:pPr>
              <w:pStyle w:val="Normal"/>
              <w:jc w:val="both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С инструкцией ознакомлен:</w:t>
            </w:r>
          </w:p>
        </w:tc>
        <w:tc>
          <w:tcPr>
            <w:tcW w:w="466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jc w:val="both"/>
              <w:rPr>
                <w:b/>
                <w:bCs/>
                <w:lang w:eastAsia="ru-RU"/>
              </w:rPr>
            </w:pPr>
            <w:r>
              <w:rPr/>
            </w:r>
          </w:p>
        </w:tc>
        <w:tc>
          <w:tcPr>
            <w:tcW w:w="655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  <w:tc>
          <w:tcPr>
            <w:tcW w:w="466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</w:tr>
      <w:tr>
        <w:trPr/>
        <w:tc>
          <w:tcPr>
            <w:tcW w:w="2619" w:type="dxa"/>
            <w:tcBorders>
              <w:bottom w:val="single" w:sz="6" w:space="0" w:color="000000"/>
            </w:tcBorders>
          </w:tcPr>
          <w:p>
            <w:pPr>
              <w:pStyle w:val="Normal"/>
              <w:rPr>
                <w:b/>
                <w:bCs/>
                <w:lang w:eastAsia="ru-RU"/>
              </w:rPr>
            </w:pPr>
            <w:r>
              <w:rPr/>
            </w:r>
          </w:p>
        </w:tc>
        <w:tc>
          <w:tcPr>
            <w:tcW w:w="655" w:type="dxa"/>
            <w:tcBorders/>
          </w:tcPr>
          <w:p>
            <w:pPr>
              <w:pStyle w:val="Normal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  <w:tc>
          <w:tcPr>
            <w:tcW w:w="3555" w:type="dxa"/>
            <w:tcBorders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  <w:t>${fio}</w:t>
            </w:r>
          </w:p>
        </w:tc>
        <w:tc>
          <w:tcPr>
            <w:tcW w:w="466" w:type="dxa"/>
            <w:tcBorders/>
          </w:tcPr>
          <w:p>
            <w:pPr>
              <w:pStyle w:val="Normal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  <w:tc>
          <w:tcPr>
            <w:tcW w:w="2060" w:type="dxa"/>
            <w:tcBorders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  <w:t>${app_date}</w:t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655" w:type="dxa"/>
            <w:tcBorders/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(Ф.И.О.)</w:t>
            </w:r>
          </w:p>
        </w:tc>
        <w:tc>
          <w:tcPr>
            <w:tcW w:w="466" w:type="dxa"/>
            <w:tcBorders/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(дата)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850" w:gutter="0" w:header="709" w:top="1134" w:footer="72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Virtec Times New Roman Uz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mc:AlternateContent>
        <mc:Choice Requires="wps">
          <w:drawing>
            <wp:anchor behindDoc="1" distT="635" distB="6350" distL="4445" distR="635" simplePos="0" locked="0" layoutInCell="0" allowOverlap="1" relativeHeight="6" wp14:anchorId="0947D74B">
              <wp:simplePos x="0" y="0"/>
              <wp:positionH relativeFrom="page">
                <wp:posOffset>7005320</wp:posOffset>
              </wp:positionH>
              <wp:positionV relativeFrom="paragraph">
                <wp:posOffset>635</wp:posOffset>
              </wp:positionV>
              <wp:extent cx="22860" cy="182880"/>
              <wp:effectExtent l="0" t="0" r="0" b="0"/>
              <wp:wrapSquare wrapText="largest"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" cy="182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51.6pt;margin-top:0.05pt;width:1.75pt;height:14.35pt;mso-wrap-style:none;v-text-anchor:middle;mso-position-horizontal-relative:page" wp14:anchorId="0947D7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mc:AlternateContent>
        <mc:Choice Requires="wps">
          <w:drawing>
            <wp:anchor behindDoc="1" distT="635" distB="6350" distL="4445" distR="635" simplePos="0" locked="0" layoutInCell="0" allowOverlap="1" relativeHeight="6" wp14:anchorId="0947D74B">
              <wp:simplePos x="0" y="0"/>
              <wp:positionH relativeFrom="page">
                <wp:posOffset>7005320</wp:posOffset>
              </wp:positionH>
              <wp:positionV relativeFrom="paragraph">
                <wp:posOffset>635</wp:posOffset>
              </wp:positionV>
              <wp:extent cx="22860" cy="182880"/>
              <wp:effectExtent l="0" t="0" r="0" b="0"/>
              <wp:wrapSquare wrapText="largest"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" cy="182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51.6pt;margin-top:0.05pt;width:1.75pt;height:14.35pt;mso-wrap-style:none;v-text-anchor:middle;mso-position-horizontal-relative:page" wp14:anchorId="0947D7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184" w:hanging="48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8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32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896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60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664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368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432" w:hanging="18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uiPriority="0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ar-SA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-Standardschriftart" w:customStyle="1">
    <w:name w:val="Absatz-Standardschriftart"/>
    <w:qFormat/>
    <w:rPr/>
  </w:style>
  <w:style w:type="character" w:styleId="1" w:customStyle="1">
    <w:name w:val="Основной шрифт абзаца1"/>
    <w:qFormat/>
    <w:rPr/>
  </w:style>
  <w:style w:type="character" w:styleId="PageNumber">
    <w:name w:val="page number"/>
    <w:basedOn w:val="1"/>
    <w:qFormat/>
    <w:rPr/>
  </w:style>
  <w:style w:type="character" w:styleId="Style13" w:customStyle="1">
    <w:name w:val="Символ нумерации"/>
    <w:qFormat/>
    <w:rPr/>
  </w:style>
  <w:style w:type="character" w:styleId="Style14" w:customStyle="1">
    <w:name w:val="Нижний колонтитул Знак"/>
    <w:uiPriority w:val="99"/>
    <w:qFormat/>
    <w:rsid w:val="005c4989"/>
    <w:rPr>
      <w:sz w:val="24"/>
      <w:szCs w:val="24"/>
      <w:lang w:eastAsia="ar-SA"/>
    </w:rPr>
  </w:style>
  <w:style w:type="character" w:styleId="Hyperlink" w:customStyle="1">
    <w:name w:val="Hyperlink"/>
    <w:basedOn w:val="DefaultParagraphFont"/>
    <w:uiPriority w:val="99"/>
    <w:semiHidden/>
    <w:unhideWhenUsed/>
    <w:rsid w:val="0066668a"/>
    <w:rPr>
      <w:color w:themeColor="hyperlink" w:val="0000FF"/>
      <w:u w:val="single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StrongEmphasis" w:customStyle="1">
    <w:name w:val="Strong Emphasis"/>
    <w:qFormat/>
    <w:rPr>
      <w:b/>
      <w:bCs/>
    </w:rPr>
  </w:style>
  <w:style w:type="character" w:styleId="Quotation" w:customStyle="1">
    <w:name w:val="Quotation"/>
    <w:qFormat/>
    <w:rPr>
      <w:i/>
      <w:iCs/>
    </w:rPr>
  </w:style>
  <w:style w:type="character" w:styleId="VisitedInternetLink" w:customStyle="1">
    <w:name w:val="Visited Internet Link"/>
    <w:qFormat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ascii="Arial" w:hAnsi="Arial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11" w:customStyle="1">
    <w:name w:val="Заголовок1"/>
    <w:basedOn w:val="Normal"/>
    <w:qFormat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12" w:customStyle="1">
    <w:name w:val="Название1"/>
    <w:basedOn w:val="Normal"/>
    <w:qFormat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styleId="13" w:customStyle="1">
    <w:name w:val="Указатель1"/>
    <w:basedOn w:val="Normal"/>
    <w:qFormat/>
    <w:pPr>
      <w:suppressLineNumbers/>
    </w:pPr>
    <w:rPr>
      <w:rFonts w:ascii="Arial" w:hAnsi="Arial" w:cs="Tahoma"/>
    </w:rPr>
  </w:style>
  <w:style w:type="paragraph" w:styleId="ConsNormal" w:customStyle="1">
    <w:name w:val="ConsNormal"/>
    <w:qFormat/>
    <w:pPr>
      <w:widowControl w:val="false"/>
      <w:suppressAutoHyphens w:val="true"/>
      <w:bidi w:val="0"/>
      <w:spacing w:before="0" w:after="0"/>
      <w:ind w:firstLine="720" w:right="19772"/>
      <w:jc w:val="left"/>
    </w:pPr>
    <w:rPr>
      <w:rFonts w:ascii="Arial" w:hAnsi="Arial" w:eastAsia="Arial" w:cs="Arial"/>
      <w:color w:val="00000A"/>
      <w:kern w:val="0"/>
      <w:sz w:val="24"/>
      <w:szCs w:val="20"/>
      <w:lang w:val="ru-RU" w:eastAsia="ar-SA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5" w:customStyle="1">
    <w:name w:val="Содержимое врезки"/>
    <w:basedOn w:val="BodyText"/>
    <w:qFormat/>
    <w:pPr/>
    <w:rPr/>
  </w:style>
  <w:style w:type="paragraph" w:styleId="Footer">
    <w:name w:val="footer"/>
    <w:basedOn w:val="Normal"/>
    <w:uiPriority w:val="99"/>
    <w:pPr>
      <w:suppressLineNumbers/>
      <w:tabs>
        <w:tab w:val="clear" w:pos="708"/>
        <w:tab w:val="center" w:pos="4818" w:leader="none"/>
        <w:tab w:val="right" w:pos="9637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Salutation">
    <w:name w:val="Salutation"/>
    <w:basedOn w:val="Normal"/>
    <w:pPr/>
    <w:rPr/>
  </w:style>
  <w:style w:type="paragraph" w:styleId="EnvelopeAddress">
    <w:name w:val="envelope address"/>
    <w:basedOn w:val="Normal"/>
    <w:pPr/>
    <w:rPr/>
  </w:style>
  <w:style w:type="paragraph" w:styleId="PreformattedText" w:customStyle="1">
    <w:name w:val="Preformatted Text"/>
    <w:basedOn w:val="Normal"/>
    <w:qFormat/>
    <w:pPr/>
    <w:rPr/>
  </w:style>
  <w:style w:type="paragraph" w:styleId="ListParagraph">
    <w:name w:val="List Paragraph"/>
    <w:basedOn w:val="Normal"/>
    <w:uiPriority w:val="34"/>
    <w:qFormat/>
    <w:rsid w:val="00044649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46537b"/>
    <w:pPr>
      <w:suppressAutoHyphens w:val="false"/>
      <w:spacing w:beforeAutospacing="1" w:afterAutospacing="1"/>
    </w:pPr>
    <w:rPr>
      <w:color w:val="auto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B351B-E373-4DDE-9039-7F6C08541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LibreOffice/24.8.3.2$Linux_X86_64 LibreOffice_project/e14c9fdd1f585efcbb2c5363087a99d20928d522</Application>
  <AppVersion>15.0000</AppVersion>
  <Pages>3</Pages>
  <Words>722</Words>
  <Characters>5411</Characters>
  <CharactersWithSpaces>6305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2023-05-24T12:31:00Z</dcterms:created>
  <dc:creator>Радуга</dc:creator>
  <dc:description>Образец должноснтной инструкции бухгалтера подразделения бухгалтерский учет и финансово-экономическая деятельность организации социального обслуживания населения</dc:description>
  <cp:keywords>должностная инструкция бухгалтера</cp:keywords>
  <dc:language>en-US</dc:language>
  <cp:lastModifiedBy/>
  <cp:lastPrinted>2021-12-16T13:31:00Z</cp:lastPrinted>
  <dcterms:modified xsi:type="dcterms:W3CDTF">2025-01-22T13:49:49Z</dcterms:modified>
  <cp:revision>5</cp:revision>
  <dc:subject>Должностные инструкции</dc:subject>
  <dc:title>Должностная инструкция бухгалтера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category">
    <vt:lpwstr>Делопроизводство</vt:lpwstr>
  </property>
</Properties>
</file>