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Утверждаю</w:t>
      </w:r>
    </w:p>
    <w:p>
      <w:pPr>
        <w:pStyle w:val="Normal"/>
        <w:numPr>
          <w:ilvl w:val="0"/>
          <w:numId w:val="0"/>
        </w:numPr>
        <w:shd w:val="clear" w:color="auto" w:fill="FFFFFF"/>
        <w:jc w:val="end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  <w:t>___________________Рахимбердиев Ж.Х.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iCs/>
          <w:color w:val="000000"/>
          <w:kern w:val="2"/>
          <w:lang w:val="ru-RU" w:eastAsia="ru-RU"/>
        </w:rPr>
      </w:pPr>
      <w:r>
        <w:rPr>
          <w:b/>
          <w:bCs/>
          <w:iCs/>
          <w:color w:val="000000"/>
          <w:kern w:val="2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>Должностная инструкция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  <w:t>Торгового агента</w:t>
      </w:r>
    </w:p>
    <w:p>
      <w:pPr>
        <w:pStyle w:val="Normal"/>
        <w:numPr>
          <w:ilvl w:val="0"/>
          <w:numId w:val="0"/>
        </w:numPr>
        <w:shd w:val="clear" w:color="auto" w:fill="FFFFFF"/>
        <w:jc w:val="center"/>
        <w:outlineLvl w:val="0"/>
        <w:rPr>
          <w:b/>
          <w:bCs/>
          <w:color w:val="000000"/>
          <w:kern w:val="2"/>
          <w:sz w:val="29"/>
          <w:szCs w:val="29"/>
          <w:lang w:val="ru-RU" w:eastAsia="ru-RU"/>
        </w:rPr>
      </w:pPr>
      <w:r>
        <w:rPr>
          <w:b/>
          <w:bCs/>
          <w:color w:val="000000"/>
          <w:kern w:val="2"/>
          <w:sz w:val="29"/>
          <w:szCs w:val="29"/>
          <w:lang w:val="ru-RU"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567" w:leader="none"/>
        </w:tabs>
        <w:jc w:val="center"/>
        <w:rPr>
          <w:b/>
          <w:lang w:val="ru-RU"/>
        </w:rPr>
      </w:pPr>
      <w:r>
        <w:rPr>
          <w:b/>
          <w:lang w:val="ru-RU"/>
        </w:rPr>
        <w:t>Общие положения</w:t>
      </w:r>
    </w:p>
    <w:p>
      <w:pPr>
        <w:pStyle w:val="ListParagraph"/>
        <w:ind w:start="1080"/>
        <w:rPr>
          <w:b/>
          <w:lang w:val="ru-RU"/>
        </w:rPr>
      </w:pPr>
      <w:r>
        <w:rPr>
          <w:b/>
          <w:lang w:val="ru-RU"/>
        </w:rPr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1. Торговый агент относится к категории технического персонала.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2. На должность торгового агента назначается лицо, имеющее средне специальное профессиональное образование и стаж работы по специальности в области продаж.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3. Назначение на должность торгового агента и освобождение от нее производится приказом генерального директора Компании.                     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 Торговый агент должен знать: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4.1. Нормативно-правовые акты, регламентирующие деятельность предприятия по организации сбыта и поставки продукции.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4.2. Законодательство о труде Республики Узбекистан.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4.3.Ассортимент,классификацию,характеристику и назначение реализуемой продукции. 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 xml:space="preserve">  </w:t>
      </w:r>
      <w:r>
        <w:rPr/>
        <w:t>4.4. Программу «1С», формы заполнения банковских и кассовых документов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4.5. Правила и нормы охраны труда, техники безопасности и противопожарной защиты, нормы производственной санитарии и гигиены. - Постановления, распоряжения, приказы и другие руководящие и нормативные документы, касающиеся работы предприятия торговли и ведения кассовой операции.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4.6. Структуру и технику осуществления продаж;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4.7. Правила внутреннего трудового распорядка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5. Торговый агент в своей деятельности руководствуется: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5.1. Действующим законодательством Республики Узбекистан.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5.2. Настоящей должностной инструкцией.</w:t>
        <w:tab/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6. Торговый агент подчиняется непосредственно менеджеру отдела по продвижению товара и региональному менеджеру.</w:t>
      </w:r>
    </w:p>
    <w:p>
      <w:pPr>
        <w:pStyle w:val="NormalWeb"/>
        <w:spacing w:beforeAutospacing="0" w:before="0" w:afterAutospacing="0" w:after="0"/>
        <w:ind w:firstLine="480"/>
        <w:jc w:val="both"/>
        <w:rPr/>
      </w:pPr>
      <w:r>
        <w:rPr/>
        <w:t>7. Торговый агент имеет разъездной характер работы.</w:t>
      </w:r>
    </w:p>
    <w:p>
      <w:pPr>
        <w:pStyle w:val="NormalWeb"/>
        <w:spacing w:beforeAutospacing="0" w:before="60" w:afterAutospacing="0" w:after="60"/>
        <w:jc w:val="both"/>
        <w:rPr/>
      </w:pPr>
      <w:r>
        <w:rPr/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  <w:t xml:space="preserve">                                           </w:t>
      </w:r>
      <w:r>
        <w:rPr>
          <w:b/>
        </w:rPr>
        <w:t>II</w:t>
      </w:r>
      <w:r>
        <w:rPr>
          <w:b/>
          <w:lang w:val="ru-RU"/>
        </w:rPr>
        <w:t>. Обязанности Торгового агента</w:t>
      </w:r>
    </w:p>
    <w:p>
      <w:pPr>
        <w:pStyle w:val="NormalWeb"/>
        <w:spacing w:beforeAutospacing="0" w:before="60" w:afterAutospacing="0" w:after="60"/>
        <w:ind w:firstLine="480"/>
        <w:jc w:val="both"/>
        <w:rPr>
          <w:color w:themeColor="text1" w:val="000000"/>
        </w:rPr>
      </w:pPr>
      <w:r>
        <w:rPr>
          <w:color w:themeColor="text1" w:val="000000"/>
        </w:rPr>
        <w:t>2.1. Поиск клиентов, охват и привлечение максимального числа покупателей, создание клиентской базы и ежедневная поддержка.</w:t>
      </w:r>
    </w:p>
    <w:p>
      <w:pPr>
        <w:pStyle w:val="NormalWeb"/>
        <w:spacing w:beforeAutospacing="0" w:before="60" w:afterAutospacing="0" w:after="60"/>
        <w:ind w:firstLine="480"/>
        <w:jc w:val="both"/>
        <w:rPr>
          <w:color w:themeColor="text1" w:val="000000"/>
        </w:rPr>
      </w:pPr>
      <w:r>
        <w:rPr>
          <w:color w:themeColor="text1" w:val="000000"/>
        </w:rPr>
        <w:t>2.2. Изучение спроса покупателей</w:t>
      </w:r>
    </w:p>
    <w:p>
      <w:pPr>
        <w:pStyle w:val="NormalWeb"/>
        <w:spacing w:beforeAutospacing="0" w:before="60" w:afterAutospacing="0" w:after="60"/>
        <w:ind w:firstLine="480"/>
        <w:jc w:val="both"/>
        <w:rPr>
          <w:color w:themeColor="text1" w:val="000000"/>
        </w:rPr>
      </w:pPr>
      <w:r>
        <w:rPr>
          <w:color w:themeColor="text1" w:val="000000"/>
        </w:rPr>
        <w:t>2.3. Проведение презентаций и активное продвижение товаров</w:t>
      </w:r>
    </w:p>
    <w:p>
      <w:pPr>
        <w:pStyle w:val="NormalWeb"/>
        <w:spacing w:beforeAutospacing="0" w:before="60" w:afterAutospacing="0" w:after="60"/>
        <w:ind w:firstLine="480"/>
        <w:jc w:val="both"/>
        <w:rPr>
          <w:color w:themeColor="text1" w:val="000000"/>
        </w:rPr>
      </w:pPr>
      <w:r>
        <w:rPr>
          <w:color w:themeColor="text1" w:val="000000"/>
        </w:rPr>
        <w:t>2.4. Обеспечение реализации товара и выгодное размещение его на торговых точках</w:t>
      </w:r>
    </w:p>
    <w:p>
      <w:pPr>
        <w:pStyle w:val="NormalWeb"/>
        <w:spacing w:beforeAutospacing="0" w:before="60" w:afterAutospacing="0" w:after="60"/>
        <w:ind w:firstLine="480"/>
        <w:jc w:val="both"/>
        <w:rPr>
          <w:color w:themeColor="text1" w:val="000000"/>
        </w:rPr>
      </w:pPr>
      <w:r>
        <w:rPr>
          <w:color w:themeColor="text1" w:val="000000"/>
        </w:rPr>
        <w:t>2.6. В общении с покупателями, использовать только нормативную лексику, используя этику общения с сотрудниками и покупателями.</w:t>
      </w:r>
    </w:p>
    <w:p>
      <w:pPr>
        <w:pStyle w:val="NormalWeb"/>
        <w:spacing w:beforeAutospacing="0" w:before="60" w:afterAutospacing="0" w:after="60"/>
        <w:ind w:firstLine="480"/>
        <w:jc w:val="both"/>
        <w:rPr>
          <w:color w:themeColor="text1" w:val="000000"/>
          <w:shd w:fill="FFFFFF" w:val="clear"/>
        </w:rPr>
      </w:pPr>
      <w:r>
        <w:rPr>
          <w:color w:themeColor="text1" w:val="000000"/>
        </w:rPr>
        <w:t xml:space="preserve">2.7 </w:t>
      </w:r>
      <w:r>
        <w:rPr>
          <w:color w:themeColor="text1" w:val="000000"/>
          <w:shd w:fill="FFFFFF" w:val="clear"/>
        </w:rPr>
        <w:t>Принимать меры по предотвращению и ликвидации конфликтных ситуаций в переговорах с покупателями.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</w:rPr>
        <w:t>III</w:t>
      </w:r>
      <w:r>
        <w:rPr>
          <w:b/>
          <w:lang w:val="ru-RU"/>
        </w:rPr>
        <w:t>. Права</w:t>
      </w:r>
    </w:p>
    <w:p>
      <w:pPr>
        <w:pStyle w:val="NormalWeb"/>
        <w:spacing w:beforeAutospacing="0" w:before="60" w:afterAutospacing="0" w:after="60"/>
        <w:ind w:firstLine="480"/>
        <w:jc w:val="both"/>
        <w:rPr/>
      </w:pPr>
      <w:r>
        <w:rPr/>
        <w:t>Торговый агент имеет право:</w:t>
      </w:r>
    </w:p>
    <w:p>
      <w:pPr>
        <w:pStyle w:val="NormalWeb"/>
        <w:spacing w:beforeAutospacing="0" w:before="60" w:afterAutospacing="0" w:after="60"/>
        <w:rPr/>
      </w:pPr>
      <w:r>
        <w:rPr/>
        <w:t>3.1. Вносить предложения по совершенствованию работы, связанной с предусмотренными данной должностной инструкцией обязанностями.</w:t>
        <w:br/>
        <w:t>3.2. Докладывать вышестоящему руководству о всех выявленных недостатках в пределах своей компетенции.</w:t>
        <w:br/>
        <w:t>3.3. Требовать соблюдения своих прав, обозначенных в трудовом договоре.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lang w:val="ru-RU"/>
        </w:rPr>
      </w:pPr>
      <w:r>
        <w:rPr>
          <w:b/>
        </w:rPr>
        <w:t>IV</w:t>
      </w:r>
      <w:r>
        <w:rPr>
          <w:b/>
          <w:lang w:val="ru-RU"/>
        </w:rPr>
        <w:t>. Ответственность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Торговый агент несет материальную ответственность за сохранность товара </w:t>
      </w:r>
    </w:p>
    <w:p>
      <w:pPr>
        <w:pStyle w:val="Normal"/>
        <w:rPr>
          <w:lang w:val="ru-RU"/>
        </w:rPr>
      </w:pPr>
      <w:r>
        <w:rPr>
          <w:lang w:val="ru-RU"/>
        </w:rPr>
        <w:t>Кроме того, торговый агент несет ответственность за:</w:t>
      </w:r>
    </w:p>
    <w:p>
      <w:pPr>
        <w:pStyle w:val="Normal"/>
        <w:rPr>
          <w:lang w:val="ru-RU"/>
        </w:rPr>
      </w:pPr>
      <w:r>
        <w:rPr>
          <w:lang w:val="ru-RU"/>
        </w:rPr>
        <w:t>4.1. Невыполнение либо не надлежащее исполнение своих функциональных обязанностей.</w:t>
      </w:r>
    </w:p>
    <w:p>
      <w:pPr>
        <w:pStyle w:val="Normal"/>
        <w:rPr>
          <w:lang w:val="ru-RU"/>
        </w:rPr>
      </w:pPr>
      <w:r>
        <w:rPr>
          <w:lang w:val="ru-RU"/>
        </w:rPr>
        <w:t>4.2. Недостоверную информацию о состоянии выполнения полученных заданий, поручений и заявленных планов по продажам, нарушение сроков их исполнения.</w:t>
      </w:r>
    </w:p>
    <w:p>
      <w:pPr>
        <w:pStyle w:val="Normal"/>
        <w:rPr>
          <w:lang w:val="ru-RU"/>
        </w:rPr>
      </w:pPr>
      <w:r>
        <w:rPr>
          <w:lang w:val="ru-RU"/>
        </w:rPr>
        <w:t>4.3. Невыполнение указаний и распоряжений непосредственного руководства и администрации компании.</w:t>
      </w:r>
    </w:p>
    <w:p>
      <w:pPr>
        <w:pStyle w:val="Normal"/>
        <w:rPr>
          <w:lang w:val="ru-RU"/>
        </w:rPr>
      </w:pPr>
      <w:r>
        <w:rPr>
          <w:lang w:val="ru-RU"/>
        </w:rPr>
        <w:t>4.4. Нарушение Правил внутреннего трудового распорядка, правил противопожарной безопасности и техники безопасности, установленных в компании.</w:t>
      </w:r>
    </w:p>
    <w:p>
      <w:pPr>
        <w:pStyle w:val="Normal"/>
        <w:rPr>
          <w:lang w:val="ru-RU"/>
        </w:rPr>
      </w:pPr>
      <w:r>
        <w:rPr>
          <w:lang w:val="ru-RU"/>
        </w:rPr>
        <w:t>4.5. Разглашение коммерческой тайны.</w:t>
      </w:r>
    </w:p>
    <w:p>
      <w:pPr>
        <w:pStyle w:val="Normal"/>
        <w:rPr>
          <w:lang w:val="ru-RU"/>
        </w:rPr>
      </w:pPr>
      <w:r>
        <w:rPr>
          <w:lang w:val="ru-RU"/>
        </w:rPr>
        <w:t>4.6. Утрату, порчу, недостачу товаров и иных материальных ценностей в соответствии с заключенным с торговым представителем договором о полной материальной ответственности.</w:t>
      </w:r>
    </w:p>
    <w:p>
      <w:pPr>
        <w:pStyle w:val="Normal"/>
        <w:rPr>
          <w:lang w:val="ru-RU"/>
        </w:rPr>
      </w:pPr>
      <w:r>
        <w:rPr>
          <w:lang w:val="ru-RU"/>
        </w:rPr>
        <w:t>В случае нарушения настоящей должностной инструкции к торговому агенту применяются дисциплинарные и штрафные взыскания вплоть до увольнения.</w:t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lang w:val="ru-RU"/>
        </w:rPr>
      </w:pPr>
      <w:r>
        <w:rPr>
          <w:b/>
          <w:lang w:val="ru-RU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7"/>
        <w:gridCol w:w="2059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 инструкцией ознакомлен: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both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655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${fio}</w:t>
            </w:r>
          </w:p>
        </w:tc>
        <w:tc>
          <w:tcPr>
            <w:tcW w:w="467" w:type="dxa"/>
            <w:tcBorders/>
          </w:tcPr>
          <w:p>
            <w:pPr>
              <w:pStyle w:val="Normal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(Ф.И.О.)</w:t>
            </w:r>
          </w:p>
        </w:tc>
        <w:tc>
          <w:tcPr>
            <w:tcW w:w="467" w:type="dxa"/>
            <w:tcBorders/>
          </w:tcPr>
          <w:p>
            <w:pPr>
              <w:pStyle w:val="Normal"/>
              <w:jc w:val="center"/>
              <w:rPr>
                <w:rFonts w:ascii="Virtec Times New Roman Uz" w:hAnsi="Virtec Times New Roman Uz" w:cs="Virtec Times New Roman Uz"/>
                <w:b/>
                <w:bCs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</w:rPr>
            </w:r>
          </w:p>
        </w:tc>
        <w:tc>
          <w:tcPr>
            <w:tcW w:w="2059" w:type="dxa"/>
            <w:tcBorders/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(дата)</w:t>
            </w:r>
          </w:p>
        </w:tc>
      </w:tr>
    </w:tbl>
    <w:p>
      <w:pPr>
        <w:pStyle w:val="BodyText"/>
        <w:spacing w:beforeAutospacing="0" w:before="0" w:afterAutospacing="0" w:after="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851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30500342"/>
    </w:sdtPr>
    <w:sdtContent>
      <w:p>
        <w:pPr>
          <w:pStyle w:val="Footer"/>
          <w:jc w:val="end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start"/>
      <w:pPr>
        <w:tabs>
          <w:tab w:val="num" w:pos="0"/>
        </w:tabs>
        <w:ind w:start="1080" w:hanging="72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0be4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qFormat/>
    <w:rsid w:val="00830be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Head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Нижний колонтитул Знак"/>
    <w:basedOn w:val="DefaultParagraphFont"/>
    <w:link w:val="Footer"/>
    <w:uiPriority w:val="99"/>
    <w:qFormat/>
    <w:rsid w:val="000e1b2d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b8613d"/>
    <w:rPr>
      <w:rFonts w:ascii="Segoe UI" w:hAnsi="Segoe UI" w:eastAsia="Times New Roman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b6e65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6e65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rsid w:val="00830be4"/>
    <w:pPr>
      <w:spacing w:beforeAutospacing="1" w:afterAutospacing="1"/>
    </w:pPr>
    <w:rPr>
      <w:lang w:val="ru-RU" w:eastAsia="ru-RU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830be4"/>
    <w:pPr>
      <w:spacing w:beforeAutospacing="1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830be4"/>
    <w:pPr>
      <w:spacing w:before="0" w:after="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6"/>
    <w:uiPriority w:val="99"/>
    <w:unhideWhenUsed/>
    <w:rsid w:val="000e1b2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b8613d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1F6DD-6843-4DA5-9E35-C376D2256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LibreOffice/24.8.4.2$Linux_X86_64 LibreOffice_project/3e97788786b20d724e2ed0ea7a111abce73cab63</Application>
  <AppVersion>15.0000</AppVersion>
  <Pages>2</Pages>
  <Words>401</Words>
  <Characters>3026</Characters>
  <CharactersWithSpaces>3458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2023-10-31T12:01:00Z</dcterms:created>
  <dc:creator>Юрист</dc:creator>
  <dc:description/>
  <dc:language>en-US</dc:language>
  <cp:lastModifiedBy/>
  <cp:lastPrinted>2023-11-02T06:44:00Z</cp:lastPrinted>
  <dcterms:modified xsi:type="dcterms:W3CDTF">2025-02-07T11:19:49Z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