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ind w:hanging="0" w:start="0"/>
        <w:jc w:val="end"/>
        <w:outlineLvl w:val="0"/>
        <w:rPr>
          <w:b/>
          <w:bCs/>
          <w:iCs/>
          <w:color w:val="000000"/>
          <w:kern w:val="2"/>
          <w:lang w:eastAsia="ru-RU"/>
        </w:rPr>
      </w:pPr>
      <w:r>
        <w:rPr>
          <w:b/>
          <w:bCs/>
          <w:iCs/>
          <w:color w:val="000000"/>
          <w:kern w:val="2"/>
          <w:lang w:val="uz-Cyrl-UZ" w:eastAsia="ru-RU"/>
        </w:rPr>
        <w:t>Тасдиқлайман</w:t>
      </w:r>
    </w:p>
    <w:p>
      <w:pPr>
        <w:pStyle w:val="Normal"/>
        <w:numPr>
          <w:ilvl w:val="0"/>
          <w:numId w:val="0"/>
        </w:numPr>
        <w:shd w:val="clear" w:color="auto" w:fill="FFFFFF"/>
        <w:ind w:hanging="0" w:start="0"/>
        <w:jc w:val="end"/>
        <w:outlineLvl w:val="0"/>
        <w:rPr>
          <w:b/>
          <w:bCs/>
          <w:iCs/>
          <w:color w:val="000000"/>
          <w:kern w:val="2"/>
          <w:lang w:val="ru-RU" w:eastAsia="ru-RU"/>
        </w:rPr>
      </w:pPr>
      <w:r>
        <w:rPr>
          <w:b/>
          <w:bCs/>
          <w:iCs/>
          <w:color w:val="000000"/>
          <w:kern w:val="2"/>
          <w:lang w:val="ru-RU" w:eastAsia="ru-RU"/>
        </w:rPr>
        <w:t>__________________________</w:t>
      </w:r>
      <w:r>
        <w:rPr>
          <w:b/>
          <w:bCs/>
          <w:iCs/>
          <w:color w:val="000000"/>
          <w:kern w:val="2"/>
          <w:lang w:val="uz-Cyrl-UZ" w:eastAsia="ru-RU"/>
        </w:rPr>
        <w:t>Рахимбердиев Ж.Х.</w:t>
      </w:r>
    </w:p>
    <w:p>
      <w:pPr>
        <w:pStyle w:val="Normal"/>
        <w:numPr>
          <w:ilvl w:val="0"/>
          <w:numId w:val="0"/>
        </w:numPr>
        <w:shd w:val="clear" w:color="auto" w:fill="FFFFFF"/>
        <w:ind w:hanging="0" w:start="0"/>
        <w:jc w:val="center"/>
        <w:outlineLvl w:val="0"/>
        <w:rPr>
          <w:b/>
          <w:bCs/>
          <w:iCs/>
          <w:color w:val="000000"/>
          <w:kern w:val="2"/>
          <w:lang w:val="ru-RU" w:eastAsia="ru-RU"/>
        </w:rPr>
      </w:pPr>
      <w:r>
        <w:rPr>
          <w:b/>
          <w:bCs/>
          <w:iCs/>
          <w:color w:val="000000"/>
          <w:kern w:val="2"/>
          <w:lang w:val="ru-RU" w:eastAsia="ru-RU"/>
        </w:rPr>
      </w:r>
    </w:p>
    <w:p>
      <w:pPr>
        <w:pStyle w:val="Normal"/>
        <w:numPr>
          <w:ilvl w:val="0"/>
          <w:numId w:val="0"/>
        </w:numPr>
        <w:shd w:val="clear" w:color="auto" w:fill="FFFFFF"/>
        <w:ind w:hanging="0" w:start="0"/>
        <w:jc w:val="center"/>
        <w:outlineLvl w:val="0"/>
        <w:rPr>
          <w:b/>
          <w:bCs/>
          <w:iCs/>
          <w:color w:val="000000"/>
          <w:kern w:val="2"/>
          <w:sz w:val="28"/>
          <w:lang w:val="uz-Cyrl-UZ" w:eastAsia="ru-RU"/>
        </w:rPr>
      </w:pPr>
      <w:r>
        <w:rPr>
          <w:b/>
          <w:bCs/>
          <w:iCs/>
          <w:color w:val="000000"/>
          <w:kern w:val="2"/>
          <w:sz w:val="28"/>
          <w:lang w:val="uz-Cyrl-UZ" w:eastAsia="ru-RU"/>
        </w:rPr>
        <w:t xml:space="preserve">Савдо агентининг </w:t>
      </w:r>
    </w:p>
    <w:p>
      <w:pPr>
        <w:pStyle w:val="Normal"/>
        <w:numPr>
          <w:ilvl w:val="0"/>
          <w:numId w:val="0"/>
        </w:numPr>
        <w:shd w:val="clear" w:color="auto" w:fill="FFFFFF"/>
        <w:ind w:hanging="0" w:start="0"/>
        <w:jc w:val="center"/>
        <w:outlineLvl w:val="0"/>
        <w:rPr>
          <w:b/>
          <w:bCs/>
          <w:iCs/>
          <w:color w:val="000000"/>
          <w:kern w:val="2"/>
          <w:sz w:val="28"/>
          <w:lang w:val="uz-Cyrl-UZ" w:eastAsia="ru-RU"/>
        </w:rPr>
      </w:pPr>
      <w:r>
        <w:rPr>
          <w:b/>
          <w:bCs/>
          <w:iCs/>
          <w:color w:val="000000"/>
          <w:kern w:val="2"/>
          <w:sz w:val="28"/>
          <w:lang w:val="uz-Cyrl-UZ" w:eastAsia="ru-RU"/>
        </w:rPr>
        <w:t>ЛАВОЗИМ ЙЎРИҚНОМАСИ</w:t>
      </w:r>
    </w:p>
    <w:p>
      <w:pPr>
        <w:pStyle w:val="Normal"/>
        <w:numPr>
          <w:ilvl w:val="0"/>
          <w:numId w:val="0"/>
        </w:numPr>
        <w:shd w:val="clear" w:color="auto" w:fill="FFFFFF"/>
        <w:ind w:hanging="0" w:start="0"/>
        <w:jc w:val="center"/>
        <w:outlineLvl w:val="0"/>
        <w:rPr>
          <w:b/>
          <w:bCs/>
          <w:iCs/>
          <w:color w:val="000000"/>
          <w:kern w:val="2"/>
          <w:sz w:val="28"/>
          <w:lang w:val="uz-Cyrl-UZ" w:eastAsia="ru-RU"/>
        </w:rPr>
      </w:pPr>
      <w:r>
        <w:rPr>
          <w:b/>
          <w:bCs/>
          <w:iCs/>
          <w:color w:val="000000"/>
          <w:kern w:val="2"/>
          <w:sz w:val="28"/>
          <w:lang w:val="uz-Cyrl-UZ" w:eastAsia="ru-RU"/>
        </w:rPr>
      </w:r>
    </w:p>
    <w:p>
      <w:pPr>
        <w:pStyle w:val="ListParagraph"/>
        <w:numPr>
          <w:ilvl w:val="0"/>
          <w:numId w:val="1"/>
        </w:numPr>
        <w:shd w:val="clear" w:color="auto" w:fill="FFFFFF"/>
        <w:jc w:val="center"/>
        <w:outlineLvl w:val="0"/>
        <w:rPr>
          <w:b/>
          <w:bCs/>
          <w:color w:val="000000"/>
          <w:kern w:val="2"/>
          <w:szCs w:val="29"/>
          <w:lang w:val="ru-RU" w:eastAsia="ru-RU"/>
        </w:rPr>
      </w:pPr>
      <w:r>
        <w:rPr>
          <w:b/>
          <w:bCs/>
          <w:color w:val="000000"/>
          <w:kern w:val="2"/>
          <w:szCs w:val="29"/>
          <w:lang w:val="ru-RU" w:eastAsia="ru-RU"/>
        </w:rPr>
        <w:t>Умумий қоидалар</w:t>
      </w:r>
    </w:p>
    <w:p>
      <w:pPr>
        <w:pStyle w:val="ListParagraph"/>
        <w:ind w:start="1080"/>
        <w:rPr>
          <w:b/>
          <w:lang w:val="ru-RU"/>
        </w:rPr>
      </w:pPr>
      <w:r>
        <w:rPr>
          <w:b/>
          <w:lang w:val="ru-RU"/>
        </w:rPr>
      </w:r>
    </w:p>
    <w:p>
      <w:pPr>
        <w:pStyle w:val="NormalWeb"/>
        <w:numPr>
          <w:ilvl w:val="0"/>
          <w:numId w:val="2"/>
        </w:numPr>
        <w:spacing w:beforeAutospacing="0" w:before="0" w:afterAutospacing="0" w:after="0"/>
        <w:jc w:val="both"/>
        <w:rPr>
          <w:lang w:val="uz-Cyrl-UZ"/>
        </w:rPr>
      </w:pPr>
      <w:r>
        <w:rPr>
          <w:lang w:val="uz-Cyrl-UZ"/>
        </w:rPr>
        <w:t>Савдо агенти техник ходимлар тоифасига киради.</w:t>
      </w:r>
    </w:p>
    <w:p>
      <w:pPr>
        <w:pStyle w:val="NormalWeb"/>
        <w:numPr>
          <w:ilvl w:val="0"/>
          <w:numId w:val="2"/>
        </w:numPr>
        <w:spacing w:beforeAutospacing="0" w:before="0" w:afterAutospacing="0" w:after="0"/>
        <w:jc w:val="both"/>
        <w:rPr>
          <w:lang w:val="uz-Cyrl-UZ"/>
        </w:rPr>
      </w:pPr>
      <w:r>
        <w:rPr>
          <w:lang w:val="uz-Cyrl-UZ"/>
        </w:rPr>
        <w:t>Савдо агенти лавозимига ўрта махсус касб-ҳунар маълумотига ва сотиш соҳасида иш тажрибасига эга бўлган шахс тайинланади.</w:t>
      </w:r>
    </w:p>
    <w:p>
      <w:pPr>
        <w:pStyle w:val="NormalWeb"/>
        <w:numPr>
          <w:ilvl w:val="0"/>
          <w:numId w:val="2"/>
        </w:numPr>
        <w:spacing w:beforeAutospacing="0" w:before="0" w:afterAutospacing="0" w:after="0"/>
        <w:jc w:val="both"/>
        <w:rPr>
          <w:lang w:val="uz-Cyrl-UZ"/>
        </w:rPr>
      </w:pPr>
      <w:r>
        <w:rPr>
          <w:lang w:val="uz-Cyrl-UZ"/>
        </w:rPr>
        <w:t>Савдо агенти лавозимига тайинлаш ва бўшатиш Компания бош директорининг буйруғи билан амалга оширилади.</w:t>
      </w:r>
    </w:p>
    <w:p>
      <w:pPr>
        <w:pStyle w:val="NormalWeb"/>
        <w:numPr>
          <w:ilvl w:val="0"/>
          <w:numId w:val="2"/>
        </w:numPr>
        <w:spacing w:beforeAutospacing="0" w:before="0" w:afterAutospacing="0" w:after="0"/>
        <w:jc w:val="both"/>
        <w:rPr>
          <w:lang w:val="uz-Cyrl-UZ"/>
        </w:rPr>
      </w:pPr>
      <w:r>
        <w:rPr>
          <w:lang w:val="uz-Cyrl-UZ"/>
        </w:rPr>
        <w:t>Савдо агенти қуйидагиларни билиши керак:</w:t>
      </w:r>
    </w:p>
    <w:p>
      <w:pPr>
        <w:pStyle w:val="NormalWeb"/>
        <w:numPr>
          <w:ilvl w:val="1"/>
          <w:numId w:val="2"/>
        </w:numPr>
        <w:spacing w:beforeAutospacing="0" w:before="0" w:afterAutospacing="0" w:after="0"/>
        <w:jc w:val="both"/>
        <w:rPr>
          <w:lang w:val="uz-Cyrl-UZ"/>
        </w:rPr>
      </w:pPr>
      <w:r>
        <w:rPr>
          <w:lang w:val="uz-Cyrl-UZ"/>
        </w:rPr>
        <w:t>Маҳсулотни сотиш ва етказиш бўйича компаниянинг фаолиятини белгиловчи норматив-ҳуқуқий ҳужжатлар.</w:t>
      </w:r>
    </w:p>
    <w:p>
      <w:pPr>
        <w:pStyle w:val="NormalWeb"/>
        <w:numPr>
          <w:ilvl w:val="1"/>
          <w:numId w:val="2"/>
        </w:numPr>
        <w:spacing w:beforeAutospacing="0" w:before="0" w:afterAutospacing="0" w:after="0"/>
        <w:jc w:val="both"/>
        <w:rPr>
          <w:lang w:val="uz-Cyrl-UZ"/>
        </w:rPr>
      </w:pPr>
      <w:r>
        <w:rPr>
          <w:lang w:val="uz-Cyrl-UZ"/>
        </w:rPr>
        <w:t>Ўзбекистон Республикасининг меҳнат қонунчилиги.</w:t>
      </w:r>
    </w:p>
    <w:p>
      <w:pPr>
        <w:pStyle w:val="NormalWeb"/>
        <w:numPr>
          <w:ilvl w:val="1"/>
          <w:numId w:val="2"/>
        </w:numPr>
        <w:spacing w:beforeAutospacing="0" w:before="0" w:afterAutospacing="0" w:after="0"/>
        <w:jc w:val="both"/>
        <w:rPr>
          <w:lang w:val="uz-Cyrl-UZ"/>
        </w:rPr>
      </w:pPr>
      <w:r>
        <w:rPr>
          <w:lang w:val="uz-Cyrl-UZ"/>
        </w:rPr>
        <w:t>Сотиладиган маҳсулотнинг ассортименти, таснифи, хусусиятлари ва қўлланилиши.</w:t>
      </w:r>
    </w:p>
    <w:p>
      <w:pPr>
        <w:pStyle w:val="NormalWeb"/>
        <w:numPr>
          <w:ilvl w:val="1"/>
          <w:numId w:val="2"/>
        </w:numPr>
        <w:spacing w:beforeAutospacing="0" w:before="0" w:afterAutospacing="0" w:after="0"/>
        <w:jc w:val="both"/>
        <w:rPr>
          <w:lang w:val="uz-Cyrl-UZ"/>
        </w:rPr>
      </w:pPr>
      <w:r>
        <w:rPr>
          <w:lang w:val="uz-Cyrl-UZ"/>
        </w:rPr>
        <w:t>“</w:t>
      </w:r>
      <w:r>
        <w:rPr>
          <w:lang w:val="uz-Cyrl-UZ"/>
        </w:rPr>
        <w:t>1С” дастури, банк ва касса ҳужжатларини тўлдириш формалари.</w:t>
      </w:r>
    </w:p>
    <w:p>
      <w:pPr>
        <w:pStyle w:val="NormalWeb"/>
        <w:numPr>
          <w:ilvl w:val="1"/>
          <w:numId w:val="2"/>
        </w:numPr>
        <w:spacing w:beforeAutospacing="0" w:before="0" w:afterAutospacing="0" w:after="0"/>
        <w:jc w:val="both"/>
        <w:rPr>
          <w:lang w:val="uz-Cyrl-UZ"/>
        </w:rPr>
      </w:pPr>
      <w:r>
        <w:rPr>
          <w:lang w:val="uz-Cyrl-UZ"/>
        </w:rPr>
        <w:t>Меҳнатни муҳофаза қилиш қоидалари ва нормалари, хавфсизлик ва ёнғиндан ҳимоя қилиш техникалари, саноат санитарияси ва гигиена стандартлари. Корхонанинг иши ва касса операцияларини амалга ошириш билан боғлиқ қарорлар, кўрсатмалар, буйруқлар ва бошқа бошқарув ва меъёрий ҳужжатлар.</w:t>
      </w:r>
    </w:p>
    <w:p>
      <w:pPr>
        <w:pStyle w:val="NormalWeb"/>
        <w:numPr>
          <w:ilvl w:val="1"/>
          <w:numId w:val="2"/>
        </w:numPr>
        <w:spacing w:beforeAutospacing="0" w:before="0" w:afterAutospacing="0" w:after="0"/>
        <w:jc w:val="both"/>
        <w:rPr>
          <w:lang w:val="uz-Cyrl-UZ"/>
        </w:rPr>
      </w:pPr>
      <w:r>
        <w:rPr>
          <w:lang w:val="uz-Cyrl-UZ"/>
        </w:rPr>
        <w:t>Сотув структураси ва техникаси.</w:t>
      </w:r>
    </w:p>
    <w:p>
      <w:pPr>
        <w:pStyle w:val="NormalWeb"/>
        <w:numPr>
          <w:ilvl w:val="1"/>
          <w:numId w:val="2"/>
        </w:numPr>
        <w:spacing w:beforeAutospacing="0" w:before="0" w:afterAutospacing="0" w:after="0"/>
        <w:jc w:val="both"/>
        <w:rPr>
          <w:lang w:val="uz-Cyrl-UZ"/>
        </w:rPr>
      </w:pPr>
      <w:r>
        <w:rPr>
          <w:lang w:val="uz-Cyrl-UZ"/>
        </w:rPr>
        <w:t>Ички меҳнат қоидалари.</w:t>
      </w:r>
    </w:p>
    <w:p>
      <w:pPr>
        <w:pStyle w:val="NormalWeb"/>
        <w:numPr>
          <w:ilvl w:val="0"/>
          <w:numId w:val="2"/>
        </w:numPr>
        <w:spacing w:beforeAutospacing="0" w:before="0" w:afterAutospacing="0" w:after="0"/>
        <w:jc w:val="both"/>
        <w:rPr>
          <w:lang w:val="uz-Cyrl-UZ"/>
        </w:rPr>
      </w:pPr>
      <w:r>
        <w:rPr>
          <w:lang w:val="uz-Cyrl-UZ"/>
        </w:rPr>
        <w:t>Савдо агенти ўз фаолиятида қуйидагиларга таянади:</w:t>
      </w:r>
    </w:p>
    <w:p>
      <w:pPr>
        <w:pStyle w:val="NormalWeb"/>
        <w:numPr>
          <w:ilvl w:val="1"/>
          <w:numId w:val="2"/>
        </w:numPr>
        <w:spacing w:beforeAutospacing="0" w:before="0" w:afterAutospacing="0" w:after="0"/>
        <w:jc w:val="both"/>
        <w:rPr>
          <w:lang w:val="uz-Cyrl-UZ"/>
        </w:rPr>
      </w:pPr>
      <w:r>
        <w:rPr>
          <w:lang w:val="uz-Cyrl-UZ"/>
        </w:rPr>
        <w:t>Ўзбекистон Республикасининг амалдаги қонунчилигига.</w:t>
      </w:r>
    </w:p>
    <w:p>
      <w:pPr>
        <w:pStyle w:val="NormalWeb"/>
        <w:numPr>
          <w:ilvl w:val="1"/>
          <w:numId w:val="2"/>
        </w:numPr>
        <w:spacing w:beforeAutospacing="0" w:before="0" w:afterAutospacing="0" w:after="0"/>
        <w:jc w:val="both"/>
        <w:rPr>
          <w:lang w:val="uz-Cyrl-UZ"/>
        </w:rPr>
      </w:pPr>
      <w:r>
        <w:rPr>
          <w:lang w:val="uz-Cyrl-UZ"/>
        </w:rPr>
        <w:t>Ушбу лавозим йўриқномасига.</w:t>
      </w:r>
    </w:p>
    <w:p>
      <w:pPr>
        <w:pStyle w:val="NormalWeb"/>
        <w:numPr>
          <w:ilvl w:val="0"/>
          <w:numId w:val="2"/>
        </w:numPr>
        <w:spacing w:beforeAutospacing="0" w:before="0" w:afterAutospacing="0" w:after="0"/>
        <w:jc w:val="both"/>
        <w:rPr>
          <w:lang w:val="uz-Cyrl-UZ"/>
        </w:rPr>
      </w:pPr>
      <w:r>
        <w:rPr>
          <w:lang w:val="uz-Cyrl-UZ"/>
        </w:rPr>
        <w:t xml:space="preserve">Савдо агенти маҳсулотни реклама қилиш бўйича менеджер ва ҳудудий менеджерга  тўғридан-тўғри бўйсунади. </w:t>
      </w:r>
    </w:p>
    <w:p>
      <w:pPr>
        <w:pStyle w:val="NormalWeb"/>
        <w:numPr>
          <w:ilvl w:val="0"/>
          <w:numId w:val="2"/>
        </w:numPr>
        <w:spacing w:beforeAutospacing="0" w:before="0" w:afterAutospacing="0" w:after="0"/>
        <w:jc w:val="both"/>
        <w:rPr>
          <w:lang w:val="uz-Cyrl-UZ"/>
        </w:rPr>
      </w:pPr>
      <w:r>
        <w:rPr>
          <w:lang w:val="uz-Cyrl-UZ"/>
        </w:rPr>
        <w:t xml:space="preserve">Савдо агентининг иши сайёр характерга эга. </w:t>
      </w:r>
    </w:p>
    <w:p>
      <w:pPr>
        <w:pStyle w:val="NormalWeb"/>
        <w:spacing w:beforeAutospacing="0" w:before="0" w:afterAutospacing="0" w:after="0"/>
        <w:ind w:start="1260"/>
        <w:jc w:val="both"/>
        <w:rPr>
          <w:lang w:val="uz-Cyrl-UZ"/>
        </w:rPr>
      </w:pPr>
      <w:r>
        <w:rPr>
          <w:lang w:val="uz-Cyrl-UZ"/>
        </w:rPr>
      </w:r>
    </w:p>
    <w:p>
      <w:pPr>
        <w:pStyle w:val="NormalWeb"/>
        <w:numPr>
          <w:ilvl w:val="0"/>
          <w:numId w:val="1"/>
        </w:numPr>
        <w:spacing w:beforeAutospacing="0" w:before="0" w:afterAutospacing="0" w:after="0"/>
        <w:jc w:val="center"/>
        <w:rPr>
          <w:b/>
          <w:lang w:val="uz-Cyrl-UZ"/>
        </w:rPr>
      </w:pPr>
      <w:r>
        <w:rPr>
          <w:b/>
          <w:lang w:val="uz-Cyrl-UZ"/>
        </w:rPr>
        <w:t>Савдо агентининг мажбуриятлари</w:t>
      </w:r>
    </w:p>
    <w:p>
      <w:pPr>
        <w:pStyle w:val="NormalWeb"/>
        <w:spacing w:beforeAutospacing="0" w:before="0" w:afterAutospacing="0" w:after="0"/>
        <w:ind w:start="720"/>
        <w:rPr>
          <w:b/>
          <w:lang w:val="uz-Cyrl-UZ"/>
        </w:rPr>
      </w:pPr>
      <w:r>
        <w:rPr>
          <w:b/>
          <w:lang w:val="uz-Cyrl-UZ"/>
        </w:rPr>
      </w:r>
    </w:p>
    <w:p>
      <w:pPr>
        <w:pStyle w:val="NormalWeb"/>
        <w:numPr>
          <w:ilvl w:val="1"/>
          <w:numId w:val="1"/>
        </w:numPr>
        <w:spacing w:beforeAutospacing="0" w:before="0" w:afterAutospacing="0" w:after="0"/>
        <w:rPr>
          <w:lang w:val="uz-Cyrl-UZ"/>
        </w:rPr>
      </w:pPr>
      <w:r>
        <w:rPr>
          <w:lang w:val="uz-Cyrl-UZ"/>
        </w:rPr>
        <w:t xml:space="preserve"> </w:t>
      </w:r>
      <w:r>
        <w:rPr>
          <w:lang w:val="uz-Cyrl-UZ"/>
        </w:rPr>
        <w:t>Мижозларни қидириш, максимал миқдорда харидорларни жалб этиш, мижозлар базасини яратиш ва кундалик ёрдам.</w:t>
      </w:r>
    </w:p>
    <w:p>
      <w:pPr>
        <w:pStyle w:val="NormalWeb"/>
        <w:numPr>
          <w:ilvl w:val="1"/>
          <w:numId w:val="1"/>
        </w:numPr>
        <w:spacing w:beforeAutospacing="0" w:before="0" w:afterAutospacing="0" w:after="0"/>
        <w:rPr>
          <w:lang w:val="uz-Cyrl-UZ"/>
        </w:rPr>
      </w:pPr>
      <w:r>
        <w:rPr>
          <w:lang w:val="uz-Cyrl-UZ"/>
        </w:rPr>
        <w:t xml:space="preserve"> </w:t>
      </w:r>
      <w:r>
        <w:rPr>
          <w:lang w:val="uz-Cyrl-UZ"/>
        </w:rPr>
        <w:t>Харидорлар талабини ўрганиш.</w:t>
      </w:r>
    </w:p>
    <w:p>
      <w:pPr>
        <w:pStyle w:val="NormalWeb"/>
        <w:numPr>
          <w:ilvl w:val="1"/>
          <w:numId w:val="1"/>
        </w:numPr>
        <w:spacing w:beforeAutospacing="0" w:before="0" w:afterAutospacing="0" w:after="0"/>
        <w:rPr>
          <w:lang w:val="uz-Cyrl-UZ"/>
        </w:rPr>
      </w:pPr>
      <w:r>
        <w:rPr>
          <w:lang w:val="uz-Cyrl-UZ"/>
        </w:rPr>
        <w:t xml:space="preserve"> </w:t>
      </w:r>
      <w:r>
        <w:rPr>
          <w:lang w:val="uz-Cyrl-UZ"/>
        </w:rPr>
        <w:t>Тақдимотлар ўтказиш ва маҳсулотларни фаол реклама қилиш.</w:t>
      </w:r>
    </w:p>
    <w:p>
      <w:pPr>
        <w:pStyle w:val="NormalWeb"/>
        <w:numPr>
          <w:ilvl w:val="1"/>
          <w:numId w:val="1"/>
        </w:numPr>
        <w:spacing w:beforeAutospacing="0" w:before="0" w:afterAutospacing="0" w:after="0"/>
        <w:rPr>
          <w:lang w:val="uz-Cyrl-UZ"/>
        </w:rPr>
      </w:pPr>
      <w:r>
        <w:rPr>
          <w:lang w:val="uz-Cyrl-UZ"/>
        </w:rPr>
        <w:t xml:space="preserve"> </w:t>
      </w:r>
      <w:r>
        <w:rPr>
          <w:lang w:val="uz-Cyrl-UZ"/>
        </w:rPr>
        <w:t>Товарни сотиш ва уни савдо нуқталарида унумли жойлаштиришни таъминлаш.</w:t>
      </w:r>
    </w:p>
    <w:p>
      <w:pPr>
        <w:pStyle w:val="NormalWeb"/>
        <w:numPr>
          <w:ilvl w:val="1"/>
          <w:numId w:val="1"/>
        </w:numPr>
        <w:spacing w:beforeAutospacing="0" w:before="0" w:afterAutospacing="0" w:after="0"/>
        <w:rPr>
          <w:lang w:val="uz-Cyrl-UZ"/>
        </w:rPr>
      </w:pPr>
      <w:r>
        <w:rPr>
          <w:lang w:val="uz-Cyrl-UZ"/>
        </w:rPr>
        <w:t xml:space="preserve"> </w:t>
      </w:r>
      <w:r>
        <w:rPr>
          <w:lang w:val="uz-Cyrl-UZ"/>
        </w:rPr>
        <w:t>Харидорлар билан мулоқот қилишда фақат норматив луғатни қўллаган ҳолда, ҳамкасблар ва харидорлар билан мулоқот этикасидан фойдаланиш.</w:t>
      </w:r>
    </w:p>
    <w:p>
      <w:pPr>
        <w:pStyle w:val="NormalWeb"/>
        <w:numPr>
          <w:ilvl w:val="1"/>
          <w:numId w:val="1"/>
        </w:numPr>
        <w:spacing w:beforeAutospacing="0" w:before="0" w:afterAutospacing="0" w:after="0"/>
        <w:rPr>
          <w:lang w:val="uz-Cyrl-UZ"/>
        </w:rPr>
      </w:pPr>
      <w:r>
        <w:rPr>
          <w:lang w:val="uz-Cyrl-UZ"/>
        </w:rPr>
        <w:t xml:space="preserve"> </w:t>
      </w:r>
      <w:r>
        <w:rPr>
          <w:lang w:val="uz-Cyrl-UZ"/>
        </w:rPr>
        <w:t>Мижозлар билан музокаралар олиб боришда низоли вазиятларни олдини олиш ва бартараф этиш чораларини кўриш.</w:t>
      </w:r>
    </w:p>
    <w:p>
      <w:pPr>
        <w:pStyle w:val="Normal"/>
        <w:rPr>
          <w:b/>
          <w:lang w:val="uz-Cyrl-UZ"/>
        </w:rPr>
      </w:pPr>
      <w:r>
        <w:rPr>
          <w:b/>
          <w:lang w:val="uz-Cyrl-UZ"/>
        </w:rPr>
      </w:r>
    </w:p>
    <w:p>
      <w:pPr>
        <w:pStyle w:val="Normal"/>
        <w:rPr>
          <w:b/>
          <w:lang w:val="ru-RU"/>
        </w:rPr>
      </w:pPr>
      <w:r>
        <w:rPr>
          <w:b/>
          <w:lang w:val="ru-RU"/>
        </w:rPr>
      </w:r>
    </w:p>
    <w:p>
      <w:pPr>
        <w:pStyle w:val="Normal"/>
        <w:rPr>
          <w:b/>
          <w:lang w:val="ru-RU"/>
        </w:rPr>
      </w:pPr>
      <w:r>
        <w:rPr>
          <w:b/>
          <w:lang w:val="ru-RU"/>
        </w:rPr>
      </w:r>
    </w:p>
    <w:p>
      <w:pPr>
        <w:pStyle w:val="ListParagraph"/>
        <w:numPr>
          <w:ilvl w:val="0"/>
          <w:numId w:val="1"/>
        </w:numPr>
        <w:jc w:val="center"/>
        <w:rPr>
          <w:b/>
          <w:lang w:val="ru-RU"/>
        </w:rPr>
      </w:pPr>
      <w:r>
        <w:rPr>
          <w:b/>
          <w:lang w:val="ru-RU"/>
        </w:rPr>
        <w:t>Ҳуқуқлар</w:t>
      </w:r>
    </w:p>
    <w:p>
      <w:pPr>
        <w:pStyle w:val="Normal"/>
        <w:ind w:start="360"/>
        <w:rPr>
          <w:lang w:val="ru-RU"/>
        </w:rPr>
      </w:pPr>
      <w:r>
        <w:rPr>
          <w:lang w:val="ru-RU"/>
        </w:rPr>
        <w:t>Савдо агенти қуйидаги ҳуқуқларга эга:</w:t>
      </w:r>
    </w:p>
    <w:p>
      <w:pPr>
        <w:pStyle w:val="ListParagraph"/>
        <w:numPr>
          <w:ilvl w:val="1"/>
          <w:numId w:val="1"/>
        </w:numPr>
        <w:ind w:hanging="360" w:start="426"/>
        <w:rPr>
          <w:lang w:val="ru-RU"/>
        </w:rPr>
      </w:pPr>
      <w:r>
        <w:rPr>
          <w:lang w:val="ru-RU"/>
        </w:rPr>
        <w:t xml:space="preserve"> </w:t>
      </w:r>
      <w:r>
        <w:rPr>
          <w:lang w:val="ru-RU"/>
        </w:rPr>
        <w:t>Ушбу лавозим йўриқномасида назарда тутилган мажбуриятлар билан боғлиқ ишларни такомиллаштириш бўйича  таклифлар киритиш.</w:t>
      </w:r>
    </w:p>
    <w:p>
      <w:pPr>
        <w:pStyle w:val="ListParagraph"/>
        <w:numPr>
          <w:ilvl w:val="1"/>
          <w:numId w:val="1"/>
        </w:numPr>
        <w:ind w:hanging="360" w:start="426"/>
        <w:rPr>
          <w:lang w:val="ru-RU"/>
        </w:rPr>
      </w:pPr>
      <w:r>
        <w:rPr>
          <w:lang w:val="ru-RU"/>
        </w:rPr>
        <w:t xml:space="preserve"> </w:t>
      </w:r>
      <w:r>
        <w:rPr>
          <w:lang w:val="ru-RU"/>
        </w:rPr>
        <w:t>Ўз ваколати доирасида барча аниқланган камчиликлар ҳақида раҳбариятга хабар бериш.</w:t>
      </w:r>
    </w:p>
    <w:p>
      <w:pPr>
        <w:pStyle w:val="ListParagraph"/>
        <w:numPr>
          <w:ilvl w:val="1"/>
          <w:numId w:val="1"/>
        </w:numPr>
        <w:ind w:hanging="360" w:start="426"/>
        <w:rPr>
          <w:lang w:val="ru-RU"/>
        </w:rPr>
      </w:pPr>
      <w:r>
        <w:rPr>
          <w:lang w:val="ru-RU"/>
        </w:rPr>
        <w:t xml:space="preserve"> </w:t>
      </w:r>
      <w:r>
        <w:rPr>
          <w:lang w:val="ru-RU"/>
        </w:rPr>
        <w:t>Меҳнат шартномасида кўрсатилган ўз ҳуқуқларини риоя қилинишини талаб этиш.</w:t>
      </w:r>
    </w:p>
    <w:p>
      <w:pPr>
        <w:pStyle w:val="ListParagraph"/>
        <w:ind w:start="426"/>
        <w:rPr>
          <w:lang w:val="ru-RU"/>
        </w:rPr>
      </w:pPr>
      <w:r>
        <w:rPr>
          <w:lang w:val="ru-RU"/>
        </w:rPr>
        <w:t xml:space="preserve"> </w:t>
      </w:r>
    </w:p>
    <w:p>
      <w:pPr>
        <w:pStyle w:val="Normal"/>
        <w:rPr>
          <w:b/>
          <w:lang w:val="ru-RU"/>
        </w:rPr>
      </w:pPr>
      <w:r>
        <w:rPr>
          <w:b/>
          <w:lang w:val="ru-RU"/>
        </w:rPr>
      </w:r>
    </w:p>
    <w:p>
      <w:pPr>
        <w:pStyle w:val="ListParagraph"/>
        <w:numPr>
          <w:ilvl w:val="0"/>
          <w:numId w:val="1"/>
        </w:numPr>
        <w:jc w:val="center"/>
        <w:rPr>
          <w:b/>
          <w:lang w:val="ru-RU"/>
        </w:rPr>
      </w:pPr>
      <w:r>
        <w:rPr>
          <w:b/>
          <w:lang w:val="ru-RU"/>
        </w:rPr>
        <w:t>Маъсулият</w:t>
      </w:r>
    </w:p>
    <w:p>
      <w:pPr>
        <w:pStyle w:val="Normal"/>
        <w:rPr>
          <w:lang w:val="ru-RU"/>
        </w:rPr>
      </w:pPr>
      <w:r>
        <w:rPr>
          <w:lang w:val="ru-RU"/>
        </w:rPr>
        <w:t xml:space="preserve">Савдо агенти маҳсулот хавфсизлиги учун молиявий жавобгардир. </w:t>
      </w:r>
    </w:p>
    <w:p>
      <w:pPr>
        <w:pStyle w:val="Normal"/>
        <w:rPr>
          <w:lang w:val="ru-RU"/>
        </w:rPr>
      </w:pPr>
      <w:r>
        <w:rPr>
          <w:lang w:val="ru-RU"/>
        </w:rPr>
        <w:t>Бундан ташқари, савдо агенти қуйидагилар учун жавобгар:</w:t>
      </w:r>
    </w:p>
    <w:p>
      <w:pPr>
        <w:pStyle w:val="Normal"/>
        <w:rPr>
          <w:lang w:val="ru-RU"/>
        </w:rPr>
      </w:pPr>
      <w:r>
        <w:rPr>
          <w:lang w:val="ru-RU"/>
        </w:rPr>
      </w:r>
    </w:p>
    <w:p>
      <w:pPr>
        <w:pStyle w:val="ListParagraph"/>
        <w:numPr>
          <w:ilvl w:val="1"/>
          <w:numId w:val="1"/>
        </w:numPr>
        <w:ind w:hanging="360" w:start="426"/>
        <w:rPr>
          <w:lang w:val="ru-RU"/>
        </w:rPr>
      </w:pPr>
      <w:r>
        <w:rPr>
          <w:lang w:val="ru-RU"/>
        </w:rPr>
        <w:t xml:space="preserve"> </w:t>
      </w:r>
      <w:r>
        <w:rPr>
          <w:lang w:val="ru-RU"/>
        </w:rPr>
        <w:t>Функционал вазифаларини бажармаслик ёки керакли даражада бажармаслик.</w:t>
      </w:r>
    </w:p>
    <w:p>
      <w:pPr>
        <w:pStyle w:val="ListParagraph"/>
        <w:numPr>
          <w:ilvl w:val="1"/>
          <w:numId w:val="1"/>
        </w:numPr>
        <w:ind w:hanging="360" w:start="426"/>
        <w:rPr>
          <w:lang w:val="ru-RU"/>
        </w:rPr>
      </w:pPr>
      <w:r>
        <w:rPr>
          <w:lang w:val="ru-RU"/>
        </w:rPr>
        <w:t xml:space="preserve"> </w:t>
      </w:r>
      <w:r>
        <w:rPr>
          <w:lang w:val="ru-RU"/>
        </w:rPr>
        <w:t>Қабул қилинган топшириқлар, кўрсатмалар ва белгиланган сотув режаларининг бажарилганлик ҳолати тўғрисида нотўғри маълумот бериш, уларни ўз муддатида бажармаслик.</w:t>
      </w:r>
    </w:p>
    <w:p>
      <w:pPr>
        <w:pStyle w:val="ListParagraph"/>
        <w:numPr>
          <w:ilvl w:val="1"/>
          <w:numId w:val="1"/>
        </w:numPr>
        <w:ind w:hanging="360" w:start="426"/>
        <w:rPr>
          <w:lang w:val="ru-RU"/>
        </w:rPr>
      </w:pPr>
      <w:r>
        <w:rPr>
          <w:lang w:val="ru-RU"/>
        </w:rPr>
        <w:t xml:space="preserve"> </w:t>
      </w:r>
      <w:r>
        <w:rPr>
          <w:lang w:val="ru-RU"/>
        </w:rPr>
        <w:t>Компаниянинг бевосита раҳбарияти ва маъмуриятининг кўрсатмалари ва буйруқларини бажармаслик.</w:t>
      </w:r>
    </w:p>
    <w:p>
      <w:pPr>
        <w:pStyle w:val="ListParagraph"/>
        <w:numPr>
          <w:ilvl w:val="1"/>
          <w:numId w:val="1"/>
        </w:numPr>
        <w:ind w:hanging="360" w:start="426"/>
        <w:rPr>
          <w:lang w:val="ru-RU"/>
        </w:rPr>
      </w:pPr>
      <w:r>
        <w:rPr>
          <w:lang w:val="ru-RU"/>
        </w:rPr>
        <w:t xml:space="preserve"> </w:t>
      </w:r>
      <w:r>
        <w:rPr>
          <w:lang w:val="ru-RU"/>
        </w:rPr>
        <w:t>Компанияда амал қиладиган ички меҳнат қоидалари, ёнғин ва техник хавфсизлик қоидаларини бузиш.</w:t>
      </w:r>
    </w:p>
    <w:p>
      <w:pPr>
        <w:pStyle w:val="ListParagraph"/>
        <w:numPr>
          <w:ilvl w:val="1"/>
          <w:numId w:val="1"/>
        </w:numPr>
        <w:ind w:hanging="360" w:start="426"/>
        <w:rPr>
          <w:lang w:val="ru-RU"/>
        </w:rPr>
      </w:pPr>
      <w:r>
        <w:rPr>
          <w:lang w:val="ru-RU"/>
        </w:rPr>
        <w:t xml:space="preserve"> </w:t>
      </w:r>
      <w:r>
        <w:rPr>
          <w:lang w:val="ru-RU"/>
        </w:rPr>
        <w:t>Тижорат сирларини ошкор этиш.</w:t>
      </w:r>
    </w:p>
    <w:p>
      <w:pPr>
        <w:pStyle w:val="ListParagraph"/>
        <w:numPr>
          <w:ilvl w:val="1"/>
          <w:numId w:val="1"/>
        </w:numPr>
        <w:ind w:hanging="360" w:start="426"/>
        <w:rPr>
          <w:lang w:val="ru-RU"/>
        </w:rPr>
      </w:pPr>
      <w:r>
        <w:rPr>
          <w:lang w:val="ru-RU"/>
        </w:rPr>
        <w:t xml:space="preserve"> </w:t>
      </w:r>
      <w:r>
        <w:rPr>
          <w:lang w:val="ru-RU"/>
        </w:rPr>
        <w:t>Савдо вакили билан тузилган тўлиқ жавобгарлик тўғрисидаги шартномага мувофиқ маҳсулот ва бошқа моддий бойликларнинг йўқолиши, шикастланиши, етишмаслиги. Ушбу лавозим йўриқномаси бузилган тақдирда, савдо агенти ишдан бўшатилишгача бўлган интизомий жавобгарликка ва жаримага тортилади.</w:t>
      </w:r>
    </w:p>
    <w:p>
      <w:pPr>
        <w:pStyle w:val="Normal"/>
        <w:rPr>
          <w:lang w:val="ru-RU"/>
        </w:rPr>
      </w:pPr>
      <w:r>
        <w:rPr>
          <w:lang w:val="ru-RU"/>
        </w:rPr>
      </w:r>
    </w:p>
    <w:p>
      <w:pPr>
        <w:pStyle w:val="Normal"/>
        <w:rPr>
          <w:lang w:val="ru-RU"/>
        </w:rPr>
      </w:pPr>
      <w:r>
        <w:rPr>
          <w:lang w:val="ru-RU"/>
        </w:rPr>
      </w:r>
    </w:p>
    <w:p>
      <w:pPr>
        <w:pStyle w:val="Normal"/>
        <w:rPr>
          <w:b/>
          <w:lang w:val="ru-RU"/>
        </w:rPr>
      </w:pPr>
      <w:r>
        <w:rPr>
          <w:b/>
          <w:lang w:val="ru-RU"/>
        </w:rPr>
        <w:t>Йўрикнома билан танишдим:</w:t>
      </w:r>
    </w:p>
    <w:tbl>
      <w:tblPr>
        <w:tblW w:w="5000" w:type="pct"/>
        <w:jc w:val="center"/>
        <w:tblInd w:w="0" w:type="dxa"/>
        <w:tblLayout w:type="fixed"/>
        <w:tblCellMar>
          <w:top w:w="0" w:type="dxa"/>
          <w:start w:w="0" w:type="dxa"/>
          <w:bottom w:w="0" w:type="dxa"/>
          <w:end w:w="0" w:type="dxa"/>
        </w:tblCellMar>
        <w:tblLook w:val="0000" w:noHBand="0" w:noVBand="0" w:firstColumn="0" w:lastRow="0" w:lastColumn="0" w:firstRow="0"/>
      </w:tblPr>
      <w:tblGrid>
        <w:gridCol w:w="2619"/>
        <w:gridCol w:w="655"/>
        <w:gridCol w:w="3555"/>
        <w:gridCol w:w="466"/>
        <w:gridCol w:w="2060"/>
      </w:tblGrid>
      <w:tr>
        <w:trPr/>
        <w:tc>
          <w:tcPr>
            <w:tcW w:w="6829" w:type="dxa"/>
            <w:gridSpan w:val="3"/>
            <w:tcBorders/>
          </w:tcPr>
          <w:p>
            <w:pPr>
              <w:pStyle w:val="Normal"/>
              <w:jc w:val="both"/>
              <w:rPr>
                <w:b/>
                <w:bCs/>
              </w:rPr>
            </w:pPr>
            <w:r>
              <w:rPr/>
            </w:r>
          </w:p>
        </w:tc>
        <w:tc>
          <w:tcPr>
            <w:tcW w:w="466" w:type="dxa"/>
            <w:tcBorders/>
          </w:tcPr>
          <w:p>
            <w:pPr>
              <w:pStyle w:val="Normal"/>
              <w:jc w:val="both"/>
              <w:rPr>
                <w:rFonts w:ascii="Virtec Times New Roman Uz" w:hAnsi="Virtec Times New Roman Uz" w:cs="Virtec Times New Roman Uz"/>
                <w:b/>
                <w:bCs/>
              </w:rPr>
            </w:pPr>
            <w:r>
              <w:rPr>
                <w:rFonts w:cs="Virtec Times New Roman Uz" w:ascii="Virtec Times New Roman Uz" w:hAnsi="Virtec Times New Roman Uz"/>
                <w:b/>
                <w:bCs/>
              </w:rPr>
            </w:r>
          </w:p>
        </w:tc>
        <w:tc>
          <w:tcPr>
            <w:tcW w:w="2060" w:type="dxa"/>
            <w:tcBorders/>
          </w:tcPr>
          <w:p>
            <w:pPr>
              <w:pStyle w:val="Normal"/>
              <w:jc w:val="both"/>
              <w:rPr>
                <w:rFonts w:ascii="Virtec Times New Roman Uz" w:hAnsi="Virtec Times New Roman Uz" w:cs="Virtec Times New Roman Uz"/>
                <w:b/>
                <w:bCs/>
              </w:rPr>
            </w:pPr>
            <w:r>
              <w:rPr>
                <w:rFonts w:cs="Virtec Times New Roman Uz" w:ascii="Virtec Times New Roman Uz" w:hAnsi="Virtec Times New Roman Uz"/>
                <w:b/>
                <w:bCs/>
              </w:rPr>
            </w:r>
          </w:p>
        </w:tc>
      </w:tr>
      <w:tr>
        <w:trPr/>
        <w:tc>
          <w:tcPr>
            <w:tcW w:w="2619" w:type="dxa"/>
            <w:tcBorders/>
          </w:tcPr>
          <w:p>
            <w:pPr>
              <w:pStyle w:val="Normal"/>
              <w:jc w:val="both"/>
              <w:rPr>
                <w:b/>
                <w:bCs/>
              </w:rPr>
            </w:pPr>
            <w:r>
              <w:rPr>
                <w:b/>
                <w:bCs/>
              </w:rPr>
              <w:t xml:space="preserve">      </w:t>
            </w:r>
          </w:p>
        </w:tc>
        <w:tc>
          <w:tcPr>
            <w:tcW w:w="655" w:type="dxa"/>
            <w:tcBorders/>
          </w:tcPr>
          <w:p>
            <w:pPr>
              <w:pStyle w:val="Normal"/>
              <w:jc w:val="both"/>
              <w:rPr>
                <w:rFonts w:ascii="Virtec Times New Roman Uz" w:hAnsi="Virtec Times New Roman Uz" w:cs="Virtec Times New Roman Uz"/>
                <w:b/>
                <w:bCs/>
              </w:rPr>
            </w:pPr>
            <w:r>
              <w:rPr>
                <w:rFonts w:cs="Virtec Times New Roman Uz" w:ascii="Virtec Times New Roman Uz" w:hAnsi="Virtec Times New Roman Uz"/>
                <w:b/>
                <w:bCs/>
              </w:rPr>
            </w:r>
          </w:p>
        </w:tc>
        <w:tc>
          <w:tcPr>
            <w:tcW w:w="3555" w:type="dxa"/>
            <w:tcBorders/>
          </w:tcPr>
          <w:p>
            <w:pPr>
              <w:pStyle w:val="Normal"/>
              <w:jc w:val="both"/>
              <w:rPr>
                <w:rFonts w:ascii="Virtec Times New Roman Uz" w:hAnsi="Virtec Times New Roman Uz" w:cs="Virtec Times New Roman Uz"/>
                <w:b/>
                <w:bCs/>
              </w:rPr>
            </w:pPr>
            <w:r>
              <w:rPr>
                <w:rFonts w:cs="Virtec Times New Roman Uz" w:ascii="Virtec Times New Roman Uz" w:hAnsi="Virtec Times New Roman Uz"/>
                <w:b/>
                <w:bCs/>
              </w:rPr>
            </w:r>
          </w:p>
        </w:tc>
        <w:tc>
          <w:tcPr>
            <w:tcW w:w="466" w:type="dxa"/>
            <w:tcBorders/>
          </w:tcPr>
          <w:p>
            <w:pPr>
              <w:pStyle w:val="Normal"/>
              <w:jc w:val="both"/>
              <w:rPr>
                <w:rFonts w:ascii="Virtec Times New Roman Uz" w:hAnsi="Virtec Times New Roman Uz" w:cs="Virtec Times New Roman Uz"/>
                <w:b/>
                <w:bCs/>
              </w:rPr>
            </w:pPr>
            <w:r>
              <w:rPr>
                <w:rFonts w:cs="Virtec Times New Roman Uz" w:ascii="Virtec Times New Roman Uz" w:hAnsi="Virtec Times New Roman Uz"/>
                <w:b/>
                <w:bCs/>
              </w:rPr>
            </w:r>
          </w:p>
        </w:tc>
        <w:tc>
          <w:tcPr>
            <w:tcW w:w="2060" w:type="dxa"/>
            <w:tcBorders/>
          </w:tcPr>
          <w:p>
            <w:pPr>
              <w:pStyle w:val="Normal"/>
              <w:jc w:val="both"/>
              <w:rPr>
                <w:rFonts w:ascii="Virtec Times New Roman Uz" w:hAnsi="Virtec Times New Roman Uz" w:cs="Virtec Times New Roman Uz"/>
                <w:b/>
                <w:bCs/>
              </w:rPr>
            </w:pPr>
            <w:r>
              <w:rPr>
                <w:rFonts w:cs="Virtec Times New Roman Uz" w:ascii="Virtec Times New Roman Uz" w:hAnsi="Virtec Times New Roman Uz"/>
                <w:b/>
                <w:bCs/>
              </w:rPr>
            </w:r>
          </w:p>
        </w:tc>
      </w:tr>
      <w:tr>
        <w:trPr/>
        <w:tc>
          <w:tcPr>
            <w:tcW w:w="2619" w:type="dxa"/>
            <w:tcBorders>
              <w:bottom w:val="single" w:sz="6" w:space="0" w:color="000000"/>
            </w:tcBorders>
          </w:tcPr>
          <w:p>
            <w:pPr>
              <w:pStyle w:val="Normal"/>
              <w:rPr>
                <w:b/>
                <w:bCs/>
              </w:rPr>
            </w:pPr>
            <w:r>
              <w:rPr>
                <w:b/>
                <w:bCs/>
              </w:rPr>
              <w:t xml:space="preserve">    </w:t>
            </w:r>
          </w:p>
        </w:tc>
        <w:tc>
          <w:tcPr>
            <w:tcW w:w="655" w:type="dxa"/>
            <w:tcBorders/>
          </w:tcPr>
          <w:p>
            <w:pPr>
              <w:pStyle w:val="Normal"/>
              <w:rPr>
                <w:rFonts w:ascii="Virtec Times New Roman Uz" w:hAnsi="Virtec Times New Roman Uz" w:cs="Virtec Times New Roman Uz"/>
                <w:b/>
                <w:bCs/>
              </w:rPr>
            </w:pPr>
            <w:r>
              <w:rPr>
                <w:rFonts w:cs="Virtec Times New Roman Uz" w:ascii="Virtec Times New Roman Uz" w:hAnsi="Virtec Times New Roman Uz"/>
                <w:b/>
                <w:bCs/>
              </w:rPr>
            </w:r>
          </w:p>
        </w:tc>
        <w:tc>
          <w:tcPr>
            <w:tcW w:w="3555" w:type="dxa"/>
            <w:tcBorders>
              <w:bottom w:val="single" w:sz="6" w:space="0" w:color="000000"/>
            </w:tcBorders>
          </w:tcPr>
          <w:p>
            <w:pPr>
              <w:pStyle w:val="Normal"/>
              <w:jc w:val="center"/>
              <w:rPr>
                <w:rFonts w:ascii="Virtec Times New Roman Uz" w:hAnsi="Virtec Times New Roman Uz" w:cs="Virtec Times New Roman Uz"/>
                <w:b/>
                <w:bCs/>
              </w:rPr>
            </w:pPr>
            <w:r>
              <w:rPr>
                <w:rFonts w:cs="Virtec Times New Roman Uz" w:ascii="Virtec Times New Roman Uz" w:hAnsi="Virtec Times New Roman Uz"/>
                <w:b/>
                <w:bCs/>
              </w:rPr>
              <w:t>${fio}</w:t>
            </w:r>
          </w:p>
        </w:tc>
        <w:tc>
          <w:tcPr>
            <w:tcW w:w="466" w:type="dxa"/>
            <w:tcBorders/>
          </w:tcPr>
          <w:p>
            <w:pPr>
              <w:pStyle w:val="Normal"/>
              <w:rPr>
                <w:rFonts w:ascii="Virtec Times New Roman Uz" w:hAnsi="Virtec Times New Roman Uz" w:cs="Virtec Times New Roman Uz"/>
                <w:b/>
                <w:bCs/>
              </w:rPr>
            </w:pPr>
            <w:r>
              <w:rPr>
                <w:rFonts w:cs="Virtec Times New Roman Uz" w:ascii="Virtec Times New Roman Uz" w:hAnsi="Virtec Times New Roman Uz"/>
                <w:b/>
                <w:bCs/>
              </w:rPr>
            </w:r>
          </w:p>
        </w:tc>
        <w:tc>
          <w:tcPr>
            <w:tcW w:w="2060" w:type="dxa"/>
            <w:tcBorders>
              <w:bottom w:val="single" w:sz="6" w:space="0" w:color="000000"/>
            </w:tcBorders>
          </w:tcPr>
          <w:p>
            <w:pPr>
              <w:pStyle w:val="Normal"/>
              <w:jc w:val="center"/>
              <w:rPr>
                <w:rFonts w:ascii="Virtec Times New Roman Uz" w:hAnsi="Virtec Times New Roman Uz" w:cs="Virtec Times New Roman Uz"/>
                <w:b/>
                <w:bCs/>
              </w:rPr>
            </w:pPr>
            <w:r>
              <w:rPr>
                <w:rFonts w:cs="Virtec Times New Roman Uz" w:ascii="Virtec Times New Roman Uz" w:hAnsi="Virtec Times New Roman Uz"/>
                <w:b/>
                <w:bCs/>
              </w:rPr>
              <w:t>${app_date}</w:t>
            </w:r>
          </w:p>
        </w:tc>
      </w:tr>
      <w:tr>
        <w:trPr/>
        <w:tc>
          <w:tcPr>
            <w:tcW w:w="2619" w:type="dxa"/>
            <w:tcBorders/>
          </w:tcPr>
          <w:p>
            <w:pPr>
              <w:pStyle w:val="Normal"/>
              <w:jc w:val="center"/>
              <w:rPr>
                <w:b/>
                <w:bCs/>
              </w:rPr>
            </w:pPr>
            <w:r>
              <w:rPr>
                <w:b/>
                <w:bCs/>
              </w:rPr>
              <w:t>(имзо)</w:t>
            </w:r>
          </w:p>
        </w:tc>
        <w:tc>
          <w:tcPr>
            <w:tcW w:w="655" w:type="dxa"/>
            <w:tcBorders/>
          </w:tcPr>
          <w:p>
            <w:pPr>
              <w:pStyle w:val="Normal"/>
              <w:jc w:val="center"/>
              <w:rPr>
                <w:rFonts w:ascii="Virtec Times New Roman Uz" w:hAnsi="Virtec Times New Roman Uz" w:cs="Virtec Times New Roman Uz"/>
                <w:b/>
                <w:bCs/>
              </w:rPr>
            </w:pPr>
            <w:r>
              <w:rPr>
                <w:rFonts w:cs="Virtec Times New Roman Uz" w:ascii="Virtec Times New Roman Uz" w:hAnsi="Virtec Times New Roman Uz"/>
                <w:b/>
                <w:bCs/>
              </w:rPr>
            </w:r>
          </w:p>
        </w:tc>
        <w:tc>
          <w:tcPr>
            <w:tcW w:w="3555" w:type="dxa"/>
            <w:tcBorders/>
          </w:tcPr>
          <w:p>
            <w:pPr>
              <w:pStyle w:val="Normal"/>
              <w:jc w:val="center"/>
              <w:rPr>
                <w:b/>
                <w:bCs/>
              </w:rPr>
            </w:pPr>
            <w:r>
              <w:rPr>
                <w:b/>
                <w:bCs/>
              </w:rPr>
              <w:t>(</w:t>
            </w:r>
            <w:r>
              <w:rPr>
                <w:b/>
                <w:bCs/>
                <w:lang w:val="uz-Cyrl-UZ"/>
              </w:rPr>
              <w:t>Ф.И.Ш.</w:t>
            </w:r>
            <w:r>
              <w:rPr>
                <w:b/>
                <w:bCs/>
              </w:rPr>
              <w:t>)</w:t>
            </w:r>
          </w:p>
        </w:tc>
        <w:tc>
          <w:tcPr>
            <w:tcW w:w="466" w:type="dxa"/>
            <w:tcBorders/>
          </w:tcPr>
          <w:p>
            <w:pPr>
              <w:pStyle w:val="Normal"/>
              <w:jc w:val="center"/>
              <w:rPr>
                <w:rFonts w:ascii="Virtec Times New Roman Uz" w:hAnsi="Virtec Times New Roman Uz" w:cs="Virtec Times New Roman Uz"/>
                <w:b/>
                <w:bCs/>
              </w:rPr>
            </w:pPr>
            <w:r>
              <w:rPr>
                <w:rFonts w:cs="Virtec Times New Roman Uz" w:ascii="Virtec Times New Roman Uz" w:hAnsi="Virtec Times New Roman Uz"/>
                <w:b/>
                <w:bCs/>
              </w:rPr>
            </w:r>
          </w:p>
        </w:tc>
        <w:tc>
          <w:tcPr>
            <w:tcW w:w="2060" w:type="dxa"/>
            <w:tcBorders/>
          </w:tcPr>
          <w:p>
            <w:pPr>
              <w:pStyle w:val="Normal"/>
              <w:jc w:val="center"/>
              <w:rPr>
                <w:b/>
                <w:bCs/>
              </w:rPr>
            </w:pPr>
            <w:r>
              <w:rPr>
                <w:b/>
                <w:bCs/>
              </w:rPr>
              <w:t>(сана)</w:t>
            </w:r>
          </w:p>
        </w:tc>
      </w:tr>
    </w:tbl>
    <w:p>
      <w:pPr>
        <w:pStyle w:val="BodyText"/>
        <w:spacing w:beforeAutospacing="0" w:before="0" w:afterAutospacing="0" w:after="0"/>
        <w:rPr/>
      </w:pPr>
      <w:r>
        <w:rPr/>
      </w:r>
      <w:bookmarkStart w:id="0" w:name="_GoBack"/>
      <w:bookmarkStart w:id="1" w:name="_GoBack"/>
      <w:bookmarkEnd w:id="1"/>
    </w:p>
    <w:sectPr>
      <w:footerReference w:type="even" r:id="rId2"/>
      <w:footerReference w:type="default" r:id="rId3"/>
      <w:footerReference w:type="first" r:id="rId4"/>
      <w:type w:val="nextPage"/>
      <w:pgSz w:w="11906" w:h="16838"/>
      <w:pgMar w:left="1701" w:right="850" w:gutter="0" w:header="0" w:top="851"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Virtec Times New Roman Uz">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500342"/>
    </w:sdtPr>
    <w:sdtContent>
      <w:p>
        <w:pPr>
          <w:pStyle w:val="Footer"/>
          <w:jc w:val="end"/>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500342"/>
    </w:sdtPr>
    <w:sdtContent>
      <w:p>
        <w:pPr>
          <w:pStyle w:val="Footer"/>
          <w:jc w:val="end"/>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end"/>
      <w:pPr>
        <w:tabs>
          <w:tab w:val="num" w:pos="0"/>
        </w:tabs>
        <w:ind w:start="720" w:hanging="360"/>
      </w:pPr>
      <w:rPr/>
    </w:lvl>
    <w:lvl w:ilvl="1">
      <w:start w:val="1"/>
      <w:isLgl/>
      <w:numFmt w:val="decimal"/>
      <w:lvlText w:val="%1.%2."/>
      <w:lvlJc w:val="start"/>
      <w:pPr>
        <w:tabs>
          <w:tab w:val="num" w:pos="0"/>
        </w:tabs>
        <w:ind w:start="1080" w:hanging="360"/>
      </w:pPr>
      <w:rPr>
        <w:b/>
      </w:rPr>
    </w:lvl>
    <w:lvl w:ilvl="2">
      <w:start w:val="1"/>
      <w:isLgl/>
      <w:numFmt w:val="decimal"/>
      <w:lvlText w:val="%1.%2.%3."/>
      <w:lvlJc w:val="start"/>
      <w:pPr>
        <w:tabs>
          <w:tab w:val="num" w:pos="0"/>
        </w:tabs>
        <w:ind w:start="1800" w:hanging="720"/>
      </w:pPr>
      <w:rPr>
        <w:b/>
      </w:rPr>
    </w:lvl>
    <w:lvl w:ilvl="3">
      <w:start w:val="1"/>
      <w:isLgl/>
      <w:numFmt w:val="decimal"/>
      <w:lvlText w:val="%1.%2.%3.%4."/>
      <w:lvlJc w:val="start"/>
      <w:pPr>
        <w:tabs>
          <w:tab w:val="num" w:pos="0"/>
        </w:tabs>
        <w:ind w:start="2160" w:hanging="720"/>
      </w:pPr>
      <w:rPr>
        <w:b/>
      </w:rPr>
    </w:lvl>
    <w:lvl w:ilvl="4">
      <w:start w:val="1"/>
      <w:isLgl/>
      <w:numFmt w:val="decimal"/>
      <w:lvlText w:val="%1.%2.%3.%4.%5."/>
      <w:lvlJc w:val="start"/>
      <w:pPr>
        <w:tabs>
          <w:tab w:val="num" w:pos="0"/>
        </w:tabs>
        <w:ind w:start="2880" w:hanging="1080"/>
      </w:pPr>
      <w:rPr>
        <w:b/>
      </w:rPr>
    </w:lvl>
    <w:lvl w:ilvl="5">
      <w:start w:val="1"/>
      <w:isLgl/>
      <w:numFmt w:val="decimal"/>
      <w:lvlText w:val="%1.%2.%3.%4.%5.%6."/>
      <w:lvlJc w:val="start"/>
      <w:pPr>
        <w:tabs>
          <w:tab w:val="num" w:pos="0"/>
        </w:tabs>
        <w:ind w:start="3240" w:hanging="1080"/>
      </w:pPr>
      <w:rPr>
        <w:b/>
      </w:rPr>
    </w:lvl>
    <w:lvl w:ilvl="6">
      <w:start w:val="1"/>
      <w:isLgl/>
      <w:numFmt w:val="decimal"/>
      <w:lvlText w:val="%1.%2.%3.%4.%5.%6.%7."/>
      <w:lvlJc w:val="start"/>
      <w:pPr>
        <w:tabs>
          <w:tab w:val="num" w:pos="0"/>
        </w:tabs>
        <w:ind w:start="3960" w:hanging="1440"/>
      </w:pPr>
      <w:rPr>
        <w:b/>
      </w:rPr>
    </w:lvl>
    <w:lvl w:ilvl="7">
      <w:start w:val="1"/>
      <w:isLgl/>
      <w:numFmt w:val="decimal"/>
      <w:lvlText w:val="%1.%2.%3.%4.%5.%6.%7.%8."/>
      <w:lvlJc w:val="start"/>
      <w:pPr>
        <w:tabs>
          <w:tab w:val="num" w:pos="0"/>
        </w:tabs>
        <w:ind w:start="4320" w:hanging="1440"/>
      </w:pPr>
      <w:rPr>
        <w:b/>
      </w:rPr>
    </w:lvl>
    <w:lvl w:ilvl="8">
      <w:start w:val="1"/>
      <w:isLgl/>
      <w:numFmt w:val="decimal"/>
      <w:lvlText w:val="%1.%2.%3.%4.%5.%6.%7.%8.%9."/>
      <w:lvlJc w:val="start"/>
      <w:pPr>
        <w:tabs>
          <w:tab w:val="num" w:pos="0"/>
        </w:tabs>
        <w:ind w:start="5040" w:hanging="1800"/>
      </w:pPr>
      <w:rPr>
        <w:b/>
      </w:rPr>
    </w:lvl>
  </w:abstractNum>
  <w:abstractNum w:abstractNumId="2">
    <w:lvl w:ilvl="0">
      <w:start w:val="1"/>
      <w:numFmt w:val="decimal"/>
      <w:lvlText w:val="%1."/>
      <w:lvlJc w:val="start"/>
      <w:pPr>
        <w:tabs>
          <w:tab w:val="num" w:pos="0"/>
        </w:tabs>
        <w:ind w:start="840" w:hanging="360"/>
      </w:pPr>
      <w:rPr/>
    </w:lvl>
    <w:lvl w:ilvl="1">
      <w:start w:val="1"/>
      <w:isLgl/>
      <w:numFmt w:val="decimal"/>
      <w:lvlText w:val="%1.%2."/>
      <w:lvlJc w:val="start"/>
      <w:pPr>
        <w:tabs>
          <w:tab w:val="num" w:pos="0"/>
        </w:tabs>
        <w:ind w:start="1260" w:hanging="420"/>
      </w:pPr>
      <w:rPr/>
    </w:lvl>
    <w:lvl w:ilvl="2">
      <w:start w:val="1"/>
      <w:isLgl/>
      <w:numFmt w:val="decimal"/>
      <w:lvlText w:val="%1.%2.%3."/>
      <w:lvlJc w:val="start"/>
      <w:pPr>
        <w:tabs>
          <w:tab w:val="num" w:pos="0"/>
        </w:tabs>
        <w:ind w:start="1920" w:hanging="720"/>
      </w:pPr>
      <w:rPr/>
    </w:lvl>
    <w:lvl w:ilvl="3">
      <w:start w:val="1"/>
      <w:isLgl/>
      <w:numFmt w:val="decimal"/>
      <w:lvlText w:val="%1.%2.%3.%4."/>
      <w:lvlJc w:val="start"/>
      <w:pPr>
        <w:tabs>
          <w:tab w:val="num" w:pos="0"/>
        </w:tabs>
        <w:ind w:start="2280" w:hanging="720"/>
      </w:pPr>
      <w:rPr/>
    </w:lvl>
    <w:lvl w:ilvl="4">
      <w:start w:val="1"/>
      <w:isLgl/>
      <w:numFmt w:val="decimal"/>
      <w:lvlText w:val="%1.%2.%3.%4.%5."/>
      <w:lvlJc w:val="start"/>
      <w:pPr>
        <w:tabs>
          <w:tab w:val="num" w:pos="0"/>
        </w:tabs>
        <w:ind w:start="3000" w:hanging="1080"/>
      </w:pPr>
      <w:rPr/>
    </w:lvl>
    <w:lvl w:ilvl="5">
      <w:start w:val="1"/>
      <w:isLgl/>
      <w:numFmt w:val="decimal"/>
      <w:lvlText w:val="%1.%2.%3.%4.%5.%6."/>
      <w:lvlJc w:val="start"/>
      <w:pPr>
        <w:tabs>
          <w:tab w:val="num" w:pos="0"/>
        </w:tabs>
        <w:ind w:start="3360" w:hanging="1080"/>
      </w:pPr>
      <w:rPr/>
    </w:lvl>
    <w:lvl w:ilvl="6">
      <w:start w:val="1"/>
      <w:isLgl/>
      <w:numFmt w:val="decimal"/>
      <w:lvlText w:val="%1.%2.%3.%4.%5.%6.%7."/>
      <w:lvlJc w:val="start"/>
      <w:pPr>
        <w:tabs>
          <w:tab w:val="num" w:pos="0"/>
        </w:tabs>
        <w:ind w:start="4080" w:hanging="1440"/>
      </w:pPr>
      <w:rPr/>
    </w:lvl>
    <w:lvl w:ilvl="7">
      <w:start w:val="1"/>
      <w:isLgl/>
      <w:numFmt w:val="decimal"/>
      <w:lvlText w:val="%1.%2.%3.%4.%5.%6.%7.%8."/>
      <w:lvlJc w:val="start"/>
      <w:pPr>
        <w:tabs>
          <w:tab w:val="num" w:pos="0"/>
        </w:tabs>
        <w:ind w:start="4440" w:hanging="1440"/>
      </w:pPr>
      <w:rPr/>
    </w:lvl>
    <w:lvl w:ilvl="8">
      <w:start w:val="1"/>
      <w:isLgl/>
      <w:numFmt w:val="decimal"/>
      <w:lvlText w:val="%1.%2.%3.%4.%5.%6.%7.%8.%9."/>
      <w:lvlJc w:val="start"/>
      <w:pPr>
        <w:tabs>
          <w:tab w:val="num" w:pos="0"/>
        </w:tabs>
        <w:ind w:start="5160" w:hanging="180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0be4"/>
    <w:pPr>
      <w:widowControl/>
      <w:suppressAutoHyphens w:val="true"/>
      <w:bidi w:val="0"/>
      <w:spacing w:lineRule="auto" w:line="240" w:before="0" w:after="0"/>
      <w:jc w:val="star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qFormat/>
    <w:rsid w:val="00830be4"/>
    <w:rPr>
      <w:rFonts w:ascii="Times New Roman" w:hAnsi="Times New Roman" w:eastAsia="Times New Roman" w:cs="Times New Roman"/>
      <w:sz w:val="24"/>
      <w:szCs w:val="24"/>
      <w:lang w:eastAsia="ru-RU"/>
    </w:rPr>
  </w:style>
  <w:style w:type="character" w:styleId="Style15" w:customStyle="1">
    <w:name w:val="Верхний колонтитул Знак"/>
    <w:basedOn w:val="DefaultParagraphFont"/>
    <w:link w:val="Header"/>
    <w:uiPriority w:val="99"/>
    <w:qFormat/>
    <w:rsid w:val="000e1b2d"/>
    <w:rPr>
      <w:rFonts w:ascii="Times New Roman" w:hAnsi="Times New Roman" w:eastAsia="Times New Roman" w:cs="Times New Roman"/>
      <w:sz w:val="24"/>
      <w:szCs w:val="24"/>
      <w:lang w:val="en-US"/>
    </w:rPr>
  </w:style>
  <w:style w:type="character" w:styleId="Style16" w:customStyle="1">
    <w:name w:val="Нижний колонтитул Знак"/>
    <w:basedOn w:val="DefaultParagraphFont"/>
    <w:link w:val="Footer"/>
    <w:uiPriority w:val="99"/>
    <w:qFormat/>
    <w:rsid w:val="000e1b2d"/>
    <w:rPr>
      <w:rFonts w:ascii="Times New Roman" w:hAnsi="Times New Roman" w:eastAsia="Times New Roman" w:cs="Times New Roman"/>
      <w:sz w:val="24"/>
      <w:szCs w:val="24"/>
      <w:lang w:val="en-US"/>
    </w:rPr>
  </w:style>
  <w:style w:type="character" w:styleId="Style17" w:customStyle="1">
    <w:name w:val="Текст выноски Знак"/>
    <w:basedOn w:val="DefaultParagraphFont"/>
    <w:link w:val="BalloonText"/>
    <w:uiPriority w:val="99"/>
    <w:semiHidden/>
    <w:qFormat/>
    <w:rsid w:val="00b8613d"/>
    <w:rPr>
      <w:rFonts w:ascii="Segoe UI" w:hAnsi="Segoe UI" w:eastAsia="Times New Roman" w:cs="Segoe UI"/>
      <w:sz w:val="18"/>
      <w:szCs w:val="18"/>
      <w:lang w:val="en-US"/>
    </w:rPr>
  </w:style>
  <w:style w:type="character" w:styleId="Hyperlink">
    <w:name w:val="Hyperlink"/>
    <w:basedOn w:val="DefaultParagraphFont"/>
    <w:uiPriority w:val="99"/>
    <w:unhideWhenUsed/>
    <w:rsid w:val="000b6e65"/>
    <w:rPr>
      <w:color w:themeColor="hyperlink" w:val="0000FF"/>
      <w:u w:val="single"/>
    </w:rPr>
  </w:style>
  <w:style w:type="character" w:styleId="UnresolvedMention" w:customStyle="1">
    <w:name w:val="Unresolved Mention"/>
    <w:basedOn w:val="DefaultParagraphFont"/>
    <w:uiPriority w:val="99"/>
    <w:semiHidden/>
    <w:unhideWhenUsed/>
    <w:qFormat/>
    <w:rsid w:val="000b6e65"/>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4"/>
    <w:rsid w:val="00830be4"/>
    <w:pPr>
      <w:spacing w:beforeAutospacing="1" w:afterAutospacing="1"/>
    </w:pPr>
    <w:rPr>
      <w:lang w:val="ru-RU" w:eastAsia="ru-RU"/>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rsid w:val="00830be4"/>
    <w:pPr>
      <w:spacing w:beforeAutospacing="1" w:afterAutospacing="1"/>
    </w:pPr>
    <w:rPr>
      <w:lang w:val="ru-RU" w:eastAsia="ru-RU"/>
    </w:rPr>
  </w:style>
  <w:style w:type="paragraph" w:styleId="ListParagraph">
    <w:name w:val="List Paragraph"/>
    <w:basedOn w:val="Normal"/>
    <w:uiPriority w:val="34"/>
    <w:qFormat/>
    <w:rsid w:val="00830be4"/>
    <w:pPr>
      <w:spacing w:before="0" w:after="0"/>
      <w:ind w:start="720"/>
      <w:contextualSpacing/>
    </w:pPr>
    <w:rPr/>
  </w:style>
  <w:style w:type="paragraph" w:styleId="HeaderandFooter">
    <w:name w:val="Header and Footer"/>
    <w:basedOn w:val="Normal"/>
    <w:qFormat/>
    <w:pPr/>
    <w:rPr/>
  </w:style>
  <w:style w:type="paragraph" w:styleId="Header">
    <w:name w:val="header"/>
    <w:basedOn w:val="Normal"/>
    <w:link w:val="Style15"/>
    <w:uiPriority w:val="99"/>
    <w:unhideWhenUsed/>
    <w:rsid w:val="000e1b2d"/>
    <w:pPr>
      <w:tabs>
        <w:tab w:val="clear" w:pos="708"/>
        <w:tab w:val="center" w:pos="4677" w:leader="none"/>
        <w:tab w:val="right" w:pos="9355" w:leader="none"/>
      </w:tabs>
    </w:pPr>
    <w:rPr/>
  </w:style>
  <w:style w:type="paragraph" w:styleId="Footer">
    <w:name w:val="footer"/>
    <w:basedOn w:val="Normal"/>
    <w:link w:val="Style16"/>
    <w:uiPriority w:val="99"/>
    <w:unhideWhenUsed/>
    <w:rsid w:val="000e1b2d"/>
    <w:pPr>
      <w:tabs>
        <w:tab w:val="clear" w:pos="708"/>
        <w:tab w:val="center" w:pos="4677" w:leader="none"/>
        <w:tab w:val="right" w:pos="9355" w:leader="none"/>
      </w:tabs>
    </w:pPr>
    <w:rPr/>
  </w:style>
  <w:style w:type="paragraph" w:styleId="BalloonText">
    <w:name w:val="Balloon Text"/>
    <w:basedOn w:val="Normal"/>
    <w:link w:val="Style17"/>
    <w:uiPriority w:val="99"/>
    <w:semiHidden/>
    <w:unhideWhenUsed/>
    <w:qFormat/>
    <w:rsid w:val="00b8613d"/>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FCB20-FF78-4CCF-B560-613648BE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LibreOffice/24.8.4.2$Linux_X86_64 LibreOffice_project/3e97788786b20d724e2ed0ea7a111abce73cab63</Application>
  <AppVersion>15.0000</AppVersion>
  <Pages>2</Pages>
  <Words>396</Words>
  <Characters>2869</Characters>
  <CharactersWithSpaces>3212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2023-11-08T04:57:00Z</dcterms:created>
  <dc:creator>Юрист</dc:creator>
  <dc:description/>
  <dc:language>en-US</dc:language>
  <cp:lastModifiedBy/>
  <cp:lastPrinted>2023-11-02T06:44:00Z</cp:lastPrinted>
  <dcterms:modified xsi:type="dcterms:W3CDTF">2025-02-07T11:19:04Z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