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exact" w:line="560"/>
        <w:ind w:left="0"/>
        <w:snapToGrid w:val="0"/>
        <w:autoSpaceDE w:val="0"/>
        <w:autoSpaceDN w:val="0"/>
      </w:pPr>
      <w:r>
        <w:rPr>
          <w:rFonts w:ascii="Calibri" w:hAnsi="Calibri" w:cs="Calibri"/>
          <w:b/>
          <w:i w:val="0"/>
          <w:color w:val="1B3650"/>
          <w:sz w:val="44"/>
        </w:rPr>
        <w:t>Приёмка товара</w:t>
      </w:r>
    </w:p>
    <w:p>
      <w:pPr>
        <w:widowControl w:val="0"/>
        <w:spacing w:before="20" w:after="0" w:lineRule="exact" w:line="320"/>
        <w:ind w:left="0"/>
        <w:snapToGrid w:val="0"/>
        <w:autoSpaceDE w:val="0"/>
        <w:autoSpaceDN w:val="0"/>
      </w:pPr>
      <w:r>
        <w:rPr>
          <w:rFonts w:ascii="Calibri" w:hAnsi="Calibri" w:cs="Calibri"/>
          <w:b w:val="0"/>
          <w:i w:val="0"/>
          <w:color w:val="14181C"/>
          <w:sz w:val="24"/>
        </w:rPr>
        <w:t>Иди по цифрам сверху вниз. Шаги местами не меняй.</w:t>
      </w:r>
    </w:p>
    <w:p>
      <w:pPr>
        <w:widowControl w:val="0"/>
        <w:spacing w:before="0" w:after="120" w:lineRule="exact" w:line="320"/>
        <w:ind w:left="0"/>
        <w:snapToGrid w:val="0"/>
        <w:autoSpaceDE w:val="0"/>
        <w:autoSpaceDN w:val="0"/>
      </w:pPr>
      <w:r>
        <w:rPr>
          <w:rFonts w:ascii="Calibri" w:hAnsi="Calibri" w:cs="Calibri"/>
          <w:b/>
          <w:i w:val="0"/>
          <w:color w:val="14181C"/>
          <w:sz w:val="24"/>
        </w:rPr>
        <w:t xml:space="preserve">Готово, когда </w:t>
      </w:r>
      <w:r>
        <w:rPr>
          <w:rFonts w:ascii="Calibri" w:hAnsi="Calibri" w:cs="Calibri"/>
          <w:b w:val="0"/>
          <w:i w:val="0"/>
          <w:color w:val="14181C"/>
          <w:sz w:val="24"/>
        </w:rPr>
        <w:t>на каждой паллете есть паспорт, а чистый вес сошёлся с заказом и с накладной.</w:t>
      </w:r>
    </w:p>
    <w:tbl>
      <w:tblPr>
        <w:tblW w:type="dxa" w:w="1031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6EAEF"/>
          <w:left w:val="single" w:sz="4" w:space="0" w:color="E6EAEF"/>
          <w:bottom w:val="single" w:sz="4" w:space="0" w:color="E6EAEF"/>
          <w:right w:val="single" w:sz="4" w:space="0" w:color="E6EAEF"/>
          <w:insideH w:val="single" w:sz="4" w:space="0" w:color="E6EAEF"/>
          <w:insideV w:val="single" w:sz="4" w:space="0" w:color="E6EAEF"/>
        </w:tblBorders>
      </w:tblPr>
      <w:tblGrid>
        <w:gridCol w:w="10318"/>
      </w:tblGrid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1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Узнай, кто привёз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кто поставщик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какой товар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где накладная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Неясно, кто привёз — заказ не ищи и машину не разгружай.</w:t>
            </w:r>
          </w:p>
        </w:tc>
      </w:tr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2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Найди заказ в 1С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открой заказ этого поставщика на экране или распечатай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в программе открой задание на приёмку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впиши номер накладной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Заказа нет — товар не выгружай. Позвони в офис.</w:t>
            </w:r>
          </w:p>
        </w:tc>
      </w:tr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3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Прочитай комментарий до выгрузки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кому товар: на весь склад или одному клиенту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калибр и сорт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упаковка и поддон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что снять на фото или видео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нужен ли анализ или другой документ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Комментарий не прочитан — к выгрузке не переходи.</w:t>
            </w:r>
          </w:p>
        </w:tc>
      </w:tr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4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Проверь качество на образце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сними фото и видео так, как написано в комментарии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сверь сорт и калибр с заказом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анализ посмотри, если он нужен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Товар не тот, порченый или анализа нет — остановись и позови офис.</w:t>
            </w:r>
          </w:p>
        </w:tc>
      </w:tr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5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Выгрузи паллету и наклей паспорт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товар из заказа, калибр и сорт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поддон, упаковка и число мест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вес с весов и чистый вес — программа посчитает, проверь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клиент, если товар ждёт именно его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Паспорт — листок с номером. Наклей сразу. Без паспорта паллету не ставь.</w:t>
            </w:r>
          </w:p>
        </w:tc>
      </w:tr>
      <w:tr>
        <w:trPr>
          <w:cantSplit/>
        </w:trPr>
        <w:tc>
          <w:tcPr>
            <w:tcW w:type="dxa" w:w="10318"/>
            <w:shd w:val="clear" w:color="auto" w:fill="FFFFFF"/>
            <w:tcMar>
              <w:top w:w="65" w:type="dxa"/>
              <w:left w:w="125" w:type="dxa"/>
              <w:bottom w:w="60" w:type="dxa"/>
              <w:right w:w="113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tabs>
                <w:tab w:pos="454" w:val="left"/>
              </w:tabs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8"/>
              </w:rPr>
              <w:t>6</w:t>
            </w:r>
            <w:r>
              <w:rPr>
                <w:rFonts w:ascii="Calibri" w:hAnsi="Calibri" w:cs="Calibri"/>
                <w:b/>
                <w:i w:val="0"/>
                <w:color w:val="1B3650"/>
                <w:sz w:val="26"/>
              </w:rPr>
              <w:tab/>
              <w:t>Сверь вес и закрой приёмку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сложи чистый вес отдельно по товару, калибру и сорту</w:t>
            </w:r>
          </w:p>
          <w:p>
            <w:pPr>
              <w:widowControl w:val="0"/>
              <w:spacing w:before="0" w:after="0" w:lineRule="exact" w:line="300"/>
              <w:ind w:left="692" w:hanging="238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•  сравни сумму с заказом и с накладной водителя</w:t>
            </w:r>
          </w:p>
          <w:p>
            <w:pPr>
              <w:widowControl w:val="0"/>
              <w:spacing w:before="20" w:after="0" w:lineRule="exact" w:line="300"/>
              <w:ind w:left="454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99281C"/>
                <w:sz w:val="24"/>
              </w:rPr>
              <w:t xml:space="preserve">Стоп. </w:t>
            </w:r>
            <w:r>
              <w:rPr>
                <w:rFonts w:ascii="Calibri" w:hAnsi="Calibri" w:cs="Calibri"/>
                <w:b/>
                <w:i w:val="0"/>
                <w:color w:val="14181C"/>
                <w:sz w:val="24"/>
              </w:rPr>
              <w:t>Цифры не сошлись — сначала звонок в офис, потом закрытие.</w:t>
            </w:r>
          </w:p>
        </w:tc>
      </w:tr>
    </w:tbl>
    <w:p>
      <w:pPr>
        <w:widowControl w:val="0"/>
        <w:spacing w:before="0" w:after="0" w:lineRule="exact" w:line="160"/>
        <w:ind w:left="0"/>
        <w:snapToGrid w:val="0"/>
        <w:autoSpaceDE w:val="0"/>
        <w:autoSpaceDN w:val="0"/>
      </w:pPr>
      <w:r>
        <w:rPr>
          <w:rFonts w:ascii="Calibri" w:hAnsi="Calibri" w:cs="Calibri"/>
          <w:b w:val="0"/>
          <w:i w:val="0"/>
          <w:color w:val="14181C"/>
          <w:sz w:val="8"/>
        </w:rPr>
      </w:r>
    </w:p>
    <w:tbl>
      <w:tblPr>
        <w:tblW w:type="dxa" w:w="10318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B3650"/>
          <w:left w:val="single" w:sz="8" w:space="0" w:color="1B3650"/>
          <w:bottom w:val="single" w:sz="8" w:space="0" w:color="1B3650"/>
          <w:right w:val="single" w:sz="8" w:space="0" w:color="1B3650"/>
          <w:insideH w:val="single" w:sz="8" w:space="0" w:color="1B3650"/>
          <w:insideV w:val="single" w:sz="8" w:space="0" w:color="1B3650"/>
        </w:tblBorders>
      </w:tblPr>
      <w:tblGrid>
        <w:gridCol w:w="10318"/>
      </w:tblGrid>
      <w:tr>
        <w:trPr>
          <w:cantSplit/>
        </w:trPr>
        <w:tc>
          <w:tcPr>
            <w:tcW w:type="dxa" w:w="10318"/>
            <w:shd w:val="clear" w:color="auto" w:fill="F4F7FA"/>
            <w:tcMar>
              <w:top w:w="85" w:type="dxa"/>
              <w:left w:w="136" w:type="dxa"/>
              <w:bottom w:w="85" w:type="dxa"/>
              <w:right w:w="125" w:type="dxa"/>
            </w:tcMar>
          </w:tcPr>
          <w:p>
            <w:pPr>
              <w:widowControl w:val="0"/>
              <w:spacing w:before="0" w:after="20" w:lineRule="exact" w:line="320"/>
              <w:ind w:left="0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/>
                <w:i w:val="0"/>
                <w:color w:val="1B3650"/>
                <w:sz w:val="24"/>
              </w:rPr>
              <w:t>Чистый вес — это вес самого товара.</w:t>
            </w:r>
          </w:p>
          <w:p>
            <w:pPr>
              <w:widowControl w:val="0"/>
              <w:spacing w:before="0" w:after="0" w:lineRule="exact" w:line="300"/>
              <w:ind w:left="0"/>
              <w:snapToGrid w:val="0"/>
              <w:autoSpaceDE w:val="0"/>
              <w:autoSpaceDN w:val="0"/>
            </w:pPr>
            <w:r>
              <w:rPr>
                <w:rFonts w:ascii="Calibri" w:hAnsi="Calibri" w:cs="Calibri"/>
                <w:b w:val="0"/>
                <w:i w:val="0"/>
                <w:color w:val="14181C"/>
                <w:sz w:val="24"/>
              </w:rPr>
              <w:t>Из веса на весах вычти поддон и упаковку. Европоддон 25 кг, американец 30 кг. Упаковку вычитай за каждое место.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300"/>
    </w:pPr>
    <w:rPr>
      <w:rFonts w:ascii="Calibri" w:hAnsi="Calibri" w:cs="Calibri"/>
      <w:color w:val="1418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Приёмка товара</dc:title>
  <dc:subject>Один лист на рампу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