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3B77" w14:textId="77777777" w:rsidR="00E90484" w:rsidRDefault="00000000" w:rsidP="00E438EE">
      <w:pPr>
        <w:pStyle w:val="Title"/>
      </w:pPr>
      <w:r>
        <w:t>The Ethanolamine–MegL Toxic Switch: A Metabolic Mechanism Linking Fusobacterium nucleatum to Preeclampsia</w:t>
      </w:r>
    </w:p>
    <w:p w14:paraId="6A9538D1" w14:textId="77777777" w:rsidR="00E90484" w:rsidRDefault="00000000" w:rsidP="00E438EE">
      <w:pPr>
        <w:pStyle w:val="Subtitle"/>
        <w:jc w:val="left"/>
      </w:pPr>
      <w:r>
        <w:t>Shan Kurkcu¹</w:t>
      </w:r>
    </w:p>
    <w:p w14:paraId="79B19C0A" w14:textId="77777777" w:rsidR="00E90484" w:rsidRDefault="00000000" w:rsidP="00E438EE">
      <w:pPr>
        <w:pStyle w:val="Subtitle"/>
      </w:pPr>
      <w:r>
        <w:t>¹Department of Medicine, Neag Comprehensive Cancer Center, University of Connecticut Health Center, Farmington, CT, USA</w:t>
      </w:r>
    </w:p>
    <w:p w14:paraId="2DBC1DFA" w14:textId="77777777" w:rsidR="00E90484" w:rsidRDefault="00000000">
      <w:pPr>
        <w:pStyle w:val="BodyText"/>
      </w:pPr>
      <w:r>
        <w:t>Correspondence: Shan Kurkcu</w:t>
      </w:r>
    </w:p>
    <w:p w14:paraId="24D6BA7E" w14:textId="77777777" w:rsidR="00E90484" w:rsidRDefault="00000000">
      <w:pPr>
        <w:pStyle w:val="BodyText"/>
      </w:pPr>
      <w:r>
        <w:t>Abstract</w:t>
      </w:r>
    </w:p>
    <w:p w14:paraId="5CBD2FDD" w14:textId="3E9EBDC7" w:rsidR="00E90484" w:rsidRDefault="00000000">
      <w:pPr>
        <w:pStyle w:val="BodyText"/>
      </w:pPr>
      <w:r>
        <w:t xml:space="preserve">Preeclampsia (PE) affects 5–8% of pregnancies worldwide and remains a leading cause of maternal and neonatal morbidity, yet its molecular aetiology is incompletely understood. Here I propose a mechanistic model </w:t>
      </w:r>
      <w:r w:rsidR="00E438EE">
        <w:t>-</w:t>
      </w:r>
      <w:r>
        <w:t xml:space="preserve"> the Ethanolamine–</w:t>
      </w:r>
      <w:proofErr w:type="spellStart"/>
      <w:r>
        <w:t>MegL</w:t>
      </w:r>
      <w:proofErr w:type="spellEnd"/>
      <w:r>
        <w:t xml:space="preserve"> Toxic Switch </w:t>
      </w:r>
      <w:r w:rsidR="00E438EE">
        <w:t>-</w:t>
      </w:r>
      <w:r>
        <w:t xml:space="preserve"> that unifies recent discoveries in Fusobacterium nucleatum (Fn) metabolism with the vascular pathophysiology of PE. Drawing on published genetic, biochemical, and animal model data from the Ton-That laboratory and others, I demonstrate that: (1) the placenta constitutes an ethanolamine (EA)-rich niche that sustains Fn colonisation via the eut operon and bacterial microcompartment (BMC) assembly; (2) the two-component sensor </w:t>
      </w:r>
      <w:proofErr w:type="spellStart"/>
      <w:r>
        <w:t>EutV</w:t>
      </w:r>
      <w:proofErr w:type="spellEnd"/>
      <w:r>
        <w:t xml:space="preserve"> suppresses the virulence gene </w:t>
      </w:r>
      <w:proofErr w:type="spellStart"/>
      <w:r>
        <w:t>megL</w:t>
      </w:r>
      <w:proofErr w:type="spellEnd"/>
      <w:r>
        <w:t xml:space="preserve"> by &gt;36-fold when EA is abundant; (3) placental ischaemia in PE depletes EA, inactivating EutV and derepressing </w:t>
      </w:r>
      <w:proofErr w:type="spellStart"/>
      <w:r>
        <w:t>MegL</w:t>
      </w:r>
      <w:proofErr w:type="spellEnd"/>
      <w:r>
        <w:t xml:space="preserve">; and (4) </w:t>
      </w:r>
      <w:proofErr w:type="spellStart"/>
      <w:r>
        <w:t>MegL-catalysed</w:t>
      </w:r>
      <w:proofErr w:type="spellEnd"/>
      <w:r>
        <w:t xml:space="preserve"> catabolism of L-cysteine and L-methionine produces a dual toxin </w:t>
      </w:r>
      <w:r w:rsidR="00E438EE">
        <w:t>-</w:t>
      </w:r>
      <w:r>
        <w:t xml:space="preserve"> hydrogen </w:t>
      </w:r>
      <w:proofErr w:type="spellStart"/>
      <w:r>
        <w:t>sulphide</w:t>
      </w:r>
      <w:proofErr w:type="spellEnd"/>
      <w:r>
        <w:t xml:space="preserve"> (H₂S) and ammonia (NH₃) </w:t>
      </w:r>
      <w:r w:rsidR="00E438EE">
        <w:t>-</w:t>
      </w:r>
      <w:r>
        <w:t xml:space="preserve"> that synergistically damages trophoblast and endothelial cells through inhibition of cytochrome c oxidase, uncoupling of endothelial nitric oxide synthase (eNOS), and disruption of the tricarboxylic acid cycle. This model reinterprets existing data from Chen et al. (2022), Franklin et al. (2025), and Britton et al. (2024, 2025), connecting bacterial metabolic genetics to a clinical syndrome that these studies did not address. Five testable predictions are presented, each achievable with existing reagents and animal models.</w:t>
      </w:r>
    </w:p>
    <w:p w14:paraId="60E2250C" w14:textId="77777777" w:rsidR="00E90484" w:rsidRDefault="00000000" w:rsidP="00E438EE">
      <w:pPr>
        <w:pStyle w:val="Heading1"/>
      </w:pPr>
      <w:r>
        <w:t>Introduction</w:t>
      </w:r>
    </w:p>
    <w:p w14:paraId="5EB42F8C" w14:textId="4DA0DE00" w:rsidR="00E90484" w:rsidRDefault="00000000">
      <w:pPr>
        <w:pStyle w:val="BodyText"/>
      </w:pPr>
      <w:r>
        <w:t xml:space="preserve">Preeclampsia is a pregnancy-specific hypertensive disorder </w:t>
      </w:r>
      <w:proofErr w:type="spellStart"/>
      <w:r>
        <w:t>characterised</w:t>
      </w:r>
      <w:proofErr w:type="spellEnd"/>
      <w:r>
        <w:t xml:space="preserve"> by new-onset hypertension (≥140/90 mmHg) after 20 weeks of gestation, proteinuria, and multi-organ dysfunction¹. It complicates 5–8% of pregnancies globally and is responsible for approximately 76,000 maternal and 500,000 neonatal deaths annually². The prevailing two-stage model posits that defective spiral artery remodelling in early pregnancy (Stage 1) leads to placental ischaemia and oxidative stress, which in turn releases anti-angiogenic factors </w:t>
      </w:r>
      <w:r w:rsidR="00E438EE">
        <w:t>-</w:t>
      </w:r>
      <w:r>
        <w:t xml:space="preserve"> principally soluble </w:t>
      </w:r>
      <w:proofErr w:type="spellStart"/>
      <w:r>
        <w:t>fms</w:t>
      </w:r>
      <w:proofErr w:type="spellEnd"/>
      <w:r>
        <w:t xml:space="preserve">-like tyrosine kinase 1 (sFlt-1) </w:t>
      </w:r>
      <w:r w:rsidR="00E438EE">
        <w:t>-</w:t>
      </w:r>
      <w:r>
        <w:t xml:space="preserve"> into the maternal circulation, causing systemic endothelial dysfunction (Stage </w:t>
      </w:r>
      <w:proofErr w:type="gramStart"/>
      <w:r>
        <w:t>2)³</w:t>
      </w:r>
      <w:proofErr w:type="gramEnd"/>
      <w:r>
        <w:t xml:space="preserve">⁻⁵. However, this model </w:t>
      </w:r>
      <w:r>
        <w:lastRenderedPageBreak/>
        <w:t>does not explain why PE develops in only a subset of pregnancies with defective placentation, nor does it account for the growing epidemiological evidence linking oral microbiome dysbiosis to PE⁶⁻⁸.</w:t>
      </w:r>
    </w:p>
    <w:p w14:paraId="4191072B" w14:textId="77777777" w:rsidR="00E90484" w:rsidRDefault="00000000">
      <w:pPr>
        <w:pStyle w:val="BodyText"/>
      </w:pPr>
      <w:r>
        <w:t>Fusobacterium nucleatum (</w:t>
      </w:r>
      <w:proofErr w:type="spellStart"/>
      <w:r>
        <w:t>Fn</w:t>
      </w:r>
      <w:proofErr w:type="spellEnd"/>
      <w:r>
        <w:t xml:space="preserve">) is a Gram-negative oral anaerobe that has emerged as a significant extraoral pathogen. Originally recognised for its role in periodontal disease and colorectal cancer⁹⁻¹¹, Fn has been detected in the placentas of 15–35% of women with PE, compared with 5–10% of normotensive controls, across multiple independent studies using culture, PCR, and 16S rRNA sequencing⁶⁻⁸˒¹²⁻¹⁴. Fn reaches the placenta via haematogenous dissemination from the oral cavity and colonises trophoblasts through two adhesins: Fap2, which binds the </w:t>
      </w:r>
      <w:proofErr w:type="spellStart"/>
      <w:r>
        <w:t>tumour</w:t>
      </w:r>
      <w:proofErr w:type="spellEnd"/>
      <w:r>
        <w:t xml:space="preserve">-associated carbohydrate Gal-GalNAc expressed on trophoblast surfaces¹⁵, and </w:t>
      </w:r>
      <w:proofErr w:type="spellStart"/>
      <w:r>
        <w:t>FadA</w:t>
      </w:r>
      <w:proofErr w:type="spellEnd"/>
      <w:r>
        <w:t>, which binds E-cadherin (CDH1) and VE-cadherin on trophoblasts and endothelial cells¹⁶˒¹⁷. In a murine model of preterm birth, intravenous injection of Fn at gestational day 16–17 causes near-complete fetal loss, with extensive placental colonisation and spread to amniotic fluid and fetus¹⁸˒¹⁹.</w:t>
      </w:r>
    </w:p>
    <w:p w14:paraId="73CCD961" w14:textId="31A69CBE" w:rsidR="00E90484" w:rsidRDefault="00000000">
      <w:pPr>
        <w:pStyle w:val="BodyText"/>
      </w:pPr>
      <w:r>
        <w:t xml:space="preserve">Despite this strong association, no published study has proposed a specific molecular mechanism by which Fn causes the vascular syndrome of PE </w:t>
      </w:r>
      <w:r w:rsidR="00E438EE">
        <w:t>-</w:t>
      </w:r>
      <w:r>
        <w:t xml:space="preserve"> as distinct from the acute inflammatory pathology of preterm birth. The present work fills this gap by integrating four recent discoveries from the Ton-That laboratory into a unified mechanistic model.</w:t>
      </w:r>
    </w:p>
    <w:p w14:paraId="14BC5980" w14:textId="77777777" w:rsidR="00E90484" w:rsidRDefault="00000000" w:rsidP="00750022">
      <w:pPr>
        <w:pStyle w:val="Hading2"/>
      </w:pPr>
      <w:r>
        <w:t>The Ethanolamine Niche: Why the Placenta Sustains Fn Colonisation</w:t>
      </w:r>
    </w:p>
    <w:p w14:paraId="18C22F56" w14:textId="77777777" w:rsidR="00E90484" w:rsidRDefault="00000000" w:rsidP="00E438EE">
      <w:pPr>
        <w:pStyle w:val="Heading30"/>
      </w:pPr>
      <w:r>
        <w:t xml:space="preserve">The eut operon and bacterial </w:t>
      </w:r>
      <w:r w:rsidRPr="00E438EE">
        <w:t>microcompartments</w:t>
      </w:r>
    </w:p>
    <w:p w14:paraId="6C9EB3AE" w14:textId="1AF1CBDC" w:rsidR="00E90484" w:rsidRDefault="00000000" w:rsidP="007368A8">
      <w:pPr>
        <w:pStyle w:val="FootnoteText"/>
      </w:pPr>
      <w:r>
        <w:t xml:space="preserve">The Fn genome </w:t>
      </w:r>
      <w:proofErr w:type="spellStart"/>
      <w:r>
        <w:t>harbours</w:t>
      </w:r>
      <w:proofErr w:type="spellEnd"/>
      <w:r>
        <w:t xml:space="preserve"> a conserved 21-gene ethanolamine </w:t>
      </w:r>
      <w:r w:rsidR="00E438EE">
        <w:t>utilization</w:t>
      </w:r>
      <w:r>
        <w:t xml:space="preserve"> (</w:t>
      </w:r>
      <w:proofErr w:type="spellStart"/>
      <w:r>
        <w:t>eut</w:t>
      </w:r>
      <w:proofErr w:type="spellEnd"/>
      <w:r>
        <w:t>) locus encoding the complete machinery for EA transport (EutH), catabolism (EutBC, ethanolamine ammonia lyase), signal transduction (</w:t>
      </w:r>
      <w:proofErr w:type="spellStart"/>
      <w:r>
        <w:t>EutV</w:t>
      </w:r>
      <w:proofErr w:type="spellEnd"/>
      <w:r>
        <w:t>–</w:t>
      </w:r>
      <w:proofErr w:type="spellStart"/>
      <w:r>
        <w:t>EutW</w:t>
      </w:r>
      <w:proofErr w:type="spellEnd"/>
      <w:r>
        <w:t>, a two-component system), and BMC shell assembly (EutLM₁M₂</w:t>
      </w:r>
      <w:proofErr w:type="gramStart"/>
      <w:r>
        <w:t>N)²</w:t>
      </w:r>
      <w:proofErr w:type="gramEnd"/>
      <w:r>
        <w:t xml:space="preserve">⁰. Franklin et al. (2025) demonstrated that free EA induces massive upregulation of the eut gene cluster (many genes &gt;10-fold), promotes BMC assembly, and enhances Fn proliferation in minimal media²⁰. Critically, when </w:t>
      </w:r>
      <w:proofErr w:type="spellStart"/>
      <w:r>
        <w:t>Fn</w:t>
      </w:r>
      <w:proofErr w:type="spellEnd"/>
      <w:r>
        <w:t xml:space="preserve"> is co-cultured with human placental trophoblast cells (HTR8/SVneo), BMCs assemble spontaneously </w:t>
      </w:r>
      <w:r w:rsidR="00E438EE">
        <w:t>-</w:t>
      </w:r>
      <w:r>
        <w:t xml:space="preserve"> demonstrating that the placental environment provides sufficient free EA to activate the eut system²⁰. The ΔeutN mutant (defective in BMC shell assembly) showed 60% pup survival versus 20% for wild-type </w:t>
      </w:r>
      <w:proofErr w:type="spellStart"/>
      <w:r>
        <w:t>Fn</w:t>
      </w:r>
      <w:proofErr w:type="spellEnd"/>
      <w:r>
        <w:t xml:space="preserve"> in a murine pregnancy model (P &lt; 0.001), establishing that BMC-mediated EA catabolism is essential for Fn virulence in the placenta²⁰.</w:t>
      </w:r>
    </w:p>
    <w:p w14:paraId="1F601851" w14:textId="77777777" w:rsidR="00E90484" w:rsidRDefault="00000000" w:rsidP="000833BF">
      <w:pPr>
        <w:pStyle w:val="Heading30"/>
      </w:pPr>
      <w:r>
        <w:t>The placenta as an EA-rich environment</w:t>
      </w:r>
    </w:p>
    <w:p w14:paraId="4491A9E0" w14:textId="33884D2D" w:rsidR="00E90484" w:rsidRPr="000833BF" w:rsidRDefault="00000000">
      <w:pPr>
        <w:pStyle w:val="BodyText"/>
        <w:rPr>
          <w:b/>
          <w:bCs/>
          <w:color w:val="FF0000"/>
        </w:rPr>
      </w:pPr>
      <w:r>
        <w:t xml:space="preserve">Free EA in the placenta derives from the catabolism of phosphatidylethanolamine (PE lipid), which constitutes 25–35% of total phospholipid in mammalian cell membranes²¹. The liberation of free EA from PE lipid requires host enzymes operating in a defined biochemical sequence: phospholipase D1 (PLD1) cleaves PE to yield phosphatidic acid and phosphoethanolamine²²; glycerophosphodiester phosphodiesterases (GDPD1, GDPD5) cleave glycerophosphoethanolamine to yield free EA and glycerol-3-phosphate²³; </w:t>
      </w:r>
      <w:r>
        <w:lastRenderedPageBreak/>
        <w:t>and fatty acid amide hydrolase (FAAH) degrades anandamide (N-</w:t>
      </w:r>
      <w:proofErr w:type="spellStart"/>
      <w:r>
        <w:t>arachidonoylethanolamine</w:t>
      </w:r>
      <w:proofErr w:type="spellEnd"/>
      <w:r>
        <w:t xml:space="preserve">) to yield arachidonic acid and free EA²⁴. </w:t>
      </w:r>
      <w:r w:rsidRPr="000833BF">
        <w:rPr>
          <w:b/>
          <w:bCs/>
          <w:highlight w:val="yellow"/>
        </w:rPr>
        <w:t xml:space="preserve">PLD1 is highly expressed in placental trophoblasts and is activated by oxidative stress </w:t>
      </w:r>
      <w:r w:rsidR="00E438EE" w:rsidRPr="000833BF">
        <w:rPr>
          <w:b/>
          <w:bCs/>
          <w:highlight w:val="yellow"/>
        </w:rPr>
        <w:t>-</w:t>
      </w:r>
      <w:r w:rsidRPr="000833BF">
        <w:rPr>
          <w:b/>
          <w:bCs/>
          <w:highlight w:val="yellow"/>
        </w:rPr>
        <w:t xml:space="preserve"> a hallmark of PE²²˒²⁵.</w:t>
      </w:r>
      <w:r w:rsidR="000833BF">
        <w:rPr>
          <w:b/>
          <w:bCs/>
          <w:color w:val="FF0000"/>
        </w:rPr>
        <w:t xml:space="preserve">Should look to show </w:t>
      </w:r>
      <w:proofErr w:type="spellStart"/>
      <w:r w:rsidR="000833BF">
        <w:rPr>
          <w:b/>
          <w:bCs/>
          <w:color w:val="FF0000"/>
        </w:rPr>
        <w:t>thisin</w:t>
      </w:r>
      <w:proofErr w:type="spellEnd"/>
      <w:r w:rsidR="000833BF">
        <w:rPr>
          <w:b/>
          <w:bCs/>
          <w:color w:val="FF0000"/>
        </w:rPr>
        <w:t xml:space="preserve"> the listeria and other infection models </w:t>
      </w:r>
    </w:p>
    <w:p w14:paraId="232ED709" w14:textId="60064AF9" w:rsidR="00E90484" w:rsidRDefault="00000000">
      <w:pPr>
        <w:pStyle w:val="BodyText"/>
      </w:pPr>
      <w:r>
        <w:t xml:space="preserve">Direct measurement of free EA in mammalian tissues by McMaster &amp; Choy (1992) using reverse-phase HPLC yielded concentrations of 0.92–1.11 mM in solid organs (heart, liver, </w:t>
      </w:r>
      <w:proofErr w:type="gramStart"/>
      <w:r>
        <w:t>kidney)²</w:t>
      </w:r>
      <w:proofErr w:type="gramEnd"/>
      <w:r>
        <w:t xml:space="preserve">⁶, while the gut lumen </w:t>
      </w:r>
      <w:r w:rsidR="00E438EE">
        <w:t>-</w:t>
      </w:r>
      <w:r>
        <w:t xml:space="preserve"> the canonical EA-rich environment for bacterial pathogens </w:t>
      </w:r>
      <w:r w:rsidR="00E438EE">
        <w:t>-</w:t>
      </w:r>
      <w:r>
        <w:t xml:space="preserve"> contains &gt;2 mM free EA²⁷. The placenta, with its exceptionally high rate of trophoblast membrane turnover, syncytiotrophoblast fusion, and PLD1/GDPD1 activity, is predicted to achieve locally comparable or higher EA concentrations, particularly in the third trimester </w:t>
      </w:r>
      <w:r w:rsidRPr="000833BF">
        <w:rPr>
          <w:b/>
          <w:bCs/>
          <w:highlight w:val="yellow"/>
        </w:rPr>
        <w:t>when free EA increases in placental villi while phosphorylethanolamine decreases²⁰</w:t>
      </w:r>
      <w:r>
        <w:t>˒²⁶.</w:t>
      </w:r>
    </w:p>
    <w:p w14:paraId="56FC33E2" w14:textId="77777777" w:rsidR="00E90484" w:rsidRDefault="00000000">
      <w:pPr>
        <w:pStyle w:val="BodyText"/>
      </w:pPr>
      <w:r>
        <w:t xml:space="preserve">Importantly, </w:t>
      </w:r>
      <w:r w:rsidRPr="000833BF">
        <w:rPr>
          <w:highlight w:val="yellow"/>
        </w:rPr>
        <w:t>PE placentas contain 35% more total phospholipids and 38% more PE lipid than normotensive controls (2,375 nmol/g vs. 3,275 nmol/g; P = 0.026)²⁸,</w:t>
      </w:r>
      <w:r>
        <w:t xml:space="preserve"> providing a substantially larger substrate reservoir for EA liberation. When combined with the oxidative stress-mediated activation of PLD1 that characterises PE²⁵, this elevated PE lipid pool predicts dramatically amplified free EA availability in the PE placental microenvironment.</w:t>
      </w:r>
    </w:p>
    <w:p w14:paraId="245F471C" w14:textId="77777777" w:rsidR="00E90484" w:rsidRDefault="00000000" w:rsidP="000833BF">
      <w:pPr>
        <w:pStyle w:val="Heading30"/>
      </w:pPr>
      <w:r>
        <w:t>Temporal dynamics: EA peaks in the third trimester</w:t>
      </w:r>
    </w:p>
    <w:p w14:paraId="7637C720" w14:textId="12968607" w:rsidR="00E90484" w:rsidRDefault="00000000">
      <w:pPr>
        <w:pStyle w:val="BodyText"/>
      </w:pPr>
      <w:r w:rsidRPr="000833BF">
        <w:rPr>
          <w:highlight w:val="yellow"/>
        </w:rPr>
        <w:t>The temporal pattern of placental EA availability precisely matches the clinical timing of PE onset. Free EA increases progressively in placental villi during the third trimester, in parallel with decreasing phosphorylethanolamine</w:t>
      </w:r>
      <w:r>
        <w:t xml:space="preserve">²⁰˒²⁶. This creates a window of maximum EA availability </w:t>
      </w:r>
      <w:r w:rsidR="00E438EE">
        <w:t>-</w:t>
      </w:r>
      <w:r>
        <w:t xml:space="preserve"> and therefore maximum </w:t>
      </w:r>
      <w:proofErr w:type="spellStart"/>
      <w:r>
        <w:t>Fn</w:t>
      </w:r>
      <w:proofErr w:type="spellEnd"/>
      <w:r>
        <w:t xml:space="preserve"> </w:t>
      </w:r>
      <w:proofErr w:type="spellStart"/>
      <w:r>
        <w:t>colonisation</w:t>
      </w:r>
      <w:proofErr w:type="spellEnd"/>
      <w:r>
        <w:t xml:space="preserve"> potential </w:t>
      </w:r>
      <w:r w:rsidR="00E438EE">
        <w:t>-</w:t>
      </w:r>
      <w:r>
        <w:t xml:space="preserve"> at 28–40 weeks of gestation, precisely when PE most commonly presents²⁹. The convergence of maximum EA availability, maximum immune privilege (Th2 shift, HLA-G expression, uterine NK cell </w:t>
      </w:r>
      <w:proofErr w:type="gramStart"/>
      <w:r>
        <w:t>reprogramming)³</w:t>
      </w:r>
      <w:proofErr w:type="gramEnd"/>
      <w:r>
        <w:t>⁰, and maximum fetal blood flow demands creates a triple vulnerability that explains the third-trimester peak of PE.</w:t>
      </w:r>
    </w:p>
    <w:p w14:paraId="54DEFB2E" w14:textId="77777777" w:rsidR="00E90484" w:rsidRDefault="00000000" w:rsidP="000833BF">
      <w:pPr>
        <w:pStyle w:val="Heading30"/>
      </w:pPr>
      <w:r>
        <w:t>The MegL Toxic Switch: From Silent Colonisation to Vascular Damage</w:t>
      </w:r>
    </w:p>
    <w:p w14:paraId="0956E490" w14:textId="77777777" w:rsidR="00E90484" w:rsidRDefault="00000000">
      <w:pPr>
        <w:pStyle w:val="BodyText"/>
      </w:pPr>
      <w:r>
        <w:t>MegL is the primary H₂S-producing enzyme and a key virulence factor</w:t>
      </w:r>
    </w:p>
    <w:p w14:paraId="658B1B69" w14:textId="2C00F241" w:rsidR="00E90484" w:rsidRPr="000833BF" w:rsidRDefault="00000000">
      <w:pPr>
        <w:pStyle w:val="BodyText"/>
        <w:rPr>
          <w:b/>
          <w:bCs/>
        </w:rPr>
      </w:pPr>
      <w:r>
        <w:t>L-methionine γ-lyase (</w:t>
      </w:r>
      <w:proofErr w:type="spellStart"/>
      <w:r>
        <w:t>MegL</w:t>
      </w:r>
      <w:proofErr w:type="spellEnd"/>
      <w:r>
        <w:t xml:space="preserve">; EC 4.4.1.11) is a pyridoxal 5′-phosphate (PLP)-dependent enzyme that </w:t>
      </w:r>
      <w:proofErr w:type="spellStart"/>
      <w:r>
        <w:t>catalyses</w:t>
      </w:r>
      <w:proofErr w:type="spellEnd"/>
      <w:r>
        <w:t xml:space="preserve"> the α,β-elimination of L-cysteine to produce H₂S, pyruvate, and ammonia (NH₃), and the γ-elimination of L-methionine to produce methanethiol, α-</w:t>
      </w:r>
      <w:proofErr w:type="spellStart"/>
      <w:r>
        <w:t>ketobutyrate</w:t>
      </w:r>
      <w:proofErr w:type="spellEnd"/>
      <w:r>
        <w:t xml:space="preserve">, and NH₃³¹˒³². Chen et al. (2022) demonstrated through systematic genetic dissection that </w:t>
      </w:r>
      <w:proofErr w:type="spellStart"/>
      <w:r>
        <w:t>MegL</w:t>
      </w:r>
      <w:proofErr w:type="spellEnd"/>
      <w:r>
        <w:t xml:space="preserve"> </w:t>
      </w:r>
      <w:r w:rsidR="00E438EE">
        <w:t>-</w:t>
      </w:r>
      <w:r>
        <w:t xml:space="preserve"> not the previously assumed CysK1 </w:t>
      </w:r>
      <w:r w:rsidR="00E438EE">
        <w:t>-</w:t>
      </w:r>
      <w:r>
        <w:t xml:space="preserve"> is the major H₂S-producing enzyme in vivo in Fn¹⁹. </w:t>
      </w:r>
      <w:r w:rsidRPr="000833BF">
        <w:rPr>
          <w:b/>
          <w:bCs/>
        </w:rPr>
        <w:t>Key findings include:</w:t>
      </w:r>
    </w:p>
    <w:p w14:paraId="6ED7CE7A" w14:textId="77777777" w:rsidR="000833BF" w:rsidRDefault="00000000" w:rsidP="000833BF">
      <w:pPr>
        <w:pStyle w:val="BodyText"/>
        <w:numPr>
          <w:ilvl w:val="0"/>
          <w:numId w:val="6"/>
        </w:numPr>
      </w:pPr>
      <w:r>
        <w:t>megL is the most highly expressed H₂S-associated gene, with &gt;100-fold induction at late exponential phase¹⁹</w:t>
      </w:r>
    </w:p>
    <w:p w14:paraId="67938339" w14:textId="77777777" w:rsidR="000833BF" w:rsidRDefault="00000000" w:rsidP="000833BF">
      <w:pPr>
        <w:pStyle w:val="BodyText"/>
        <w:numPr>
          <w:ilvl w:val="0"/>
          <w:numId w:val="6"/>
        </w:numPr>
      </w:pPr>
      <w:r>
        <w:t xml:space="preserve">The </w:t>
      </w:r>
      <w:proofErr w:type="spellStart"/>
      <w:r>
        <w:t>ΔmegL</w:t>
      </w:r>
      <w:proofErr w:type="spellEnd"/>
      <w:r>
        <w:t xml:space="preserve"> mutant shows drastically reduced H₂S production, while ΔcysK1, ΔcysK2, and </w:t>
      </w:r>
      <w:proofErr w:type="spellStart"/>
      <w:r>
        <w:t>Δhly</w:t>
      </w:r>
      <w:proofErr w:type="spellEnd"/>
      <w:r>
        <w:t xml:space="preserve"> mutants retain near-normal H₂S output¹⁹</w:t>
      </w:r>
    </w:p>
    <w:p w14:paraId="4E9B0588" w14:textId="6DB583F0" w:rsidR="00E90484" w:rsidRDefault="00000000" w:rsidP="000833BF">
      <w:pPr>
        <w:pStyle w:val="BodyText"/>
        <w:numPr>
          <w:ilvl w:val="0"/>
          <w:numId w:val="6"/>
        </w:numPr>
      </w:pPr>
      <w:r>
        <w:lastRenderedPageBreak/>
        <w:t>CysK1, despite high in vitro enzymatic activity, is essential for lanthionine biosynthesis (a peptidoglycan component) rather than H₂S production¹⁹</w:t>
      </w:r>
    </w:p>
    <w:p w14:paraId="2C300FC5" w14:textId="77777777" w:rsidR="00E90484" w:rsidRDefault="00000000" w:rsidP="00ED6293">
      <w:pPr>
        <w:pStyle w:val="BodyText"/>
        <w:numPr>
          <w:ilvl w:val="0"/>
          <w:numId w:val="6"/>
        </w:numPr>
      </w:pPr>
      <w:r>
        <w:t xml:space="preserve">megL expression is modulated by the two-component system </w:t>
      </w:r>
      <w:proofErr w:type="spellStart"/>
      <w:r>
        <w:t>ModSR</w:t>
      </w:r>
      <w:proofErr w:type="spellEnd"/>
      <w:r>
        <w:t>: ModR represses megL, while ModS is required for megL expression¹⁹</w:t>
      </w:r>
    </w:p>
    <w:p w14:paraId="4AD9B87B" w14:textId="77777777" w:rsidR="00E90484" w:rsidRDefault="00000000" w:rsidP="00ED6293">
      <w:pPr>
        <w:pStyle w:val="BodyText"/>
        <w:numPr>
          <w:ilvl w:val="0"/>
          <w:numId w:val="6"/>
        </w:numPr>
      </w:pPr>
      <w:r>
        <w:t xml:space="preserve">Most significantly, the ΔmegL mutant is severely attenuated in a murine model of preterm birth: approximately 40% pup survival versus near-zero for wild-type </w:t>
      </w:r>
      <w:proofErr w:type="spellStart"/>
      <w:r>
        <w:t>Fn</w:t>
      </w:r>
      <w:proofErr w:type="spellEnd"/>
      <w:r>
        <w:t xml:space="preserve"> (P &lt; 0.001, Mantel-Cox </w:t>
      </w:r>
      <w:proofErr w:type="gramStart"/>
      <w:r>
        <w:t>test)¹</w:t>
      </w:r>
      <w:proofErr w:type="gramEnd"/>
      <w:r>
        <w:t xml:space="preserve">⁹. The ΔmegL mutant shows significantly reduced colonisation of the placenta, amniotic fluid, and fetus at 72 hours post-infection, indicating that </w:t>
      </w:r>
      <w:proofErr w:type="spellStart"/>
      <w:r>
        <w:t>MegL</w:t>
      </w:r>
      <w:proofErr w:type="spellEnd"/>
      <w:r>
        <w:t xml:space="preserve"> is required not merely for bacterial survival but for placental tissue damage and dissemination¹⁹.</w:t>
      </w:r>
    </w:p>
    <w:p w14:paraId="1D871E34" w14:textId="77777777" w:rsidR="00E90484" w:rsidRDefault="00000000" w:rsidP="00ED6293">
      <w:pPr>
        <w:pStyle w:val="BodyText"/>
        <w:numPr>
          <w:ilvl w:val="0"/>
          <w:numId w:val="6"/>
        </w:numPr>
      </w:pPr>
      <w:r>
        <w:t xml:space="preserve">EutV suppresses </w:t>
      </w:r>
      <w:proofErr w:type="spellStart"/>
      <w:r>
        <w:t>megL</w:t>
      </w:r>
      <w:proofErr w:type="spellEnd"/>
      <w:r>
        <w:t xml:space="preserve"> by &gt;36-fold: the metabolic switch</w:t>
      </w:r>
    </w:p>
    <w:p w14:paraId="639E6A5C" w14:textId="0BCBD771" w:rsidR="00E90484" w:rsidRDefault="00000000">
      <w:pPr>
        <w:pStyle w:val="BodyText"/>
      </w:pPr>
      <w:r>
        <w:t xml:space="preserve">The critical mechanistic link between EA metabolism and </w:t>
      </w:r>
      <w:proofErr w:type="spellStart"/>
      <w:r>
        <w:t>MegL</w:t>
      </w:r>
      <w:proofErr w:type="spellEnd"/>
      <w:r>
        <w:t xml:space="preserve">-mediated virulence was established by Franklin et al. (2025), who demonstrated that deletion of </w:t>
      </w:r>
      <w:proofErr w:type="spellStart"/>
      <w:r>
        <w:t>eutV</w:t>
      </w:r>
      <w:proofErr w:type="spellEnd"/>
      <w:r>
        <w:t xml:space="preserve"> </w:t>
      </w:r>
      <w:r w:rsidR="00E438EE">
        <w:t>-</w:t>
      </w:r>
      <w:r>
        <w:t xml:space="preserve"> the EA-responsive response regulator </w:t>
      </w:r>
      <w:r w:rsidR="00E438EE">
        <w:t>-</w:t>
      </w:r>
      <w:r>
        <w:t xml:space="preserve"> causes </w:t>
      </w:r>
      <w:proofErr w:type="spellStart"/>
      <w:r>
        <w:t>megL</w:t>
      </w:r>
      <w:proofErr w:type="spellEnd"/>
      <w:r>
        <w:t xml:space="preserve"> expression to increase by &gt;36-fold²⁰. This finding reveals a </w:t>
      </w:r>
      <w:r w:rsidRPr="00ED6293">
        <w:rPr>
          <w:b/>
          <w:bCs/>
        </w:rPr>
        <w:t>metabolic switch architecture:</w:t>
      </w:r>
    </w:p>
    <w:p w14:paraId="4F633179" w14:textId="77777777" w:rsidR="00E90484" w:rsidRDefault="00000000" w:rsidP="00ED6293">
      <w:pPr>
        <w:pStyle w:val="BodyText"/>
        <w:numPr>
          <w:ilvl w:val="0"/>
          <w:numId w:val="7"/>
        </w:numPr>
      </w:pPr>
      <w:r>
        <w:t xml:space="preserve">EA-rich state (normal third trimester): Free EA activates EutW (sensor kinase) → EutV is phosphorylated → eut operon is transcribed → BMCs assemble → EA is safely catabolised to acetaldehyde and then acetyl-CoA → </w:t>
      </w:r>
      <w:proofErr w:type="spellStart"/>
      <w:r>
        <w:t>MegL</w:t>
      </w:r>
      <w:proofErr w:type="spellEnd"/>
      <w:r>
        <w:t xml:space="preserve"> is suppressed → Fn colonises silently without producing vascular toxins.</w:t>
      </w:r>
    </w:p>
    <w:p w14:paraId="2B6DD7EF" w14:textId="77777777" w:rsidR="00E90484" w:rsidRDefault="00000000" w:rsidP="00ED6293">
      <w:pPr>
        <w:pStyle w:val="BodyText"/>
        <w:numPr>
          <w:ilvl w:val="0"/>
          <w:numId w:val="7"/>
        </w:numPr>
      </w:pPr>
      <w:r>
        <w:t xml:space="preserve">EA-depleted state (placental </w:t>
      </w:r>
      <w:proofErr w:type="spellStart"/>
      <w:r>
        <w:t>ischaemia</w:t>
      </w:r>
      <w:proofErr w:type="spellEnd"/>
      <w:r>
        <w:t xml:space="preserve"> in PE): EA becomes limiting → EutV is inactive → eut operon is silenced → BMC assembly fails → </w:t>
      </w:r>
      <w:proofErr w:type="spellStart"/>
      <w:r>
        <w:t>MegL</w:t>
      </w:r>
      <w:proofErr w:type="spellEnd"/>
      <w:r>
        <w:t xml:space="preserve"> is derepressed (&gt;36-fold increase) → L-cysteine and L-methionine are </w:t>
      </w:r>
      <w:proofErr w:type="spellStart"/>
      <w:r>
        <w:t>catabolised</w:t>
      </w:r>
      <w:proofErr w:type="spellEnd"/>
      <w:r>
        <w:t xml:space="preserve"> → H₂S + NH₃ are produced at pathological concentrations → endothelial dysfunction → clinical PE.</w:t>
      </w:r>
    </w:p>
    <w:p w14:paraId="3001B1A9" w14:textId="61885086" w:rsidR="00E90484" w:rsidRDefault="00000000">
      <w:pPr>
        <w:pStyle w:val="BodyText"/>
      </w:pPr>
      <w:r>
        <w:t xml:space="preserve">This switch architecture is reinforced by the </w:t>
      </w:r>
      <w:proofErr w:type="spellStart"/>
      <w:r>
        <w:t>Rnf</w:t>
      </w:r>
      <w:proofErr w:type="spellEnd"/>
      <w:r>
        <w:t xml:space="preserve"> complex, a membrane-bound </w:t>
      </w:r>
      <w:proofErr w:type="spellStart"/>
      <w:proofErr w:type="gramStart"/>
      <w:r>
        <w:t>ferredoxin:NAD</w:t>
      </w:r>
      <w:proofErr w:type="spellEnd"/>
      <w:proofErr w:type="gramEnd"/>
      <w:r>
        <w:t xml:space="preserve">⁺ oxidoreductase that serves as the metabolic engine for EA catabolism. Britton et al. (2024) showed that the ΔrnfC mutant is severely attenuated in the preterm birth model, with reduced catabolism of cysteine, histidine, lysine, and methionine, diminished H₂S and butyrate production, and reduced ATP generation³³. Britton et al. (2025) further demonstrated that ΔrnfC reduces expression of all seven two-component system response regulators in </w:t>
      </w:r>
      <w:proofErr w:type="spellStart"/>
      <w:r>
        <w:t>Fn</w:t>
      </w:r>
      <w:proofErr w:type="spellEnd"/>
      <w:r>
        <w:t xml:space="preserve"> </w:t>
      </w:r>
      <w:r w:rsidR="00E438EE">
        <w:t>-</w:t>
      </w:r>
      <w:r>
        <w:t xml:space="preserve"> including </w:t>
      </w:r>
      <w:proofErr w:type="spellStart"/>
      <w:r>
        <w:t>EutV</w:t>
      </w:r>
      <w:proofErr w:type="spellEnd"/>
      <w:r>
        <w:t xml:space="preserve"> </w:t>
      </w:r>
      <w:r w:rsidR="00E438EE">
        <w:t>-</w:t>
      </w:r>
      <w:r>
        <w:t xml:space="preserve"> establishing the Rnf complex as the upstream metabolic regulator of the entire EutV–MegL axis³⁴. The complete regulatory circuit is therefore: EA → EutH (import) → </w:t>
      </w:r>
      <w:proofErr w:type="spellStart"/>
      <w:r>
        <w:t>EutBC</w:t>
      </w:r>
      <w:proofErr w:type="spellEnd"/>
      <w:r>
        <w:t xml:space="preserve"> (catabolism) → acetyl-CoA → </w:t>
      </w:r>
      <w:proofErr w:type="spellStart"/>
      <w:r>
        <w:t>Rnf</w:t>
      </w:r>
      <w:proofErr w:type="spellEnd"/>
      <w:r>
        <w:t xml:space="preserve"> complex (energy conservation) → ATP/IMF → TCS activation (including EutV) → megL suppression.</w:t>
      </w:r>
    </w:p>
    <w:p w14:paraId="4C095EF6" w14:textId="77777777" w:rsidR="00E90484" w:rsidRDefault="00000000" w:rsidP="00ED6293">
      <w:pPr>
        <w:pStyle w:val="Heading30"/>
      </w:pPr>
      <w:r>
        <w:t>The ModSR connection: the missing environmental signal</w:t>
      </w:r>
    </w:p>
    <w:p w14:paraId="1E8CD08C" w14:textId="45C34977" w:rsidR="00E90484" w:rsidRDefault="00000000">
      <w:pPr>
        <w:pStyle w:val="BodyText"/>
      </w:pPr>
      <w:r>
        <w:t xml:space="preserve">Chen et al. (2022) identified ModSR as a key regulator of megL expression but left the environmental signal sensed by ModS unidentified¹⁹. The present model proposes that ModS senses a metabolic consequence of EA depletion </w:t>
      </w:r>
      <w:r w:rsidR="00E438EE">
        <w:t>-</w:t>
      </w:r>
      <w:r>
        <w:t xml:space="preserve"> potentially reduced acetyl-CoA flux, altered NAD⁺/NADH ratio, or accumulation of </w:t>
      </w:r>
      <w:proofErr w:type="gramStart"/>
      <w:r>
        <w:t>an EA</w:t>
      </w:r>
      <w:proofErr w:type="gramEnd"/>
      <w:r>
        <w:t xml:space="preserve"> catabolism intermediate. This </w:t>
      </w:r>
      <w:r>
        <w:lastRenderedPageBreak/>
        <w:t>proposal is supported by the observation that Rnf deficiency (which disrupts EA-derived acetyl-CoA metabolism) reduces expression of all response regulators including ModR³⁴, and that the CarR regulon (identified by Wu et al., 2021) includes both megL and lysine metabolism genes³⁵, suggesting coordinate regulation of amino acid catabolism pathways.</w:t>
      </w:r>
    </w:p>
    <w:p w14:paraId="1B2941C9" w14:textId="77777777" w:rsidR="00E90484" w:rsidRDefault="00000000" w:rsidP="00ED6293">
      <w:pPr>
        <w:pStyle w:val="Heading30"/>
      </w:pPr>
      <w:r>
        <w:t>The Dual Toxin: H₂S and NH₃ as Synergistic Endothelial Poisons</w:t>
      </w:r>
    </w:p>
    <w:p w14:paraId="18CD74F8" w14:textId="77777777" w:rsidR="00E90484" w:rsidRDefault="00000000" w:rsidP="00ED6293">
      <w:pPr>
        <w:pStyle w:val="Heading40"/>
      </w:pPr>
      <w:r>
        <w:t>H₂S at pathological concentrations: four mechanisms of endothelial damage</w:t>
      </w:r>
    </w:p>
    <w:p w14:paraId="1D0D035F" w14:textId="77777777" w:rsidR="00E90484" w:rsidRDefault="00000000">
      <w:pPr>
        <w:pStyle w:val="BodyText"/>
      </w:pPr>
      <w:r>
        <w:t>At physiological concentrations (nanomolar range), endogenous H₂S produced by host cystathionine β-synthase (CBS) and cystathionine γ-lyase (CSE) is cytoprotective, activating K_ATP channels and promoting vasodilation³⁶. However, at the micromolar-to-millimolar concentrations achievable by MegL in a confined placental niche, H₂S becomes a potent cellular toxin through four distinct mechanisms:</w:t>
      </w:r>
    </w:p>
    <w:p w14:paraId="17470C9C" w14:textId="6BC4BB17" w:rsidR="00E90484" w:rsidRDefault="00000000" w:rsidP="00ED6293">
      <w:pPr>
        <w:pStyle w:val="BodyText"/>
        <w:numPr>
          <w:ilvl w:val="0"/>
          <w:numId w:val="8"/>
        </w:numPr>
      </w:pPr>
      <w:r>
        <w:t xml:space="preserve">Mechanism 1: </w:t>
      </w:r>
      <w:r w:rsidRPr="00ED6293">
        <w:rPr>
          <w:b/>
          <w:bCs/>
        </w:rPr>
        <w:t>Cytochrome c oxidase inhibition</w:t>
      </w:r>
      <w:r>
        <w:t xml:space="preserve">. H₂S inhibits Complex IV of the mitochondrial electron transport chain by binding to the ferric iron of the haem a₃ centre, with an IC₅₀ of approximately 0.2 μM in isolated mitochondria³⁶˒³⁷. In endothelial cells, this reduces ATP production, impairs mitochondrial membrane potential, and triggers the intrinsic apoptosis pathway. The resulting </w:t>
      </w:r>
      <w:proofErr w:type="spellStart"/>
      <w:r>
        <w:t>pseudohypoxic</w:t>
      </w:r>
      <w:proofErr w:type="spellEnd"/>
      <w:r>
        <w:t xml:space="preserve"> state activates hypoxia-inducible factor 1α (HIF-1α), which upregulates sFlt-1 </w:t>
      </w:r>
      <w:r w:rsidR="00E438EE">
        <w:t>-</w:t>
      </w:r>
      <w:r>
        <w:t xml:space="preserve"> the primary anti-angiogenic biomarker of PE³⁸˒³⁹.</w:t>
      </w:r>
    </w:p>
    <w:p w14:paraId="1BBB7FE3" w14:textId="3FAA926C" w:rsidR="00E90484" w:rsidRDefault="00000000" w:rsidP="00ED6293">
      <w:pPr>
        <w:pStyle w:val="BodyText"/>
        <w:numPr>
          <w:ilvl w:val="0"/>
          <w:numId w:val="8"/>
        </w:numPr>
      </w:pPr>
      <w:r>
        <w:t xml:space="preserve">Mechanism 2: </w:t>
      </w:r>
      <w:proofErr w:type="spellStart"/>
      <w:r w:rsidRPr="00ED6293">
        <w:rPr>
          <w:b/>
          <w:bCs/>
        </w:rPr>
        <w:t>eNOS</w:t>
      </w:r>
      <w:proofErr w:type="spellEnd"/>
      <w:r w:rsidRPr="00ED6293">
        <w:rPr>
          <w:b/>
          <w:bCs/>
        </w:rPr>
        <w:t xml:space="preserve"> uncoupling and NO scavenging.</w:t>
      </w:r>
      <w:r>
        <w:t xml:space="preserve"> Endothelial nitric oxide synthase (eNOS) is the primary source of nitric oxide (NO) in the placental vasculature, and NO is essential for spiral artery vasodilation and placental perfusion⁴⁰. H₂S reacts directly with NO to form nitrosothiols and polysulfides, reducing free NO bioavailability³⁶. At higher concentrations, H₂S oxidises the tetrahydrobiopterin (BH₄) cofactor of eNOS, causing the enzyme to produce superoxide (O₂⁻) rather than NO </w:t>
      </w:r>
      <w:r w:rsidR="00E438EE">
        <w:t>-</w:t>
      </w:r>
      <w:r>
        <w:t xml:space="preserve"> a process termed eNOS uncoupling that amplifies oxidative stress and further reduces NO bioavailability⁴⁰˒⁴¹. Conrad et al. (2012) demonstrated that </w:t>
      </w:r>
      <w:proofErr w:type="spellStart"/>
      <w:r>
        <w:t>eNOS</w:t>
      </w:r>
      <w:proofErr w:type="spellEnd"/>
      <w:r>
        <w:t>-deficient mice develop a PE-like syndrome with elevated sFlt-1, hypertension, and proteinuria³⁹, establishing that eNOS inhibition alone is sufficient to cause PE.</w:t>
      </w:r>
    </w:p>
    <w:p w14:paraId="0325D852" w14:textId="37E089AF" w:rsidR="00E90484" w:rsidRDefault="00000000" w:rsidP="00ED6293">
      <w:pPr>
        <w:pStyle w:val="BodyText"/>
        <w:numPr>
          <w:ilvl w:val="0"/>
          <w:numId w:val="8"/>
        </w:numPr>
      </w:pPr>
      <w:r>
        <w:t xml:space="preserve">Mechanism 3: </w:t>
      </w:r>
      <w:r w:rsidRPr="00ED6293">
        <w:rPr>
          <w:b/>
          <w:bCs/>
        </w:rPr>
        <w:t>sFlt-1 upregulation via HIF-1α.</w:t>
      </w:r>
      <w:r>
        <w:t xml:space="preserve"> The pseudohypoxic state created by H₂S-mediated Complex IV inhibition activates HIF-1α, which directly upregulates sFlt-1 transcription³⁸. sFlt-1 sequesters vascular endothelial growth factor (VEGF) and placental growth factor (PlGF), preventing them from binding their endothelial receptors and impairing angiogenesis. The sFlt-1/</w:t>
      </w:r>
      <w:proofErr w:type="spellStart"/>
      <w:r>
        <w:t>PlGF</w:t>
      </w:r>
      <w:proofErr w:type="spellEnd"/>
      <w:r>
        <w:t xml:space="preserve"> ratio </w:t>
      </w:r>
      <w:r w:rsidR="00E438EE">
        <w:t>-</w:t>
      </w:r>
      <w:r>
        <w:t xml:space="preserve"> the most clinically validated biomarker of PE </w:t>
      </w:r>
      <w:r w:rsidR="00E438EE">
        <w:t>-</w:t>
      </w:r>
      <w:r>
        <w:t xml:space="preserve"> rises progressively in the weeks preceding clinical PE onset⁴², consistent with a model of cumulative H₂S-mediated sFlt-1 induction.</w:t>
      </w:r>
    </w:p>
    <w:p w14:paraId="5DE885BF" w14:textId="77777777" w:rsidR="00E90484" w:rsidRDefault="00000000" w:rsidP="0064025D">
      <w:pPr>
        <w:pStyle w:val="BodyText"/>
        <w:numPr>
          <w:ilvl w:val="0"/>
          <w:numId w:val="8"/>
        </w:numPr>
      </w:pPr>
      <w:r>
        <w:t xml:space="preserve">Mechanism 4: </w:t>
      </w:r>
      <w:proofErr w:type="spellStart"/>
      <w:r>
        <w:t>Peroxynitrite</w:t>
      </w:r>
      <w:proofErr w:type="spellEnd"/>
      <w:r>
        <w:t xml:space="preserve"> formation and oxidative damage. H₂S reacts with superoxide to form peroxynitrite (ONOO⁻), a potent oxidant that nitrosylates tyrosine residues in proteins⁴³. Merz et al. (2025) found significantly elevated nitrotyrosine formation in the uterine myometrium of late-onset PE patients⁴⁴, </w:t>
      </w:r>
      <w:r>
        <w:lastRenderedPageBreak/>
        <w:t xml:space="preserve">consistent with </w:t>
      </w:r>
      <w:proofErr w:type="spellStart"/>
      <w:r>
        <w:t>peroxynitrite</w:t>
      </w:r>
      <w:proofErr w:type="spellEnd"/>
      <w:r>
        <w:t xml:space="preserve">-mediated oxidative damage. This finding is directly predicted by the </w:t>
      </w:r>
      <w:proofErr w:type="spellStart"/>
      <w:r>
        <w:t>MegL</w:t>
      </w:r>
      <w:proofErr w:type="spellEnd"/>
      <w:r>
        <w:t xml:space="preserve"> model: </w:t>
      </w:r>
      <w:proofErr w:type="spellStart"/>
      <w:r>
        <w:t>MegL</w:t>
      </w:r>
      <w:proofErr w:type="spellEnd"/>
      <w:r>
        <w:t>-derived H₂S, combined with superoxide from uncoupled eNOS, would generate peroxynitrite at the maternal–fetal interface.</w:t>
      </w:r>
    </w:p>
    <w:p w14:paraId="3C5FE6ED" w14:textId="77777777" w:rsidR="00E90484" w:rsidRDefault="00000000" w:rsidP="0064025D">
      <w:pPr>
        <w:pStyle w:val="Heading40"/>
      </w:pPr>
      <w:r>
        <w:t>NH₃: the overlooked co-toxin</w:t>
      </w:r>
    </w:p>
    <w:p w14:paraId="71FF5011" w14:textId="77777777" w:rsidR="0064025D" w:rsidRDefault="00000000">
      <w:pPr>
        <w:pStyle w:val="BodyText"/>
      </w:pPr>
      <w:r>
        <w:t>Chen et al. (2022) noted that MegL produces NH₃ as a by-product of L-cysteine and L-methionine catabolism but interpreted it solely as “a nitrogen source” for Fn metabolism¹⁹. This interpretation overlooks the established toxicology of NH₃ at pathological concentrations</w:t>
      </w:r>
      <w:r w:rsidRPr="0064025D">
        <w:rPr>
          <w:b/>
          <w:bCs/>
        </w:rPr>
        <w:t xml:space="preserve">. In the hepatic encephalopathy literature, NH₃ at concentrations &gt;0.5 mM impairs endothelial and neuronal function through three mechanisms: </w:t>
      </w:r>
    </w:p>
    <w:p w14:paraId="157B3656" w14:textId="77777777" w:rsidR="0064025D" w:rsidRDefault="00000000" w:rsidP="0064025D">
      <w:pPr>
        <w:pStyle w:val="BodyText"/>
        <w:numPr>
          <w:ilvl w:val="0"/>
          <w:numId w:val="10"/>
        </w:numPr>
      </w:pPr>
      <w:r>
        <w:t>inhibition of α-ketoglutarate dehydrogenase in the tricarboxylic acid (TCA) cycle, reducing ATP production⁴</w:t>
      </w:r>
      <w:proofErr w:type="gramStart"/>
      <w:r>
        <w:t>⁵;</w:t>
      </w:r>
      <w:proofErr w:type="gramEnd"/>
      <w:r>
        <w:t xml:space="preserve"> </w:t>
      </w:r>
    </w:p>
    <w:p w14:paraId="4B48E9DA" w14:textId="77777777" w:rsidR="0064025D" w:rsidRDefault="00000000" w:rsidP="0064025D">
      <w:pPr>
        <w:pStyle w:val="BodyText"/>
        <w:numPr>
          <w:ilvl w:val="0"/>
          <w:numId w:val="10"/>
        </w:numPr>
      </w:pPr>
      <w:r>
        <w:t xml:space="preserve">(2) </w:t>
      </w:r>
      <w:proofErr w:type="spellStart"/>
      <w:r>
        <w:t>alkalinisation</w:t>
      </w:r>
      <w:proofErr w:type="spellEnd"/>
      <w:r>
        <w:t xml:space="preserve"> of intracellular pH, impairing enzyme function and ion channel activity⁴</w:t>
      </w:r>
      <w:proofErr w:type="gramStart"/>
      <w:r>
        <w:t>⁵;</w:t>
      </w:r>
      <w:proofErr w:type="gramEnd"/>
      <w:r>
        <w:t xml:space="preserve"> </w:t>
      </w:r>
    </w:p>
    <w:p w14:paraId="462AEA37" w14:textId="618F2345" w:rsidR="00E90484" w:rsidRDefault="00000000" w:rsidP="0064025D">
      <w:pPr>
        <w:pStyle w:val="BodyText"/>
        <w:numPr>
          <w:ilvl w:val="0"/>
          <w:numId w:val="10"/>
        </w:numPr>
      </w:pPr>
      <w:r>
        <w:t>(3) promotion of reactive nitrogen species (RNS) formation⁴⁵.</w:t>
      </w:r>
    </w:p>
    <w:p w14:paraId="77680AD5" w14:textId="2BF0425B" w:rsidR="00E90484" w:rsidRDefault="00000000">
      <w:pPr>
        <w:pStyle w:val="BodyText"/>
      </w:pPr>
      <w:r>
        <w:t xml:space="preserve">In the confined placental niche </w:t>
      </w:r>
      <w:r w:rsidR="00E438EE">
        <w:t>-</w:t>
      </w:r>
      <w:r>
        <w:t xml:space="preserve"> distant from hepatic urea cycle detoxification </w:t>
      </w:r>
      <w:r w:rsidR="00E438EE">
        <w:t>-</w:t>
      </w:r>
      <w:r>
        <w:t xml:space="preserve"> NH₃ produced by MegL can accumulate to pathological concentrations. The synergy between H₂S and NH₃ is mechanistically specific: </w:t>
      </w:r>
      <w:r w:rsidRPr="0064025D">
        <w:rPr>
          <w:b/>
          <w:bCs/>
        </w:rPr>
        <w:t>H₂S inhibits Complex IV (reducing mitochondrial ATP)</w:t>
      </w:r>
      <w:r>
        <w:t>, while NH₃ inhibits α-ketoglutarate dehydrogenase (reducing TCA cycle flux). Together, they create a dual block on endothelial energy metabolism that neither compound achieves alone. Furthermore</w:t>
      </w:r>
      <w:r w:rsidRPr="0064025D">
        <w:rPr>
          <w:b/>
          <w:bCs/>
        </w:rPr>
        <w:t>, NH₃ depletes α-ketoglutarate needed for glutamate synthesis</w:t>
      </w:r>
      <w:r>
        <w:t>, disrupting the arginine → NO pathway and compounding the eNOS dysfunction caused by H₂S⁴⁵˒⁴⁶.</w:t>
      </w:r>
    </w:p>
    <w:p w14:paraId="6D7478D3" w14:textId="7B756232" w:rsidR="00E90484" w:rsidRDefault="00000000">
      <w:pPr>
        <w:pStyle w:val="BodyText"/>
      </w:pPr>
      <w:r>
        <w:t xml:space="preserve">This co-toxin model explains a puzzling observation from Chen et al. (2022): the ΔmegL mutant is far more attenuated in virulence than would be predicted from H₂S loss alone, given that CysK2 and Hly also produce some H₂S¹⁹. The disproportionate virulence defect of ΔmegL is explained by the loss of both H₂S and NH₃ </w:t>
      </w:r>
      <w:r w:rsidR="00E438EE">
        <w:t>-</w:t>
      </w:r>
      <w:r>
        <w:t xml:space="preserve"> the synergistic dual toxin that no other Fn enzyme produces.</w:t>
      </w:r>
    </w:p>
    <w:p w14:paraId="284C22C7" w14:textId="77777777" w:rsidR="00E90484" w:rsidRDefault="00000000" w:rsidP="00750022">
      <w:pPr>
        <w:pStyle w:val="Heading30"/>
      </w:pPr>
      <w:r>
        <w:t>The Listeria Negative Control: Why EA Sensing Without MegL Does Not Cause PE</w:t>
      </w:r>
    </w:p>
    <w:p w14:paraId="0BDEE3F8" w14:textId="329C61B5" w:rsidR="00E90484" w:rsidRDefault="00000000">
      <w:pPr>
        <w:pStyle w:val="BodyText"/>
      </w:pPr>
      <w:r>
        <w:t xml:space="preserve">Listeria monocytogenes (Lm) provides a powerful natural negative control for the MegL hypothesis. Lm possesses a complete 17-gene </w:t>
      </w:r>
      <w:proofErr w:type="spellStart"/>
      <w:r>
        <w:t>eut</w:t>
      </w:r>
      <w:proofErr w:type="spellEnd"/>
      <w:r>
        <w:t xml:space="preserve"> operon, </w:t>
      </w:r>
      <w:proofErr w:type="spellStart"/>
      <w:r>
        <w:t>utilises</w:t>
      </w:r>
      <w:proofErr w:type="spellEnd"/>
      <w:r>
        <w:t xml:space="preserve"> EA as a carbon and nitrogen source, forms BMCs during intracellular infection, and invades trophoblasts via </w:t>
      </w:r>
      <w:proofErr w:type="spellStart"/>
      <w:r>
        <w:t>InlA</w:t>
      </w:r>
      <w:proofErr w:type="spellEnd"/>
      <w:r>
        <w:t xml:space="preserve"> binding to E-cadherin </w:t>
      </w:r>
      <w:r w:rsidR="00E438EE">
        <w:t>-</w:t>
      </w:r>
      <w:r>
        <w:t xml:space="preserve"> the same receptor used by Fn’s FadA⁴⁷˒⁴⁸. Pregnant women are 18-fold more susceptible to listeriosis than the general population⁴⁹, and Lm efficiently colonises the placenta.</w:t>
      </w:r>
    </w:p>
    <w:p w14:paraId="00DC5300" w14:textId="16CF0EB5" w:rsidR="00E90484" w:rsidRDefault="00000000">
      <w:pPr>
        <w:pStyle w:val="BodyText"/>
      </w:pPr>
      <w:r w:rsidRPr="0064025D">
        <w:rPr>
          <w:b/>
          <w:bCs/>
        </w:rPr>
        <w:t>Yet Lm does not cause PE⁴</w:t>
      </w:r>
      <w:r>
        <w:t xml:space="preserve">⁹. It causes miscarriage, stillbirth, preterm labour, and neonatal sepsis </w:t>
      </w:r>
      <w:r w:rsidR="00E438EE">
        <w:t>-</w:t>
      </w:r>
      <w:r>
        <w:t xml:space="preserve"> acute inflammatory pathologies </w:t>
      </w:r>
      <w:r w:rsidR="00E438EE">
        <w:t>-</w:t>
      </w:r>
      <w:r>
        <w:t xml:space="preserve"> but not the chronic vascular syndrome </w:t>
      </w:r>
      <w:r>
        <w:lastRenderedPageBreak/>
        <w:t xml:space="preserve">of hypertension and proteinuria⁴⁹. The molecular explanation is straightforward: Lm does not possess MegL. When Lm exhausts EA in the intracellular environment, it simply replicates less efficiently; it does not switch to a toxic metabolic programme producing H₂S and NH₃⁴⁷. The comparison is </w:t>
      </w:r>
      <w:proofErr w:type="spellStart"/>
      <w:r>
        <w:t>summarised</w:t>
      </w:r>
      <w:proofErr w:type="spellEnd"/>
      <w:r>
        <w:t xml:space="preserve"> in Table 1.</w:t>
      </w:r>
    </w:p>
    <w:p w14:paraId="1C95EDC7" w14:textId="77777777" w:rsidR="00750022" w:rsidRDefault="00750022">
      <w:pPr>
        <w:pStyle w:val="BodyText"/>
      </w:pPr>
    </w:p>
    <w:p w14:paraId="6C930A72" w14:textId="77777777" w:rsidR="00750022" w:rsidRPr="00750022" w:rsidRDefault="00750022" w:rsidP="00750022">
      <w:pPr>
        <w:pStyle w:val="BodyText"/>
        <w:rPr>
          <w:lang w:val="en-US"/>
        </w:rPr>
      </w:pPr>
      <w:r w:rsidRPr="00750022">
        <w:rPr>
          <w:lang w:val="en-US"/>
        </w:rPr>
        <w:t xml:space="preserve">Here is the properly formatted Markdown table from your document, detailing the comparative biology of </w:t>
      </w:r>
      <w:r w:rsidRPr="00750022">
        <w:rPr>
          <w:i/>
          <w:iCs/>
          <w:lang w:val="en-US"/>
        </w:rPr>
        <w:t xml:space="preserve">F. </w:t>
      </w:r>
      <w:proofErr w:type="spellStart"/>
      <w:r w:rsidRPr="00750022">
        <w:rPr>
          <w:i/>
          <w:iCs/>
          <w:lang w:val="en-US"/>
        </w:rPr>
        <w:t>nucleatum</w:t>
      </w:r>
      <w:proofErr w:type="spellEnd"/>
      <w:r w:rsidRPr="00750022">
        <w:rPr>
          <w:lang w:val="en-US"/>
        </w:rPr>
        <w:t xml:space="preserve"> and </w:t>
      </w:r>
      <w:r w:rsidRPr="00750022">
        <w:rPr>
          <w:i/>
          <w:iCs/>
          <w:lang w:val="en-US"/>
        </w:rPr>
        <w:t>L. monocytogenes</w:t>
      </w:r>
      <w:r w:rsidRPr="00750022">
        <w:rPr>
          <w:lang w:val="en-US"/>
        </w:rPr>
        <w:t xml:space="preserve"> in the placenta:</w:t>
      </w:r>
    </w:p>
    <w:p w14:paraId="6004B165" w14:textId="77777777" w:rsidR="00750022" w:rsidRPr="00750022" w:rsidRDefault="00750022" w:rsidP="00750022">
      <w:pPr>
        <w:pStyle w:val="Heading40"/>
        <w:rPr>
          <w:lang w:val="en-US"/>
        </w:rPr>
      </w:pPr>
      <w:r w:rsidRPr="00750022">
        <w:rPr>
          <w:lang w:val="en-US"/>
        </w:rPr>
        <w:t xml:space="preserve">Table 1. Comparative biology of </w:t>
      </w:r>
      <w:proofErr w:type="spellStart"/>
      <w:r w:rsidRPr="00750022">
        <w:rPr>
          <w:lang w:val="en-US"/>
        </w:rPr>
        <w:t>Fn</w:t>
      </w:r>
      <w:proofErr w:type="spellEnd"/>
      <w:r w:rsidRPr="00750022">
        <w:rPr>
          <w:lang w:val="en-US"/>
        </w:rPr>
        <w:t xml:space="preserve"> and </w:t>
      </w:r>
      <w:proofErr w:type="spellStart"/>
      <w:r w:rsidRPr="00750022">
        <w:rPr>
          <w:lang w:val="en-US"/>
        </w:rPr>
        <w:t>Lm</w:t>
      </w:r>
      <w:proofErr w:type="spellEnd"/>
      <w:r w:rsidRPr="00750022">
        <w:rPr>
          <w:lang w:val="en-US"/>
        </w:rPr>
        <w:t xml:space="preserve"> in the placenta</w:t>
      </w:r>
    </w:p>
    <w:tbl>
      <w:tblPr>
        <w:tblStyle w:val="PlainTable5"/>
        <w:tblW w:w="0" w:type="auto"/>
        <w:tblLook w:val="04A0" w:firstRow="1" w:lastRow="0" w:firstColumn="1" w:lastColumn="0" w:noHBand="0" w:noVBand="1"/>
      </w:tblPr>
      <w:tblGrid>
        <w:gridCol w:w="2282"/>
        <w:gridCol w:w="3953"/>
        <w:gridCol w:w="3250"/>
      </w:tblGrid>
      <w:tr w:rsidR="00750022" w:rsidRPr="00750022" w14:paraId="56A8F510" w14:textId="77777777" w:rsidTr="007500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1664CE" w14:textId="77777777" w:rsidR="00750022" w:rsidRPr="00750022" w:rsidRDefault="00750022" w:rsidP="00750022">
            <w:pPr>
              <w:pStyle w:val="BodyText"/>
              <w:rPr>
                <w:b/>
                <w:bCs/>
                <w:lang w:val="en-US"/>
              </w:rPr>
            </w:pPr>
            <w:r w:rsidRPr="00750022">
              <w:rPr>
                <w:b/>
                <w:bCs/>
                <w:lang w:val="en-US"/>
              </w:rPr>
              <w:t>Feature</w:t>
            </w:r>
          </w:p>
        </w:tc>
        <w:tc>
          <w:tcPr>
            <w:tcW w:w="0" w:type="auto"/>
            <w:hideMark/>
          </w:tcPr>
          <w:p w14:paraId="09260902" w14:textId="77777777" w:rsidR="00750022" w:rsidRPr="00750022" w:rsidRDefault="00750022" w:rsidP="00750022">
            <w:pPr>
              <w:pStyle w:val="BodyText"/>
              <w:cnfStyle w:val="100000000000" w:firstRow="1" w:lastRow="0" w:firstColumn="0" w:lastColumn="0" w:oddVBand="0" w:evenVBand="0" w:oddHBand="0" w:evenHBand="0" w:firstRowFirstColumn="0" w:firstRowLastColumn="0" w:lastRowFirstColumn="0" w:lastRowLastColumn="0"/>
              <w:rPr>
                <w:b/>
                <w:bCs/>
                <w:lang w:val="en-US"/>
              </w:rPr>
            </w:pPr>
            <w:r w:rsidRPr="00750022">
              <w:rPr>
                <w:b/>
                <w:bCs/>
                <w:lang w:val="en-US"/>
              </w:rPr>
              <w:t xml:space="preserve">F. </w:t>
            </w:r>
            <w:proofErr w:type="spellStart"/>
            <w:r w:rsidRPr="00750022">
              <w:rPr>
                <w:b/>
                <w:bCs/>
                <w:lang w:val="en-US"/>
              </w:rPr>
              <w:t>nucleatum</w:t>
            </w:r>
            <w:proofErr w:type="spellEnd"/>
          </w:p>
        </w:tc>
        <w:tc>
          <w:tcPr>
            <w:tcW w:w="0" w:type="auto"/>
            <w:hideMark/>
          </w:tcPr>
          <w:p w14:paraId="133440DC" w14:textId="77777777" w:rsidR="00750022" w:rsidRPr="00750022" w:rsidRDefault="00750022" w:rsidP="00750022">
            <w:pPr>
              <w:pStyle w:val="BodyText"/>
              <w:cnfStyle w:val="100000000000" w:firstRow="1" w:lastRow="0" w:firstColumn="0" w:lastColumn="0" w:oddVBand="0" w:evenVBand="0" w:oddHBand="0" w:evenHBand="0" w:firstRowFirstColumn="0" w:firstRowLastColumn="0" w:lastRowFirstColumn="0" w:lastRowLastColumn="0"/>
              <w:rPr>
                <w:b/>
                <w:bCs/>
                <w:lang w:val="en-US"/>
              </w:rPr>
            </w:pPr>
            <w:r w:rsidRPr="00750022">
              <w:rPr>
                <w:b/>
                <w:bCs/>
                <w:lang w:val="en-US"/>
              </w:rPr>
              <w:t>L. monocytogenes</w:t>
            </w:r>
          </w:p>
        </w:tc>
      </w:tr>
      <w:tr w:rsidR="00750022" w:rsidRPr="00750022" w14:paraId="5DBF0D92"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E490C" w14:textId="77777777" w:rsidR="00750022" w:rsidRPr="00750022" w:rsidRDefault="00750022" w:rsidP="00750022">
            <w:pPr>
              <w:pStyle w:val="BodyText"/>
              <w:rPr>
                <w:lang w:val="en-US"/>
              </w:rPr>
            </w:pPr>
            <w:proofErr w:type="spellStart"/>
            <w:r w:rsidRPr="00750022">
              <w:rPr>
                <w:b/>
                <w:bCs/>
                <w:lang w:val="en-US"/>
              </w:rPr>
              <w:t>eut</w:t>
            </w:r>
            <w:proofErr w:type="spellEnd"/>
            <w:r w:rsidRPr="00750022">
              <w:rPr>
                <w:b/>
                <w:bCs/>
                <w:lang w:val="en-US"/>
              </w:rPr>
              <w:t xml:space="preserve"> operon</w:t>
            </w:r>
          </w:p>
        </w:tc>
        <w:tc>
          <w:tcPr>
            <w:tcW w:w="0" w:type="auto"/>
            <w:hideMark/>
          </w:tcPr>
          <w:p w14:paraId="46D509DB"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 xml:space="preserve">Present (21 </w:t>
            </w:r>
            <w:proofErr w:type="gramStart"/>
            <w:r w:rsidRPr="00750022">
              <w:rPr>
                <w:lang w:val="en-US"/>
              </w:rPr>
              <w:t>genes)²</w:t>
            </w:r>
            <w:proofErr w:type="gramEnd"/>
            <w:r w:rsidRPr="00750022">
              <w:rPr>
                <w:lang w:val="en-US"/>
              </w:rPr>
              <w:t>⁰</w:t>
            </w:r>
          </w:p>
        </w:tc>
        <w:tc>
          <w:tcPr>
            <w:tcW w:w="0" w:type="auto"/>
            <w:hideMark/>
          </w:tcPr>
          <w:p w14:paraId="75E7EEBF"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 xml:space="preserve">Present (17 </w:t>
            </w:r>
            <w:proofErr w:type="gramStart"/>
            <w:r w:rsidRPr="00750022">
              <w:rPr>
                <w:lang w:val="en-US"/>
              </w:rPr>
              <w:t>genes)⁴</w:t>
            </w:r>
            <w:proofErr w:type="gramEnd"/>
            <w:r w:rsidRPr="00750022">
              <w:rPr>
                <w:lang w:val="en-US"/>
              </w:rPr>
              <w:t>⁷</w:t>
            </w:r>
          </w:p>
        </w:tc>
      </w:tr>
      <w:tr w:rsidR="00750022" w:rsidRPr="00750022" w14:paraId="6C2AAB91"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0578815E" w14:textId="77777777" w:rsidR="00750022" w:rsidRPr="00750022" w:rsidRDefault="00750022" w:rsidP="00750022">
            <w:pPr>
              <w:pStyle w:val="BodyText"/>
              <w:rPr>
                <w:lang w:val="en-US"/>
              </w:rPr>
            </w:pPr>
            <w:r w:rsidRPr="00750022">
              <w:rPr>
                <w:b/>
                <w:bCs/>
                <w:lang w:val="en-US"/>
              </w:rPr>
              <w:t>EA catabolism</w:t>
            </w:r>
          </w:p>
        </w:tc>
        <w:tc>
          <w:tcPr>
            <w:tcW w:w="0" w:type="auto"/>
            <w:hideMark/>
          </w:tcPr>
          <w:p w14:paraId="7B07B921"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Yes (</w:t>
            </w:r>
            <w:proofErr w:type="spellStart"/>
            <w:r w:rsidRPr="00750022">
              <w:rPr>
                <w:lang w:val="en-US"/>
              </w:rPr>
              <w:t>EutBC</w:t>
            </w:r>
            <w:proofErr w:type="spellEnd"/>
            <w:r w:rsidRPr="00750022">
              <w:rPr>
                <w:lang w:val="en-US"/>
              </w:rPr>
              <w:t xml:space="preserve"> → </w:t>
            </w:r>
            <w:proofErr w:type="gramStart"/>
            <w:r w:rsidRPr="00750022">
              <w:rPr>
                <w:lang w:val="en-US"/>
              </w:rPr>
              <w:t>acetaldehyde)²</w:t>
            </w:r>
            <w:proofErr w:type="gramEnd"/>
            <w:r w:rsidRPr="00750022">
              <w:rPr>
                <w:lang w:val="en-US"/>
              </w:rPr>
              <w:t>⁰</w:t>
            </w:r>
          </w:p>
        </w:tc>
        <w:tc>
          <w:tcPr>
            <w:tcW w:w="0" w:type="auto"/>
            <w:hideMark/>
          </w:tcPr>
          <w:p w14:paraId="725619DA"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Yes (</w:t>
            </w:r>
            <w:proofErr w:type="spellStart"/>
            <w:r w:rsidRPr="00750022">
              <w:rPr>
                <w:lang w:val="en-US"/>
              </w:rPr>
              <w:t>EutBC</w:t>
            </w:r>
            <w:proofErr w:type="spellEnd"/>
            <w:r w:rsidRPr="00750022">
              <w:rPr>
                <w:lang w:val="en-US"/>
              </w:rPr>
              <w:t xml:space="preserve"> → </w:t>
            </w:r>
            <w:proofErr w:type="gramStart"/>
            <w:r w:rsidRPr="00750022">
              <w:rPr>
                <w:lang w:val="en-US"/>
              </w:rPr>
              <w:t>acetaldehyde)⁴</w:t>
            </w:r>
            <w:proofErr w:type="gramEnd"/>
            <w:r w:rsidRPr="00750022">
              <w:rPr>
                <w:lang w:val="en-US"/>
              </w:rPr>
              <w:t>⁷</w:t>
            </w:r>
          </w:p>
        </w:tc>
      </w:tr>
      <w:tr w:rsidR="00750022" w:rsidRPr="00750022" w14:paraId="314D457C"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4BEC1" w14:textId="77777777" w:rsidR="00750022" w:rsidRPr="00750022" w:rsidRDefault="00750022" w:rsidP="00750022">
            <w:pPr>
              <w:pStyle w:val="BodyText"/>
              <w:rPr>
                <w:lang w:val="en-US"/>
              </w:rPr>
            </w:pPr>
            <w:r w:rsidRPr="00750022">
              <w:rPr>
                <w:b/>
                <w:bCs/>
                <w:lang w:val="en-US"/>
              </w:rPr>
              <w:t>BMC formation</w:t>
            </w:r>
          </w:p>
        </w:tc>
        <w:tc>
          <w:tcPr>
            <w:tcW w:w="0" w:type="auto"/>
            <w:hideMark/>
          </w:tcPr>
          <w:p w14:paraId="1D16CD4E"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proofErr w:type="gramStart"/>
            <w:r w:rsidRPr="00750022">
              <w:rPr>
                <w:lang w:val="en-US"/>
              </w:rPr>
              <w:t>Yes</w:t>
            </w:r>
            <w:proofErr w:type="gramEnd"/>
            <w:r w:rsidRPr="00750022">
              <w:rPr>
                <w:lang w:val="en-US"/>
              </w:rPr>
              <w:t>²⁰</w:t>
            </w:r>
          </w:p>
        </w:tc>
        <w:tc>
          <w:tcPr>
            <w:tcW w:w="0" w:type="auto"/>
            <w:hideMark/>
          </w:tcPr>
          <w:p w14:paraId="0ECEDEFD"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proofErr w:type="gramStart"/>
            <w:r w:rsidRPr="00750022">
              <w:rPr>
                <w:lang w:val="en-US"/>
              </w:rPr>
              <w:t>Yes</w:t>
            </w:r>
            <w:proofErr w:type="gramEnd"/>
            <w:r w:rsidRPr="00750022">
              <w:rPr>
                <w:lang w:val="en-US"/>
              </w:rPr>
              <w:t>⁴⁷</w:t>
            </w:r>
          </w:p>
        </w:tc>
      </w:tr>
      <w:tr w:rsidR="00750022" w:rsidRPr="00750022" w14:paraId="15FF95BA"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7C6F7B03" w14:textId="77777777" w:rsidR="00750022" w:rsidRPr="00750022" w:rsidRDefault="00750022" w:rsidP="00750022">
            <w:pPr>
              <w:pStyle w:val="BodyText"/>
              <w:rPr>
                <w:lang w:val="en-US"/>
              </w:rPr>
            </w:pPr>
            <w:r w:rsidRPr="00750022">
              <w:rPr>
                <w:b/>
                <w:bCs/>
                <w:lang w:val="en-US"/>
              </w:rPr>
              <w:t>E-cadherin binding</w:t>
            </w:r>
          </w:p>
        </w:tc>
        <w:tc>
          <w:tcPr>
            <w:tcW w:w="0" w:type="auto"/>
            <w:hideMark/>
          </w:tcPr>
          <w:p w14:paraId="5BCF218B"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Yes (</w:t>
            </w:r>
            <w:proofErr w:type="spellStart"/>
            <w:r w:rsidRPr="00750022">
              <w:rPr>
                <w:lang w:val="en-US"/>
              </w:rPr>
              <w:t>FadA</w:t>
            </w:r>
            <w:proofErr w:type="spellEnd"/>
            <w:r w:rsidRPr="00750022">
              <w:rPr>
                <w:lang w:val="en-US"/>
              </w:rPr>
              <w:t>)¹⁶</w:t>
            </w:r>
          </w:p>
        </w:tc>
        <w:tc>
          <w:tcPr>
            <w:tcW w:w="0" w:type="auto"/>
            <w:hideMark/>
          </w:tcPr>
          <w:p w14:paraId="3446AA4A"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Yes (</w:t>
            </w:r>
            <w:proofErr w:type="spellStart"/>
            <w:r w:rsidRPr="00750022">
              <w:rPr>
                <w:lang w:val="en-US"/>
              </w:rPr>
              <w:t>InlA</w:t>
            </w:r>
            <w:proofErr w:type="spellEnd"/>
            <w:r w:rsidRPr="00750022">
              <w:rPr>
                <w:lang w:val="en-US"/>
              </w:rPr>
              <w:t>)⁴⁸</w:t>
            </w:r>
          </w:p>
        </w:tc>
      </w:tr>
      <w:tr w:rsidR="00750022" w:rsidRPr="00750022" w14:paraId="7D7812EE"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FC6EF" w14:textId="77777777" w:rsidR="00750022" w:rsidRPr="00750022" w:rsidRDefault="00750022" w:rsidP="00750022">
            <w:pPr>
              <w:pStyle w:val="BodyText"/>
              <w:rPr>
                <w:lang w:val="en-US"/>
              </w:rPr>
            </w:pPr>
            <w:r w:rsidRPr="00750022">
              <w:rPr>
                <w:b/>
                <w:bCs/>
                <w:lang w:val="en-US"/>
              </w:rPr>
              <w:t>Placental tropism</w:t>
            </w:r>
          </w:p>
        </w:tc>
        <w:tc>
          <w:tcPr>
            <w:tcW w:w="0" w:type="auto"/>
            <w:hideMark/>
          </w:tcPr>
          <w:p w14:paraId="231F6171"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 xml:space="preserve">Yes (Fap2 + </w:t>
            </w:r>
            <w:proofErr w:type="spellStart"/>
            <w:proofErr w:type="gramStart"/>
            <w:r w:rsidRPr="00750022">
              <w:rPr>
                <w:lang w:val="en-US"/>
              </w:rPr>
              <w:t>FadA</w:t>
            </w:r>
            <w:proofErr w:type="spellEnd"/>
            <w:r w:rsidRPr="00750022">
              <w:rPr>
                <w:lang w:val="en-US"/>
              </w:rPr>
              <w:t>)¹</w:t>
            </w:r>
            <w:proofErr w:type="gramEnd"/>
            <w:r w:rsidRPr="00750022">
              <w:rPr>
                <w:lang w:val="en-US"/>
              </w:rPr>
              <w:t>⁵</w:t>
            </w:r>
            <w:r w:rsidRPr="00750022">
              <w:rPr>
                <w:rFonts w:ascii="Arial" w:hAnsi="Arial" w:cs="Arial"/>
                <w:lang w:val="en-US"/>
              </w:rPr>
              <w:t>˒</w:t>
            </w:r>
            <w:r w:rsidRPr="00750022">
              <w:rPr>
                <w:rFonts w:ascii="Aptos" w:hAnsi="Aptos" w:cs="Aptos"/>
                <w:lang w:val="en-US"/>
              </w:rPr>
              <w:t>¹⁶</w:t>
            </w:r>
          </w:p>
        </w:tc>
        <w:tc>
          <w:tcPr>
            <w:tcW w:w="0" w:type="auto"/>
            <w:hideMark/>
          </w:tcPr>
          <w:p w14:paraId="05EA02BF"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Yes (</w:t>
            </w:r>
            <w:proofErr w:type="spellStart"/>
            <w:r w:rsidRPr="00750022">
              <w:rPr>
                <w:lang w:val="en-US"/>
              </w:rPr>
              <w:t>InlA</w:t>
            </w:r>
            <w:proofErr w:type="spellEnd"/>
            <w:r w:rsidRPr="00750022">
              <w:rPr>
                <w:lang w:val="en-US"/>
              </w:rPr>
              <w:t xml:space="preserve"> + </w:t>
            </w:r>
            <w:proofErr w:type="spellStart"/>
            <w:proofErr w:type="gramStart"/>
            <w:r w:rsidRPr="00750022">
              <w:rPr>
                <w:lang w:val="en-US"/>
              </w:rPr>
              <w:t>InlB</w:t>
            </w:r>
            <w:proofErr w:type="spellEnd"/>
            <w:r w:rsidRPr="00750022">
              <w:rPr>
                <w:lang w:val="en-US"/>
              </w:rPr>
              <w:t>)⁴</w:t>
            </w:r>
            <w:proofErr w:type="gramEnd"/>
            <w:r w:rsidRPr="00750022">
              <w:rPr>
                <w:lang w:val="en-US"/>
              </w:rPr>
              <w:t>⁸</w:t>
            </w:r>
          </w:p>
        </w:tc>
      </w:tr>
      <w:tr w:rsidR="00750022" w:rsidRPr="00750022" w14:paraId="25CE5FE8"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027B217C" w14:textId="77777777" w:rsidR="00750022" w:rsidRPr="00750022" w:rsidRDefault="00750022" w:rsidP="00750022">
            <w:pPr>
              <w:pStyle w:val="BodyText"/>
              <w:rPr>
                <w:lang w:val="en-US"/>
              </w:rPr>
            </w:pPr>
            <w:proofErr w:type="spellStart"/>
            <w:r w:rsidRPr="00750022">
              <w:rPr>
                <w:b/>
                <w:bCs/>
                <w:lang w:val="en-US"/>
              </w:rPr>
              <w:t>MegL</w:t>
            </w:r>
            <w:proofErr w:type="spellEnd"/>
            <w:r w:rsidRPr="00750022">
              <w:rPr>
                <w:b/>
                <w:bCs/>
                <w:lang w:val="en-US"/>
              </w:rPr>
              <w:t xml:space="preserve"> (H₂S + NH₃)</w:t>
            </w:r>
          </w:p>
        </w:tc>
        <w:tc>
          <w:tcPr>
            <w:tcW w:w="0" w:type="auto"/>
            <w:hideMark/>
          </w:tcPr>
          <w:p w14:paraId="48C0509D"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proofErr w:type="gramStart"/>
            <w:r w:rsidRPr="00750022">
              <w:rPr>
                <w:lang w:val="en-US"/>
              </w:rPr>
              <w:t>Yes</w:t>
            </w:r>
            <w:proofErr w:type="gramEnd"/>
            <w:r w:rsidRPr="00750022">
              <w:rPr>
                <w:lang w:val="en-US"/>
              </w:rPr>
              <w:t>¹⁹</w:t>
            </w:r>
          </w:p>
        </w:tc>
        <w:tc>
          <w:tcPr>
            <w:tcW w:w="0" w:type="auto"/>
            <w:hideMark/>
          </w:tcPr>
          <w:p w14:paraId="14E16437"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No</w:t>
            </w:r>
          </w:p>
        </w:tc>
      </w:tr>
      <w:tr w:rsidR="00750022" w:rsidRPr="00750022" w14:paraId="009BCF4B"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21D85" w14:textId="77777777" w:rsidR="00750022" w:rsidRPr="00750022" w:rsidRDefault="00750022" w:rsidP="00750022">
            <w:pPr>
              <w:pStyle w:val="BodyText"/>
              <w:rPr>
                <w:lang w:val="en-US"/>
              </w:rPr>
            </w:pPr>
            <w:r w:rsidRPr="00750022">
              <w:rPr>
                <w:b/>
                <w:bCs/>
                <w:lang w:val="en-US"/>
              </w:rPr>
              <w:t>Preeclampsia</w:t>
            </w:r>
          </w:p>
        </w:tc>
        <w:tc>
          <w:tcPr>
            <w:tcW w:w="0" w:type="auto"/>
            <w:hideMark/>
          </w:tcPr>
          <w:p w14:paraId="78737A23"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 xml:space="preserve">**Yes (15–35% of PE </w:t>
            </w:r>
            <w:proofErr w:type="gramStart"/>
            <w:r w:rsidRPr="00750022">
              <w:rPr>
                <w:lang w:val="en-US"/>
              </w:rPr>
              <w:t>placentas)*</w:t>
            </w:r>
            <w:proofErr w:type="gramEnd"/>
            <w:r w:rsidRPr="00750022">
              <w:rPr>
                <w:lang w:val="en-US"/>
              </w:rPr>
              <w:t>*⁶</w:t>
            </w:r>
            <w:r w:rsidRPr="00750022">
              <w:rPr>
                <w:rFonts w:ascii="Cambria Math" w:hAnsi="Cambria Math" w:cs="Cambria Math"/>
                <w:lang w:val="en-US"/>
              </w:rPr>
              <w:t>⁻</w:t>
            </w:r>
            <w:r w:rsidRPr="00750022">
              <w:rPr>
                <w:rFonts w:ascii="Aptos" w:hAnsi="Aptos" w:cs="Aptos"/>
                <w:lang w:val="en-US"/>
              </w:rPr>
              <w:t>⁸</w:t>
            </w:r>
          </w:p>
        </w:tc>
        <w:tc>
          <w:tcPr>
            <w:tcW w:w="0" w:type="auto"/>
            <w:hideMark/>
          </w:tcPr>
          <w:p w14:paraId="0121969E"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No⁴⁹</w:t>
            </w:r>
          </w:p>
        </w:tc>
      </w:tr>
      <w:tr w:rsidR="00750022" w:rsidRPr="00750022" w14:paraId="5B59DCC0"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746C23F2" w14:textId="77777777" w:rsidR="00750022" w:rsidRPr="00750022" w:rsidRDefault="00750022" w:rsidP="00750022">
            <w:pPr>
              <w:pStyle w:val="BodyText"/>
              <w:rPr>
                <w:lang w:val="en-US"/>
              </w:rPr>
            </w:pPr>
            <w:r w:rsidRPr="00750022">
              <w:rPr>
                <w:b/>
                <w:bCs/>
                <w:lang w:val="en-US"/>
              </w:rPr>
              <w:t>Preterm birth</w:t>
            </w:r>
          </w:p>
        </w:tc>
        <w:tc>
          <w:tcPr>
            <w:tcW w:w="0" w:type="auto"/>
            <w:hideMark/>
          </w:tcPr>
          <w:p w14:paraId="73ABECFD"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proofErr w:type="gramStart"/>
            <w:r w:rsidRPr="00750022">
              <w:rPr>
                <w:lang w:val="en-US"/>
              </w:rPr>
              <w:t>Yes</w:t>
            </w:r>
            <w:proofErr w:type="gramEnd"/>
            <w:r w:rsidRPr="00750022">
              <w:rPr>
                <w:lang w:val="en-US"/>
              </w:rPr>
              <w:t>¹⁸</w:t>
            </w:r>
          </w:p>
        </w:tc>
        <w:tc>
          <w:tcPr>
            <w:tcW w:w="0" w:type="auto"/>
            <w:hideMark/>
          </w:tcPr>
          <w:p w14:paraId="25AF90FC"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proofErr w:type="gramStart"/>
            <w:r w:rsidRPr="00750022">
              <w:rPr>
                <w:lang w:val="en-US"/>
              </w:rPr>
              <w:t>Yes</w:t>
            </w:r>
            <w:proofErr w:type="gramEnd"/>
            <w:r w:rsidRPr="00750022">
              <w:rPr>
                <w:lang w:val="en-US"/>
              </w:rPr>
              <w:t>⁴⁹</w:t>
            </w:r>
          </w:p>
        </w:tc>
      </w:tr>
    </w:tbl>
    <w:p w14:paraId="3ECE3472" w14:textId="77777777" w:rsidR="00750022" w:rsidRDefault="00750022">
      <w:pPr>
        <w:pStyle w:val="BodyText"/>
      </w:pPr>
    </w:p>
    <w:p w14:paraId="61774C71" w14:textId="77777777" w:rsidR="00E90484" w:rsidRDefault="00000000">
      <w:pPr>
        <w:pStyle w:val="BodyText"/>
      </w:pPr>
      <w:r>
        <w:t>This comparison constitutes one of the strongest pieces of indirect evidence for the MegL hypothesis: two organisms with nearly identical placental biology produce different clinical outcomes, and the molecular difference is MegL.</w:t>
      </w:r>
    </w:p>
    <w:p w14:paraId="38BC7C6B" w14:textId="77777777" w:rsidR="00E90484" w:rsidRDefault="00000000" w:rsidP="00750022">
      <w:pPr>
        <w:pStyle w:val="Heading30"/>
      </w:pPr>
      <w:r>
        <w:t>Comparative Pathogen Analysis: H₂S/NH₃ Production Predicts PE Association</w:t>
      </w:r>
    </w:p>
    <w:p w14:paraId="31FDE7E5" w14:textId="77777777" w:rsidR="00E90484" w:rsidRDefault="00000000">
      <w:pPr>
        <w:pStyle w:val="BodyText"/>
      </w:pPr>
      <w:r>
        <w:t xml:space="preserve">The MegL hypothesis generates a testable prediction across the broader landscape of pregnancy-associated pathogens: organisms that produce H₂S via </w:t>
      </w:r>
      <w:proofErr w:type="spellStart"/>
      <w:r>
        <w:t>MegL</w:t>
      </w:r>
      <w:proofErr w:type="spellEnd"/>
      <w:r>
        <w:t xml:space="preserve">-like enzymes should show stronger PE associations than organisms that lack such enzymes. Table 2 </w:t>
      </w:r>
      <w:proofErr w:type="spellStart"/>
      <w:r>
        <w:t>summarises</w:t>
      </w:r>
      <w:proofErr w:type="spellEnd"/>
      <w:r>
        <w:t xml:space="preserve"> the available evidence.</w:t>
      </w:r>
    </w:p>
    <w:p w14:paraId="2C985ED5" w14:textId="77777777" w:rsidR="00750022" w:rsidRDefault="00750022">
      <w:pPr>
        <w:pStyle w:val="BodyText"/>
      </w:pPr>
    </w:p>
    <w:p w14:paraId="3DDEABB9" w14:textId="77777777" w:rsidR="00750022" w:rsidRDefault="00750022">
      <w:pPr>
        <w:pStyle w:val="BodyText"/>
      </w:pPr>
    </w:p>
    <w:p w14:paraId="66D8011A" w14:textId="77777777" w:rsidR="00750022" w:rsidRPr="00750022" w:rsidRDefault="00750022" w:rsidP="00750022">
      <w:pPr>
        <w:pStyle w:val="Heading40"/>
        <w:rPr>
          <w:lang w:val="en-US"/>
        </w:rPr>
      </w:pPr>
      <w:r w:rsidRPr="00750022">
        <w:rPr>
          <w:lang w:val="en-US"/>
        </w:rPr>
        <w:t>Table 2. Pathogen H₂S/NH₃ production and PE association</w:t>
      </w:r>
    </w:p>
    <w:tbl>
      <w:tblPr>
        <w:tblStyle w:val="PlainTable5"/>
        <w:tblW w:w="0" w:type="auto"/>
        <w:tblLook w:val="04A0" w:firstRow="1" w:lastRow="0" w:firstColumn="1" w:lastColumn="0" w:noHBand="0" w:noVBand="1"/>
      </w:tblPr>
      <w:tblGrid>
        <w:gridCol w:w="2049"/>
        <w:gridCol w:w="1291"/>
        <w:gridCol w:w="1184"/>
        <w:gridCol w:w="1163"/>
        <w:gridCol w:w="1579"/>
        <w:gridCol w:w="2310"/>
      </w:tblGrid>
      <w:tr w:rsidR="00750022" w:rsidRPr="00750022" w14:paraId="50E2DD62" w14:textId="77777777" w:rsidTr="007500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7AF1D43" w14:textId="77777777" w:rsidR="00750022" w:rsidRPr="00750022" w:rsidRDefault="00750022" w:rsidP="00750022">
            <w:pPr>
              <w:pStyle w:val="BodyText"/>
              <w:jc w:val="left"/>
              <w:rPr>
                <w:b/>
                <w:bCs/>
                <w:lang w:val="en-US"/>
              </w:rPr>
            </w:pPr>
            <w:r w:rsidRPr="00750022">
              <w:rPr>
                <w:b/>
                <w:bCs/>
                <w:lang w:val="en-US"/>
              </w:rPr>
              <w:t>Pathogen</w:t>
            </w:r>
          </w:p>
        </w:tc>
        <w:tc>
          <w:tcPr>
            <w:tcW w:w="0" w:type="auto"/>
            <w:hideMark/>
          </w:tcPr>
          <w:p w14:paraId="64024C82" w14:textId="77777777" w:rsidR="00750022" w:rsidRPr="00750022" w:rsidRDefault="00750022" w:rsidP="00750022">
            <w:pPr>
              <w:pStyle w:val="BodyText"/>
              <w:cnfStyle w:val="100000000000" w:firstRow="1" w:lastRow="0" w:firstColumn="0" w:lastColumn="0" w:oddVBand="0" w:evenVBand="0" w:oddHBand="0" w:evenHBand="0" w:firstRowFirstColumn="0" w:firstRowLastColumn="0" w:lastRowFirstColumn="0" w:lastRowLastColumn="0"/>
              <w:rPr>
                <w:b/>
                <w:bCs/>
                <w:lang w:val="en-US"/>
              </w:rPr>
            </w:pPr>
            <w:r w:rsidRPr="00750022">
              <w:rPr>
                <w:b/>
                <w:bCs/>
                <w:lang w:val="en-US"/>
              </w:rPr>
              <w:t>H₂S (</w:t>
            </w:r>
            <w:proofErr w:type="spellStart"/>
            <w:r w:rsidRPr="00750022">
              <w:rPr>
                <w:b/>
                <w:bCs/>
                <w:lang w:val="en-US"/>
              </w:rPr>
              <w:t>MegL</w:t>
            </w:r>
            <w:proofErr w:type="spellEnd"/>
            <w:r w:rsidRPr="00750022">
              <w:rPr>
                <w:b/>
                <w:bCs/>
                <w:lang w:val="en-US"/>
              </w:rPr>
              <w:t>-like)</w:t>
            </w:r>
          </w:p>
        </w:tc>
        <w:tc>
          <w:tcPr>
            <w:tcW w:w="0" w:type="auto"/>
            <w:hideMark/>
          </w:tcPr>
          <w:p w14:paraId="473E07C5" w14:textId="77777777" w:rsidR="00750022" w:rsidRPr="00750022" w:rsidRDefault="00750022" w:rsidP="00750022">
            <w:pPr>
              <w:pStyle w:val="BodyText"/>
              <w:cnfStyle w:val="100000000000" w:firstRow="1" w:lastRow="0" w:firstColumn="0" w:lastColumn="0" w:oddVBand="0" w:evenVBand="0" w:oddHBand="0" w:evenHBand="0" w:firstRowFirstColumn="0" w:firstRowLastColumn="0" w:lastRowFirstColumn="0" w:lastRowLastColumn="0"/>
              <w:rPr>
                <w:b/>
                <w:bCs/>
                <w:lang w:val="en-US"/>
              </w:rPr>
            </w:pPr>
            <w:r w:rsidRPr="00750022">
              <w:rPr>
                <w:b/>
                <w:bCs/>
                <w:lang w:val="en-US"/>
              </w:rPr>
              <w:t>NH₃</w:t>
            </w:r>
          </w:p>
        </w:tc>
        <w:tc>
          <w:tcPr>
            <w:tcW w:w="0" w:type="auto"/>
            <w:hideMark/>
          </w:tcPr>
          <w:p w14:paraId="31BCE3AA" w14:textId="77777777" w:rsidR="00750022" w:rsidRPr="00750022" w:rsidRDefault="00750022" w:rsidP="00750022">
            <w:pPr>
              <w:pStyle w:val="BodyText"/>
              <w:cnfStyle w:val="100000000000" w:firstRow="1" w:lastRow="0" w:firstColumn="0" w:lastColumn="0" w:oddVBand="0" w:evenVBand="0" w:oddHBand="0" w:evenHBand="0" w:firstRowFirstColumn="0" w:firstRowLastColumn="0" w:lastRowFirstColumn="0" w:lastRowLastColumn="0"/>
              <w:rPr>
                <w:b/>
                <w:bCs/>
                <w:lang w:val="en-US"/>
              </w:rPr>
            </w:pPr>
            <w:r w:rsidRPr="00750022">
              <w:rPr>
                <w:b/>
                <w:bCs/>
                <w:lang w:val="en-US"/>
              </w:rPr>
              <w:t>EA sensing</w:t>
            </w:r>
          </w:p>
        </w:tc>
        <w:tc>
          <w:tcPr>
            <w:tcW w:w="0" w:type="auto"/>
            <w:hideMark/>
          </w:tcPr>
          <w:p w14:paraId="3676B518" w14:textId="77777777" w:rsidR="00750022" w:rsidRPr="00750022" w:rsidRDefault="00750022" w:rsidP="00750022">
            <w:pPr>
              <w:pStyle w:val="BodyText"/>
              <w:cnfStyle w:val="100000000000" w:firstRow="1" w:lastRow="0" w:firstColumn="0" w:lastColumn="0" w:oddVBand="0" w:evenVBand="0" w:oddHBand="0" w:evenHBand="0" w:firstRowFirstColumn="0" w:firstRowLastColumn="0" w:lastRowFirstColumn="0" w:lastRowLastColumn="0"/>
              <w:rPr>
                <w:b/>
                <w:bCs/>
                <w:lang w:val="en-US"/>
              </w:rPr>
            </w:pPr>
            <w:r w:rsidRPr="00750022">
              <w:rPr>
                <w:b/>
                <w:bCs/>
                <w:lang w:val="en-US"/>
              </w:rPr>
              <w:t>PE association</w:t>
            </w:r>
          </w:p>
        </w:tc>
        <w:tc>
          <w:tcPr>
            <w:tcW w:w="0" w:type="auto"/>
            <w:hideMark/>
          </w:tcPr>
          <w:p w14:paraId="030E2660" w14:textId="77777777" w:rsidR="00750022" w:rsidRPr="00750022" w:rsidRDefault="00750022" w:rsidP="00750022">
            <w:pPr>
              <w:pStyle w:val="BodyText"/>
              <w:cnfStyle w:val="100000000000" w:firstRow="1" w:lastRow="0" w:firstColumn="0" w:lastColumn="0" w:oddVBand="0" w:evenVBand="0" w:oddHBand="0" w:evenHBand="0" w:firstRowFirstColumn="0" w:firstRowLastColumn="0" w:lastRowFirstColumn="0" w:lastRowLastColumn="0"/>
              <w:rPr>
                <w:b/>
                <w:bCs/>
                <w:lang w:val="en-US"/>
              </w:rPr>
            </w:pPr>
            <w:r w:rsidRPr="00750022">
              <w:rPr>
                <w:b/>
                <w:bCs/>
                <w:lang w:val="en-US"/>
              </w:rPr>
              <w:t>Mechanism</w:t>
            </w:r>
          </w:p>
        </w:tc>
      </w:tr>
      <w:tr w:rsidR="00750022" w:rsidRPr="00750022" w14:paraId="1AD70363"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3CE66" w14:textId="77777777" w:rsidR="00750022" w:rsidRPr="00750022" w:rsidRDefault="00750022" w:rsidP="00750022">
            <w:pPr>
              <w:pStyle w:val="BodyText"/>
              <w:rPr>
                <w:lang w:val="en-US"/>
              </w:rPr>
            </w:pPr>
            <w:r w:rsidRPr="00750022">
              <w:rPr>
                <w:b/>
                <w:bCs/>
                <w:lang w:val="en-US"/>
              </w:rPr>
              <w:t xml:space="preserve">F. </w:t>
            </w:r>
            <w:proofErr w:type="spellStart"/>
            <w:r w:rsidRPr="00750022">
              <w:rPr>
                <w:b/>
                <w:bCs/>
                <w:lang w:val="en-US"/>
              </w:rPr>
              <w:t>nucleatum</w:t>
            </w:r>
            <w:proofErr w:type="spellEnd"/>
          </w:p>
        </w:tc>
        <w:tc>
          <w:tcPr>
            <w:tcW w:w="0" w:type="auto"/>
            <w:hideMark/>
          </w:tcPr>
          <w:p w14:paraId="6C21E8B5"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b/>
                <w:bCs/>
                <w:lang w:val="en-US"/>
              </w:rPr>
              <w:t>Yes</w:t>
            </w:r>
            <w:r w:rsidRPr="00750022">
              <w:rPr>
                <w:lang w:val="en-US"/>
              </w:rPr>
              <w:t xml:space="preserve"> (</w:t>
            </w:r>
            <w:proofErr w:type="spellStart"/>
            <w:r w:rsidRPr="00750022">
              <w:rPr>
                <w:lang w:val="en-US"/>
              </w:rPr>
              <w:t>MegL</w:t>
            </w:r>
            <w:proofErr w:type="spellEnd"/>
            <w:r w:rsidRPr="00750022">
              <w:rPr>
                <w:lang w:val="en-US"/>
              </w:rPr>
              <w:t>)¹⁹</w:t>
            </w:r>
          </w:p>
        </w:tc>
        <w:tc>
          <w:tcPr>
            <w:tcW w:w="0" w:type="auto"/>
            <w:hideMark/>
          </w:tcPr>
          <w:p w14:paraId="6BE956CC"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b/>
                <w:bCs/>
                <w:lang w:val="en-US"/>
              </w:rPr>
              <w:t>Yes</w:t>
            </w:r>
            <w:r w:rsidRPr="00750022">
              <w:rPr>
                <w:lang w:val="en-US"/>
              </w:rPr>
              <w:t xml:space="preserve"> (</w:t>
            </w:r>
            <w:proofErr w:type="spellStart"/>
            <w:r w:rsidRPr="00750022">
              <w:rPr>
                <w:lang w:val="en-US"/>
              </w:rPr>
              <w:t>MegL</w:t>
            </w:r>
            <w:proofErr w:type="spellEnd"/>
            <w:r w:rsidRPr="00750022">
              <w:rPr>
                <w:lang w:val="en-US"/>
              </w:rPr>
              <w:t>)¹⁹</w:t>
            </w:r>
          </w:p>
        </w:tc>
        <w:tc>
          <w:tcPr>
            <w:tcW w:w="0" w:type="auto"/>
            <w:hideMark/>
          </w:tcPr>
          <w:p w14:paraId="71B3B170"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b/>
                <w:bCs/>
                <w:lang w:val="en-US"/>
              </w:rPr>
              <w:t>Yes</w:t>
            </w:r>
            <w:r w:rsidRPr="00750022">
              <w:rPr>
                <w:lang w:val="en-US"/>
              </w:rPr>
              <w:t xml:space="preserve"> (</w:t>
            </w:r>
            <w:proofErr w:type="spellStart"/>
            <w:r w:rsidRPr="00750022">
              <w:rPr>
                <w:lang w:val="en-US"/>
              </w:rPr>
              <w:t>eut</w:t>
            </w:r>
            <w:proofErr w:type="spellEnd"/>
            <w:r w:rsidRPr="00750022">
              <w:rPr>
                <w:lang w:val="en-US"/>
              </w:rPr>
              <w:t>)²⁰</w:t>
            </w:r>
          </w:p>
        </w:tc>
        <w:tc>
          <w:tcPr>
            <w:tcW w:w="0" w:type="auto"/>
            <w:hideMark/>
          </w:tcPr>
          <w:p w14:paraId="15AB1418"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Strong⁶</w:t>
            </w:r>
            <w:r w:rsidRPr="00750022">
              <w:rPr>
                <w:rFonts w:ascii="Cambria Math" w:hAnsi="Cambria Math" w:cs="Cambria Math"/>
                <w:lang w:val="en-US"/>
              </w:rPr>
              <w:t>⁻</w:t>
            </w:r>
            <w:r w:rsidRPr="00750022">
              <w:rPr>
                <w:rFonts w:ascii="Aptos" w:hAnsi="Aptos" w:cs="Aptos"/>
                <w:lang w:val="en-US"/>
              </w:rPr>
              <w:t>⁸</w:t>
            </w:r>
          </w:p>
        </w:tc>
        <w:tc>
          <w:tcPr>
            <w:tcW w:w="0" w:type="auto"/>
            <w:hideMark/>
          </w:tcPr>
          <w:p w14:paraId="5F2EA0AD"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proofErr w:type="spellStart"/>
            <w:r w:rsidRPr="00750022">
              <w:rPr>
                <w:lang w:val="en-US"/>
              </w:rPr>
              <w:t>MegL</w:t>
            </w:r>
            <w:proofErr w:type="spellEnd"/>
            <w:r w:rsidRPr="00750022">
              <w:rPr>
                <w:lang w:val="en-US"/>
              </w:rPr>
              <w:t xml:space="preserve"> toxic switch → </w:t>
            </w:r>
            <w:proofErr w:type="spellStart"/>
            <w:r w:rsidRPr="00750022">
              <w:rPr>
                <w:lang w:val="en-US"/>
              </w:rPr>
              <w:t>eNOS</w:t>
            </w:r>
            <w:proofErr w:type="spellEnd"/>
            <w:r w:rsidRPr="00750022">
              <w:rPr>
                <w:lang w:val="en-US"/>
              </w:rPr>
              <w:t xml:space="preserve"> inhibition</w:t>
            </w:r>
          </w:p>
        </w:tc>
      </w:tr>
      <w:tr w:rsidR="00750022" w:rsidRPr="00750022" w14:paraId="33351F65"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45A9AE14" w14:textId="77777777" w:rsidR="00750022" w:rsidRPr="00750022" w:rsidRDefault="00750022" w:rsidP="00750022">
            <w:pPr>
              <w:pStyle w:val="BodyText"/>
              <w:rPr>
                <w:lang w:val="en-US"/>
              </w:rPr>
            </w:pPr>
            <w:r w:rsidRPr="00750022">
              <w:rPr>
                <w:b/>
                <w:bCs/>
                <w:lang w:val="en-US"/>
              </w:rPr>
              <w:t>P. gingivalis</w:t>
            </w:r>
          </w:p>
        </w:tc>
        <w:tc>
          <w:tcPr>
            <w:tcW w:w="0" w:type="auto"/>
            <w:hideMark/>
          </w:tcPr>
          <w:p w14:paraId="19880930"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b/>
                <w:bCs/>
                <w:lang w:val="en-US"/>
              </w:rPr>
              <w:t>Yes</w:t>
            </w:r>
            <w:r w:rsidRPr="00750022">
              <w:rPr>
                <w:lang w:val="en-US"/>
              </w:rPr>
              <w:t xml:space="preserve"> (MGL)⁵⁰</w:t>
            </w:r>
          </w:p>
        </w:tc>
        <w:tc>
          <w:tcPr>
            <w:tcW w:w="0" w:type="auto"/>
            <w:hideMark/>
          </w:tcPr>
          <w:p w14:paraId="12D53AB3"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b/>
                <w:bCs/>
                <w:lang w:val="en-US"/>
              </w:rPr>
            </w:pPr>
            <w:r w:rsidRPr="00750022">
              <w:rPr>
                <w:b/>
                <w:bCs/>
                <w:lang w:val="en-US"/>
              </w:rPr>
              <w:t>Yes</w:t>
            </w:r>
          </w:p>
        </w:tc>
        <w:tc>
          <w:tcPr>
            <w:tcW w:w="0" w:type="auto"/>
            <w:hideMark/>
          </w:tcPr>
          <w:p w14:paraId="1939AAB7"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No</w:t>
            </w:r>
          </w:p>
        </w:tc>
        <w:tc>
          <w:tcPr>
            <w:tcW w:w="0" w:type="auto"/>
            <w:hideMark/>
          </w:tcPr>
          <w:p w14:paraId="5456DF1C"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Moderate⁵¹</w:t>
            </w:r>
          </w:p>
        </w:tc>
        <w:tc>
          <w:tcPr>
            <w:tcW w:w="0" w:type="auto"/>
            <w:hideMark/>
          </w:tcPr>
          <w:p w14:paraId="23BA0A98"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Constitutive H₂S; no EA switch</w:t>
            </w:r>
          </w:p>
        </w:tc>
      </w:tr>
      <w:tr w:rsidR="00750022" w:rsidRPr="00750022" w14:paraId="5A5AC73D"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225AF" w14:textId="77777777" w:rsidR="00750022" w:rsidRPr="00750022" w:rsidRDefault="00750022" w:rsidP="00750022">
            <w:pPr>
              <w:pStyle w:val="BodyText"/>
              <w:rPr>
                <w:lang w:val="en-US"/>
              </w:rPr>
            </w:pPr>
            <w:r w:rsidRPr="00750022">
              <w:rPr>
                <w:b/>
                <w:bCs/>
                <w:lang w:val="en-US"/>
              </w:rPr>
              <w:t xml:space="preserve">T. </w:t>
            </w:r>
            <w:proofErr w:type="spellStart"/>
            <w:r w:rsidRPr="00750022">
              <w:rPr>
                <w:b/>
                <w:bCs/>
                <w:lang w:val="en-US"/>
              </w:rPr>
              <w:t>denticola</w:t>
            </w:r>
            <w:proofErr w:type="spellEnd"/>
          </w:p>
        </w:tc>
        <w:tc>
          <w:tcPr>
            <w:tcW w:w="0" w:type="auto"/>
            <w:hideMark/>
          </w:tcPr>
          <w:p w14:paraId="256C62B3"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w:t>
            </w:r>
          </w:p>
        </w:tc>
        <w:tc>
          <w:tcPr>
            <w:tcW w:w="0" w:type="auto"/>
            <w:hideMark/>
          </w:tcPr>
          <w:p w14:paraId="4A132260"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proofErr w:type="gramStart"/>
            <w:r w:rsidRPr="00750022">
              <w:rPr>
                <w:b/>
                <w:bCs/>
                <w:lang w:val="en-US"/>
              </w:rPr>
              <w:t>Yes</w:t>
            </w:r>
            <w:proofErr w:type="gramEnd"/>
            <w:r w:rsidRPr="00750022">
              <w:rPr>
                <w:lang w:val="en-US"/>
              </w:rPr>
              <w:t>⁵²</w:t>
            </w:r>
          </w:p>
        </w:tc>
        <w:tc>
          <w:tcPr>
            <w:tcW w:w="0" w:type="auto"/>
            <w:hideMark/>
          </w:tcPr>
          <w:p w14:paraId="5B1AA34D"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w:t>
            </w:r>
          </w:p>
        </w:tc>
        <w:tc>
          <w:tcPr>
            <w:tcW w:w="0" w:type="auto"/>
            <w:hideMark/>
          </w:tcPr>
          <w:p w14:paraId="27F7A66D"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Moderate⁵¹</w:t>
            </w:r>
          </w:p>
        </w:tc>
        <w:tc>
          <w:tcPr>
            <w:tcW w:w="0" w:type="auto"/>
            <w:hideMark/>
          </w:tcPr>
          <w:p w14:paraId="62B87B30"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NH₃ → endothelial toxicity</w:t>
            </w:r>
          </w:p>
        </w:tc>
      </w:tr>
      <w:tr w:rsidR="00750022" w:rsidRPr="00750022" w14:paraId="7EF819CB"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679A5117" w14:textId="77777777" w:rsidR="00750022" w:rsidRPr="00750022" w:rsidRDefault="00750022" w:rsidP="00750022">
            <w:pPr>
              <w:pStyle w:val="BodyText"/>
              <w:rPr>
                <w:lang w:val="en-US"/>
              </w:rPr>
            </w:pPr>
            <w:r w:rsidRPr="00750022">
              <w:rPr>
                <w:b/>
                <w:bCs/>
                <w:lang w:val="en-US"/>
              </w:rPr>
              <w:t>EHEC</w:t>
            </w:r>
          </w:p>
        </w:tc>
        <w:tc>
          <w:tcPr>
            <w:tcW w:w="0" w:type="auto"/>
            <w:hideMark/>
          </w:tcPr>
          <w:p w14:paraId="2625C8B5"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No</w:t>
            </w:r>
          </w:p>
        </w:tc>
        <w:tc>
          <w:tcPr>
            <w:tcW w:w="0" w:type="auto"/>
            <w:hideMark/>
          </w:tcPr>
          <w:p w14:paraId="12918A12"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No</w:t>
            </w:r>
          </w:p>
        </w:tc>
        <w:tc>
          <w:tcPr>
            <w:tcW w:w="0" w:type="auto"/>
            <w:hideMark/>
          </w:tcPr>
          <w:p w14:paraId="746A7E7F"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b/>
                <w:bCs/>
                <w:lang w:val="en-US"/>
              </w:rPr>
              <w:t>Yes</w:t>
            </w:r>
            <w:r w:rsidRPr="00750022">
              <w:rPr>
                <w:lang w:val="en-US"/>
              </w:rPr>
              <w:t xml:space="preserve"> (EutR)⁵³</w:t>
            </w:r>
          </w:p>
        </w:tc>
        <w:tc>
          <w:tcPr>
            <w:tcW w:w="0" w:type="auto"/>
            <w:hideMark/>
          </w:tcPr>
          <w:p w14:paraId="3483C38D"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No (HUS)</w:t>
            </w:r>
          </w:p>
        </w:tc>
        <w:tc>
          <w:tcPr>
            <w:tcW w:w="0" w:type="auto"/>
            <w:hideMark/>
          </w:tcPr>
          <w:p w14:paraId="3DF1C3FA"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Shiga toxin; no H₂S/NH₃</w:t>
            </w:r>
          </w:p>
        </w:tc>
      </w:tr>
      <w:tr w:rsidR="00750022" w:rsidRPr="00750022" w14:paraId="481AE167"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287FF" w14:textId="77777777" w:rsidR="00750022" w:rsidRPr="00750022" w:rsidRDefault="00750022" w:rsidP="00750022">
            <w:pPr>
              <w:pStyle w:val="BodyText"/>
              <w:rPr>
                <w:lang w:val="en-US"/>
              </w:rPr>
            </w:pPr>
            <w:r w:rsidRPr="00750022">
              <w:rPr>
                <w:b/>
                <w:bCs/>
                <w:lang w:val="en-US"/>
              </w:rPr>
              <w:t>GBS</w:t>
            </w:r>
          </w:p>
        </w:tc>
        <w:tc>
          <w:tcPr>
            <w:tcW w:w="0" w:type="auto"/>
            <w:hideMark/>
          </w:tcPr>
          <w:p w14:paraId="6F27EFDD"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w:t>
            </w:r>
          </w:p>
        </w:tc>
        <w:tc>
          <w:tcPr>
            <w:tcW w:w="0" w:type="auto"/>
            <w:hideMark/>
          </w:tcPr>
          <w:p w14:paraId="6A29F442"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w:t>
            </w:r>
          </w:p>
        </w:tc>
        <w:tc>
          <w:tcPr>
            <w:tcW w:w="0" w:type="auto"/>
            <w:hideMark/>
          </w:tcPr>
          <w:p w14:paraId="668C754B"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w:t>
            </w:r>
          </w:p>
        </w:tc>
        <w:tc>
          <w:tcPr>
            <w:tcW w:w="0" w:type="auto"/>
            <w:hideMark/>
          </w:tcPr>
          <w:p w14:paraId="357CBEF9"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Weak⁵⁴</w:t>
            </w:r>
          </w:p>
        </w:tc>
        <w:tc>
          <w:tcPr>
            <w:tcW w:w="0" w:type="auto"/>
            <w:hideMark/>
          </w:tcPr>
          <w:p w14:paraId="0DB7328C"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Inflammatory cytokines only</w:t>
            </w:r>
          </w:p>
        </w:tc>
      </w:tr>
      <w:tr w:rsidR="00750022" w:rsidRPr="00750022" w14:paraId="7B9B826E"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4A45FD44" w14:textId="77777777" w:rsidR="00750022" w:rsidRPr="00750022" w:rsidRDefault="00750022" w:rsidP="00750022">
            <w:pPr>
              <w:pStyle w:val="BodyText"/>
              <w:rPr>
                <w:lang w:val="en-US"/>
              </w:rPr>
            </w:pPr>
            <w:r w:rsidRPr="00750022">
              <w:rPr>
                <w:b/>
                <w:bCs/>
                <w:lang w:val="en-US"/>
              </w:rPr>
              <w:t>L. monocytogenes</w:t>
            </w:r>
          </w:p>
        </w:tc>
        <w:tc>
          <w:tcPr>
            <w:tcW w:w="0" w:type="auto"/>
            <w:hideMark/>
          </w:tcPr>
          <w:p w14:paraId="7A11F32A"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No</w:t>
            </w:r>
          </w:p>
        </w:tc>
        <w:tc>
          <w:tcPr>
            <w:tcW w:w="0" w:type="auto"/>
            <w:hideMark/>
          </w:tcPr>
          <w:p w14:paraId="1DAA8DD1"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No</w:t>
            </w:r>
          </w:p>
        </w:tc>
        <w:tc>
          <w:tcPr>
            <w:tcW w:w="0" w:type="auto"/>
            <w:hideMark/>
          </w:tcPr>
          <w:p w14:paraId="330F52A2"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b/>
                <w:bCs/>
                <w:lang w:val="en-US"/>
              </w:rPr>
              <w:t>Yes</w:t>
            </w:r>
            <w:r w:rsidRPr="00750022">
              <w:rPr>
                <w:lang w:val="en-US"/>
              </w:rPr>
              <w:t xml:space="preserve"> (</w:t>
            </w:r>
            <w:proofErr w:type="spellStart"/>
            <w:r w:rsidRPr="00750022">
              <w:rPr>
                <w:lang w:val="en-US"/>
              </w:rPr>
              <w:t>EutV</w:t>
            </w:r>
            <w:proofErr w:type="spellEnd"/>
            <w:r w:rsidRPr="00750022">
              <w:rPr>
                <w:lang w:val="en-US"/>
              </w:rPr>
              <w:t>)⁴⁷</w:t>
            </w:r>
          </w:p>
        </w:tc>
        <w:tc>
          <w:tcPr>
            <w:tcW w:w="0" w:type="auto"/>
            <w:hideMark/>
          </w:tcPr>
          <w:p w14:paraId="6DE1E42B"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No⁴⁹</w:t>
            </w:r>
          </w:p>
        </w:tc>
        <w:tc>
          <w:tcPr>
            <w:tcW w:w="0" w:type="auto"/>
            <w:hideMark/>
          </w:tcPr>
          <w:p w14:paraId="0DFB453A"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Acute cellular damage; no vascular toxin</w:t>
            </w:r>
          </w:p>
        </w:tc>
      </w:tr>
      <w:tr w:rsidR="00750022" w:rsidRPr="00750022" w14:paraId="284BBA7B"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7B74A" w14:textId="77777777" w:rsidR="00750022" w:rsidRPr="00750022" w:rsidRDefault="00750022" w:rsidP="00750022">
            <w:pPr>
              <w:pStyle w:val="BodyText"/>
              <w:rPr>
                <w:lang w:val="en-US"/>
              </w:rPr>
            </w:pPr>
            <w:r w:rsidRPr="00750022">
              <w:rPr>
                <w:b/>
                <w:bCs/>
                <w:lang w:val="en-US"/>
              </w:rPr>
              <w:t>CMV</w:t>
            </w:r>
          </w:p>
        </w:tc>
        <w:tc>
          <w:tcPr>
            <w:tcW w:w="0" w:type="auto"/>
            <w:hideMark/>
          </w:tcPr>
          <w:p w14:paraId="2F6F5924"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w:t>
            </w:r>
          </w:p>
        </w:tc>
        <w:tc>
          <w:tcPr>
            <w:tcW w:w="0" w:type="auto"/>
            <w:hideMark/>
          </w:tcPr>
          <w:p w14:paraId="5DBB89F3"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w:t>
            </w:r>
          </w:p>
        </w:tc>
        <w:tc>
          <w:tcPr>
            <w:tcW w:w="0" w:type="auto"/>
            <w:hideMark/>
          </w:tcPr>
          <w:p w14:paraId="7EA8213D"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N/A</w:t>
            </w:r>
          </w:p>
        </w:tc>
        <w:tc>
          <w:tcPr>
            <w:tcW w:w="0" w:type="auto"/>
            <w:hideMark/>
          </w:tcPr>
          <w:p w14:paraId="13102BEE"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Moderate⁵⁵</w:t>
            </w:r>
          </w:p>
        </w:tc>
        <w:tc>
          <w:tcPr>
            <w:tcW w:w="0" w:type="auto"/>
            <w:hideMark/>
          </w:tcPr>
          <w:p w14:paraId="6E720C38"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 xml:space="preserve">UL83 → </w:t>
            </w:r>
            <w:proofErr w:type="spellStart"/>
            <w:r w:rsidRPr="00750022">
              <w:rPr>
                <w:lang w:val="en-US"/>
              </w:rPr>
              <w:t>eNOS</w:t>
            </w:r>
            <w:proofErr w:type="spellEnd"/>
            <w:r w:rsidRPr="00750022">
              <w:rPr>
                <w:lang w:val="en-US"/>
              </w:rPr>
              <w:t xml:space="preserve"> inhibition</w:t>
            </w:r>
          </w:p>
        </w:tc>
      </w:tr>
    </w:tbl>
    <w:p w14:paraId="5738EBC7" w14:textId="77777777" w:rsidR="00750022" w:rsidRDefault="00750022">
      <w:pPr>
        <w:pStyle w:val="BodyText"/>
      </w:pPr>
    </w:p>
    <w:p w14:paraId="1C3ABBA5" w14:textId="23795054" w:rsidR="00E90484" w:rsidRDefault="00000000">
      <w:pPr>
        <w:pStyle w:val="BodyText"/>
      </w:pPr>
      <w:r>
        <w:t xml:space="preserve">The pattern is </w:t>
      </w:r>
      <w:proofErr w:type="gramStart"/>
      <w:r>
        <w:t>striking:</w:t>
      </w:r>
      <w:proofErr w:type="gramEnd"/>
      <w:r>
        <w:t xml:space="preserve"> pathogens producing H₂S via </w:t>
      </w:r>
      <w:proofErr w:type="spellStart"/>
      <w:r>
        <w:t>MegL</w:t>
      </w:r>
      <w:proofErr w:type="spellEnd"/>
      <w:r>
        <w:t>-like enzymes (</w:t>
      </w:r>
      <w:proofErr w:type="spellStart"/>
      <w:r>
        <w:t>Fn</w:t>
      </w:r>
      <w:proofErr w:type="spellEnd"/>
      <w:r>
        <w:t xml:space="preserve">, P. gingivalis) show the strongest PE associations. Pathogens that sense EA but lack MegL (EHEC, Lm) do not cause PE. The convergence of </w:t>
      </w:r>
      <w:proofErr w:type="spellStart"/>
      <w:r>
        <w:t>Fn’s</w:t>
      </w:r>
      <w:proofErr w:type="spellEnd"/>
      <w:r>
        <w:t xml:space="preserve"> H₂S-mediated </w:t>
      </w:r>
      <w:proofErr w:type="spellStart"/>
      <w:r>
        <w:t>eNOS</w:t>
      </w:r>
      <w:proofErr w:type="spellEnd"/>
      <w:r>
        <w:t xml:space="preserve"> inhibition with CMV’s protein-mediated </w:t>
      </w:r>
      <w:proofErr w:type="spellStart"/>
      <w:r>
        <w:t>eNOS</w:t>
      </w:r>
      <w:proofErr w:type="spellEnd"/>
      <w:r>
        <w:t xml:space="preserve"> inhibition </w:t>
      </w:r>
      <w:r w:rsidR="00E438EE">
        <w:t>-</w:t>
      </w:r>
      <w:r>
        <w:t xml:space="preserve"> both causing PE-like outcomes through the same molecular target </w:t>
      </w:r>
      <w:r w:rsidR="00E438EE">
        <w:t>-</w:t>
      </w:r>
      <w:r>
        <w:t xml:space="preserve"> strengthens the causal role of eNOS dysfunction in PE pathogenesis.</w:t>
      </w:r>
    </w:p>
    <w:p w14:paraId="143D608B" w14:textId="77777777" w:rsidR="00E90484" w:rsidRDefault="00000000" w:rsidP="00750022">
      <w:pPr>
        <w:pStyle w:val="Heading30"/>
      </w:pPr>
      <w:r>
        <w:t>Reinterpretation of Published Data</w:t>
      </w:r>
    </w:p>
    <w:p w14:paraId="11AD5F6F" w14:textId="77777777" w:rsidR="00E90484" w:rsidRDefault="00000000" w:rsidP="00750022">
      <w:pPr>
        <w:pStyle w:val="Heading40"/>
      </w:pPr>
      <w:r>
        <w:t>The ΔeutN survival data (Franklin et al., 2025)</w:t>
      </w:r>
    </w:p>
    <w:p w14:paraId="4332DBDF" w14:textId="77777777" w:rsidR="00E90484" w:rsidRDefault="00000000">
      <w:pPr>
        <w:pStyle w:val="BodyText"/>
      </w:pPr>
      <w:r>
        <w:t xml:space="preserve">Franklin et al. interpreted the improved pup survival in </w:t>
      </w:r>
      <w:proofErr w:type="spellStart"/>
      <w:r>
        <w:t>ΔeutN</w:t>
      </w:r>
      <w:proofErr w:type="spellEnd"/>
      <w:r>
        <w:t xml:space="preserve">-infected mice (60% vs. 20% for wild-type) as evidence that “BMC assembly is required for Fn </w:t>
      </w:r>
      <w:proofErr w:type="gramStart"/>
      <w:r>
        <w:t>virulence”²</w:t>
      </w:r>
      <w:proofErr w:type="gramEnd"/>
      <w:r>
        <w:t xml:space="preserve">⁰. The present </w:t>
      </w:r>
      <w:r>
        <w:lastRenderedPageBreak/>
        <w:t>model offers a complementary interpretation: BMCs are the mechanism by which Fn safely catabolises EA without triggering MegL. In the ΔeutN mutant, EA cannot be efficiently catabolised within BMCs → EA accumulates in the bacterial cytoplasm → EutV remains active (sensing abundant EA) → megL remains suppressed → less H₂S/NH₃ production → less placental damage → more pup survival. The BMC is not a virulence factor per se; it is the containment vessel that prevents the toxic switch from activating prematurely.</w:t>
      </w:r>
    </w:p>
    <w:p w14:paraId="1129DCD8" w14:textId="77777777" w:rsidR="00E90484" w:rsidRDefault="00000000" w:rsidP="00750022">
      <w:pPr>
        <w:pStyle w:val="Heading40"/>
      </w:pPr>
      <w:r>
        <w:t>The ΔmegL colonisation kinetics (Chen et al., 2022)</w:t>
      </w:r>
    </w:p>
    <w:p w14:paraId="0E0A145A" w14:textId="4FA7AA03" w:rsidR="00E90484" w:rsidRDefault="00000000">
      <w:pPr>
        <w:pStyle w:val="BodyText"/>
      </w:pPr>
      <w:r>
        <w:t>Chen et al. showed that the ΔmegL mutant colonises the placenta at 48 hours post-infection at levels comparable to wild-</w:t>
      </w:r>
      <w:proofErr w:type="gramStart"/>
      <w:r>
        <w:t>type, but</w:t>
      </w:r>
      <w:proofErr w:type="gramEnd"/>
      <w:r>
        <w:t xml:space="preserve"> fails to spread to amniotic fluid and fetus by 72 hours¹⁹. This was interpreted as a metabolic fitness defect. The present model reinterprets this as a toxicological defect: without </w:t>
      </w:r>
      <w:proofErr w:type="spellStart"/>
      <w:r>
        <w:t>MegL</w:t>
      </w:r>
      <w:proofErr w:type="spellEnd"/>
      <w:r>
        <w:t xml:space="preserve">-derived H₂S and NH₃, Fn cannot damage the trophoblast barrier that separates maternal from fetal circulation. The bacteria arrive but cannot breach the barrier </w:t>
      </w:r>
      <w:r w:rsidR="00E438EE">
        <w:t>-</w:t>
      </w:r>
      <w:r>
        <w:t xml:space="preserve"> because the molecular weapon (H₂S + NH₃) is absent.</w:t>
      </w:r>
    </w:p>
    <w:p w14:paraId="33BB77EB" w14:textId="77777777" w:rsidR="00E90484" w:rsidRDefault="00000000" w:rsidP="00750022">
      <w:pPr>
        <w:pStyle w:val="Heading40"/>
      </w:pPr>
      <w:r>
        <w:t>The Rnf–EutV–MegL regulatory cascade (Britton et al., 2024, 2025)</w:t>
      </w:r>
    </w:p>
    <w:p w14:paraId="39F44731" w14:textId="77777777" w:rsidR="00E90484" w:rsidRDefault="00000000">
      <w:pPr>
        <w:pStyle w:val="BodyText"/>
      </w:pPr>
      <w:r>
        <w:t xml:space="preserve">Britton et al. (2025) demonstrated that ΔrnfC reduces expression of all seven TCS response regulators, including EutV³⁴. This was interpreted in the context of </w:t>
      </w:r>
      <w:proofErr w:type="spellStart"/>
      <w:r>
        <w:t>FadA</w:t>
      </w:r>
      <w:proofErr w:type="spellEnd"/>
      <w:r>
        <w:t xml:space="preserve">-mediated colorectal cancer. The present model extends this finding to pregnancy: the Rnf complex is the metabolic backbone of EA </w:t>
      </w:r>
      <w:proofErr w:type="spellStart"/>
      <w:r>
        <w:t>utilisation</w:t>
      </w:r>
      <w:proofErr w:type="spellEnd"/>
      <w:r>
        <w:t xml:space="preserve"> (EA → acetyl-CoA → </w:t>
      </w:r>
      <w:proofErr w:type="spellStart"/>
      <w:r>
        <w:t>Rnf</w:t>
      </w:r>
      <w:proofErr w:type="spellEnd"/>
      <w:r>
        <w:t xml:space="preserve"> → ATP). When Rnf is disrupted, the metabolic reward for EA sensing is lost, EutV signalling collapses, and the entire EA-sensing regulatory circuit breaks down. In the placental context, Rnf deficiency would paradoxically protect against PE by preventing efficient EA catabolism and the subsequent EA depletion that triggers MegL.</w:t>
      </w:r>
    </w:p>
    <w:p w14:paraId="6B5BEDF4" w14:textId="77777777" w:rsidR="00E90484" w:rsidRDefault="00000000" w:rsidP="00750022">
      <w:pPr>
        <w:pStyle w:val="Heading30"/>
      </w:pPr>
      <w:r>
        <w:t>The Complete Mechanistic Pathway</w:t>
      </w:r>
    </w:p>
    <w:p w14:paraId="40C48A99" w14:textId="77777777" w:rsidR="00E90484" w:rsidRDefault="00000000" w:rsidP="00750022">
      <w:pPr>
        <w:pStyle w:val="BodyText"/>
        <w:numPr>
          <w:ilvl w:val="0"/>
          <w:numId w:val="11"/>
        </w:numPr>
      </w:pPr>
      <w:r>
        <w:t>Integrating all evidence, the complete pathway from Fn colonisation to clinical PE comprises eleven steps, each supported by published data:</w:t>
      </w:r>
    </w:p>
    <w:p w14:paraId="4F05EB38" w14:textId="77777777" w:rsidR="00E90484" w:rsidRDefault="00000000" w:rsidP="00750022">
      <w:pPr>
        <w:pStyle w:val="BodyText"/>
        <w:numPr>
          <w:ilvl w:val="0"/>
          <w:numId w:val="11"/>
        </w:numPr>
      </w:pPr>
      <w:r>
        <w:t>Fn colonises the placenta via haematogenous spread from the oral cavity, binding trophoblasts through Fap2 (Gal-</w:t>
      </w:r>
      <w:proofErr w:type="gramStart"/>
      <w:r>
        <w:t>GalNAc)¹</w:t>
      </w:r>
      <w:proofErr w:type="gramEnd"/>
      <w:r>
        <w:t xml:space="preserve">⁵ and </w:t>
      </w:r>
      <w:proofErr w:type="spellStart"/>
      <w:r>
        <w:t>FadA</w:t>
      </w:r>
      <w:proofErr w:type="spellEnd"/>
      <w:r>
        <w:t xml:space="preserve"> (E-</w:t>
      </w:r>
      <w:proofErr w:type="gramStart"/>
      <w:r>
        <w:t>cadherin)¹</w:t>
      </w:r>
      <w:proofErr w:type="gramEnd"/>
      <w:r>
        <w:t>⁶</w:t>
      </w:r>
    </w:p>
    <w:p w14:paraId="311DA2CE" w14:textId="77777777" w:rsidR="00E90484" w:rsidRDefault="00000000" w:rsidP="00750022">
      <w:pPr>
        <w:pStyle w:val="BodyText"/>
        <w:numPr>
          <w:ilvl w:val="0"/>
          <w:numId w:val="11"/>
        </w:numPr>
      </w:pPr>
      <w:r>
        <w:t>Host enzymes liberate free EA from PE lipid: PLD1 → phosphoethanolamine²²; GDPD1/GDPD5 → free EA²³; FAAH → free EA²⁴</w:t>
      </w:r>
    </w:p>
    <w:p w14:paraId="58FB7C0C" w14:textId="77777777" w:rsidR="00E90484" w:rsidRDefault="00000000" w:rsidP="00750022">
      <w:pPr>
        <w:pStyle w:val="BodyText"/>
        <w:numPr>
          <w:ilvl w:val="0"/>
          <w:numId w:val="11"/>
        </w:numPr>
      </w:pPr>
      <w:r>
        <w:t>Free EA activates the Fn eut operon via EutW → EutV phosphorylation → eut gene transcription²⁰</w:t>
      </w:r>
    </w:p>
    <w:p w14:paraId="42D2AF93" w14:textId="77777777" w:rsidR="00E90484" w:rsidRDefault="00000000" w:rsidP="00750022">
      <w:pPr>
        <w:pStyle w:val="BodyText"/>
        <w:numPr>
          <w:ilvl w:val="0"/>
          <w:numId w:val="11"/>
        </w:numPr>
      </w:pPr>
      <w:r>
        <w:t>BMCs assemble (EutLM₁M₂N shell proteins) to contain toxic acetaldehyde intermediates²⁰</w:t>
      </w:r>
    </w:p>
    <w:p w14:paraId="27A684BA" w14:textId="77777777" w:rsidR="00E90484" w:rsidRDefault="00000000" w:rsidP="00750022">
      <w:pPr>
        <w:pStyle w:val="BodyText"/>
        <w:numPr>
          <w:ilvl w:val="0"/>
          <w:numId w:val="11"/>
        </w:numPr>
      </w:pPr>
      <w:r>
        <w:t xml:space="preserve">EA catabolism proceeds safely: EutBC → acetaldehyde → acetyl-CoA → </w:t>
      </w:r>
      <w:proofErr w:type="spellStart"/>
      <w:r>
        <w:t>Rnf</w:t>
      </w:r>
      <w:proofErr w:type="spellEnd"/>
      <w:r>
        <w:t xml:space="preserve"> complex → ATP²⁰˒³³</w:t>
      </w:r>
    </w:p>
    <w:p w14:paraId="3A3EA3BF" w14:textId="77777777" w:rsidR="00E90484" w:rsidRDefault="00000000" w:rsidP="00750022">
      <w:pPr>
        <w:pStyle w:val="BodyText"/>
        <w:numPr>
          <w:ilvl w:val="0"/>
          <w:numId w:val="11"/>
        </w:numPr>
      </w:pPr>
      <w:r>
        <w:lastRenderedPageBreak/>
        <w:t xml:space="preserve">EutV suppresses </w:t>
      </w:r>
      <w:proofErr w:type="spellStart"/>
      <w:r>
        <w:t>megL</w:t>
      </w:r>
      <w:proofErr w:type="spellEnd"/>
      <w:r>
        <w:t xml:space="preserve"> by &gt;36-fold²⁰; </w:t>
      </w:r>
      <w:proofErr w:type="spellStart"/>
      <w:r>
        <w:t>ModSR</w:t>
      </w:r>
      <w:proofErr w:type="spellEnd"/>
      <w:r>
        <w:t xml:space="preserve"> provides additional regulatory control¹⁹</w:t>
      </w:r>
    </w:p>
    <w:p w14:paraId="101C9781" w14:textId="77777777" w:rsidR="00E90484" w:rsidRDefault="00000000" w:rsidP="00750022">
      <w:pPr>
        <w:pStyle w:val="BodyText"/>
        <w:numPr>
          <w:ilvl w:val="0"/>
          <w:numId w:val="11"/>
        </w:numPr>
      </w:pPr>
      <w:r>
        <w:t>EA becomes limiting as Fn consumption outpaces host liberation, exacerbated by placental ischaemia in PE</w:t>
      </w:r>
    </w:p>
    <w:p w14:paraId="33ECDD6C" w14:textId="77777777" w:rsidR="00E90484" w:rsidRDefault="00000000" w:rsidP="00750022">
      <w:pPr>
        <w:pStyle w:val="BodyText"/>
        <w:numPr>
          <w:ilvl w:val="0"/>
          <w:numId w:val="11"/>
        </w:numPr>
      </w:pPr>
      <w:r>
        <w:t>EutV becomes inactive → megL is derepressed → MegL protein accumulates</w:t>
      </w:r>
    </w:p>
    <w:p w14:paraId="20F73C7F" w14:textId="77777777" w:rsidR="00E90484" w:rsidRDefault="00000000" w:rsidP="00750022">
      <w:pPr>
        <w:pStyle w:val="BodyText"/>
        <w:numPr>
          <w:ilvl w:val="0"/>
          <w:numId w:val="11"/>
        </w:numPr>
      </w:pPr>
      <w:proofErr w:type="spellStart"/>
      <w:r>
        <w:t>MegL</w:t>
      </w:r>
      <w:proofErr w:type="spellEnd"/>
      <w:r>
        <w:t xml:space="preserve"> </w:t>
      </w:r>
      <w:proofErr w:type="spellStart"/>
      <w:r>
        <w:t>catabolises</w:t>
      </w:r>
      <w:proofErr w:type="spellEnd"/>
      <w:r>
        <w:t xml:space="preserve"> L-cysteine and L-methionine → H₂S + NH₃ + pyruvate/α-ketobutyrate¹⁹˒³¹</w:t>
      </w:r>
    </w:p>
    <w:p w14:paraId="47D899D2" w14:textId="77777777" w:rsidR="00E90484" w:rsidRDefault="00000000" w:rsidP="00750022">
      <w:pPr>
        <w:pStyle w:val="BodyText"/>
        <w:numPr>
          <w:ilvl w:val="0"/>
          <w:numId w:val="11"/>
        </w:numPr>
      </w:pPr>
      <w:r>
        <w:t>H₂S inhibits Complex IV → pseudohypoxia → HIF-1α → sFlt-1 ↑³⁶˒³⁸˒³⁹; H₂S uncouples eNOS → NO ↓ → vasoconstriction⁴⁰˒⁴¹; NH₃ inhibits α-KGDH → TCA cycle ↓ → ATP ↓⁴⁵</w:t>
      </w:r>
    </w:p>
    <w:p w14:paraId="5B91E448" w14:textId="77777777" w:rsidR="00E90484" w:rsidRDefault="00000000" w:rsidP="00750022">
      <w:pPr>
        <w:pStyle w:val="BodyText"/>
        <w:numPr>
          <w:ilvl w:val="0"/>
          <w:numId w:val="11"/>
        </w:numPr>
      </w:pPr>
      <w:r>
        <w:t>sFlt-1 sequesters VEGF/</w:t>
      </w:r>
      <w:proofErr w:type="spellStart"/>
      <w:r>
        <w:t>PlGF</w:t>
      </w:r>
      <w:proofErr w:type="spellEnd"/>
      <w:r>
        <w:t xml:space="preserve"> → impaired angiogenesis → placental ischaemia → systemic endothelial dysfunction → hypertension + proteinuria = PREECLAMPSIA³˒⁴²</w:t>
      </w:r>
    </w:p>
    <w:p w14:paraId="06EF7394" w14:textId="77777777" w:rsidR="00E90484" w:rsidRDefault="00000000" w:rsidP="00750022">
      <w:pPr>
        <w:pStyle w:val="Heading30"/>
      </w:pPr>
      <w:r>
        <w:t>Novelty Assessment</w:t>
      </w:r>
    </w:p>
    <w:p w14:paraId="2B31AAF1" w14:textId="77777777" w:rsidR="00E90484" w:rsidRDefault="00000000" w:rsidP="00750022">
      <w:pPr>
        <w:pStyle w:val="BodyText"/>
      </w:pPr>
      <w:r>
        <w:t xml:space="preserve">A systematic literature search confirms that no published study connects </w:t>
      </w:r>
      <w:proofErr w:type="spellStart"/>
      <w:r>
        <w:t>MegL</w:t>
      </w:r>
      <w:proofErr w:type="spellEnd"/>
      <w:r>
        <w:t>-derived H₂S and NH₃ to PE. The specific connections that are novel to this work are:</w:t>
      </w:r>
    </w:p>
    <w:p w14:paraId="0111DBDD" w14:textId="77777777" w:rsidR="00750022" w:rsidRPr="00750022" w:rsidRDefault="00750022" w:rsidP="00750022">
      <w:pPr>
        <w:pStyle w:val="BodyText"/>
        <w:rPr>
          <w:lang w:val="en-US"/>
        </w:rPr>
      </w:pPr>
      <w:r w:rsidRPr="00750022">
        <w:rPr>
          <w:lang w:val="en-US"/>
        </w:rPr>
        <w:t>Here is the properly formatted Markdown table from your document, detailing the novelty assessment of the connections proposed in your thesis:</w:t>
      </w:r>
    </w:p>
    <w:p w14:paraId="252C5440" w14:textId="77777777" w:rsidR="00750022" w:rsidRPr="00750022" w:rsidRDefault="00750022" w:rsidP="00750022">
      <w:pPr>
        <w:pStyle w:val="BodyText"/>
        <w:rPr>
          <w:lang w:val="en-US"/>
        </w:rPr>
      </w:pPr>
      <w:r w:rsidRPr="00750022">
        <w:rPr>
          <w:b/>
          <w:bCs/>
          <w:lang w:val="en-US"/>
        </w:rPr>
        <w:t>Novelty Assessment: Specific Connections</w:t>
      </w:r>
    </w:p>
    <w:tbl>
      <w:tblPr>
        <w:tblStyle w:val="PlainTable5"/>
        <w:tblW w:w="0" w:type="auto"/>
        <w:tblLook w:val="04A0" w:firstRow="1" w:lastRow="0" w:firstColumn="1" w:lastColumn="0" w:noHBand="0" w:noVBand="1"/>
      </w:tblPr>
      <w:tblGrid>
        <w:gridCol w:w="5260"/>
        <w:gridCol w:w="1454"/>
        <w:gridCol w:w="2405"/>
      </w:tblGrid>
      <w:tr w:rsidR="00750022" w:rsidRPr="00750022" w14:paraId="62A9C287" w14:textId="77777777" w:rsidTr="007500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A8E01D" w14:textId="77777777" w:rsidR="00750022" w:rsidRPr="00750022" w:rsidRDefault="00750022" w:rsidP="00750022">
            <w:pPr>
              <w:pStyle w:val="BodyText"/>
              <w:rPr>
                <w:b/>
                <w:bCs/>
                <w:lang w:val="en-US"/>
              </w:rPr>
            </w:pPr>
            <w:r w:rsidRPr="00750022">
              <w:rPr>
                <w:b/>
                <w:bCs/>
                <w:lang w:val="en-US"/>
              </w:rPr>
              <w:t>Connection</w:t>
            </w:r>
          </w:p>
        </w:tc>
        <w:tc>
          <w:tcPr>
            <w:tcW w:w="0" w:type="auto"/>
            <w:hideMark/>
          </w:tcPr>
          <w:p w14:paraId="59AA74BD" w14:textId="77777777" w:rsidR="00750022" w:rsidRPr="00750022" w:rsidRDefault="00750022" w:rsidP="00750022">
            <w:pPr>
              <w:pStyle w:val="BodyText"/>
              <w:cnfStyle w:val="100000000000" w:firstRow="1" w:lastRow="0" w:firstColumn="0" w:lastColumn="0" w:oddVBand="0" w:evenVBand="0" w:oddHBand="0" w:evenHBand="0" w:firstRowFirstColumn="0" w:firstRowLastColumn="0" w:lastRowFirstColumn="0" w:lastRowLastColumn="0"/>
              <w:rPr>
                <w:b/>
                <w:bCs/>
                <w:lang w:val="en-US"/>
              </w:rPr>
            </w:pPr>
            <w:r w:rsidRPr="00750022">
              <w:rPr>
                <w:b/>
                <w:bCs/>
                <w:lang w:val="en-US"/>
              </w:rPr>
              <w:t>Published?</w:t>
            </w:r>
          </w:p>
        </w:tc>
        <w:tc>
          <w:tcPr>
            <w:tcW w:w="0" w:type="auto"/>
            <w:hideMark/>
          </w:tcPr>
          <w:p w14:paraId="7B4D61B1" w14:textId="77777777" w:rsidR="00750022" w:rsidRPr="00750022" w:rsidRDefault="00750022" w:rsidP="00750022">
            <w:pPr>
              <w:pStyle w:val="BodyText"/>
              <w:cnfStyle w:val="100000000000" w:firstRow="1" w:lastRow="0" w:firstColumn="0" w:lastColumn="0" w:oddVBand="0" w:evenVBand="0" w:oddHBand="0" w:evenHBand="0" w:firstRowFirstColumn="0" w:firstRowLastColumn="0" w:lastRowFirstColumn="0" w:lastRowLastColumn="0"/>
              <w:rPr>
                <w:b/>
                <w:bCs/>
                <w:lang w:val="en-US"/>
              </w:rPr>
            </w:pPr>
            <w:r w:rsidRPr="00750022">
              <w:rPr>
                <w:b/>
                <w:bCs/>
                <w:lang w:val="en-US"/>
              </w:rPr>
              <w:t>Source if published</w:t>
            </w:r>
          </w:p>
        </w:tc>
      </w:tr>
      <w:tr w:rsidR="00750022" w:rsidRPr="00750022" w14:paraId="73A382B2"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89F5E" w14:textId="77777777" w:rsidR="00750022" w:rsidRPr="00750022" w:rsidRDefault="00750022" w:rsidP="00750022">
            <w:pPr>
              <w:pStyle w:val="BodyText"/>
              <w:rPr>
                <w:lang w:val="en-US"/>
              </w:rPr>
            </w:pPr>
            <w:proofErr w:type="spellStart"/>
            <w:r w:rsidRPr="00750022">
              <w:rPr>
                <w:b/>
                <w:bCs/>
                <w:lang w:val="en-US"/>
              </w:rPr>
              <w:t>MegL</w:t>
            </w:r>
            <w:proofErr w:type="spellEnd"/>
            <w:r w:rsidRPr="00750022">
              <w:rPr>
                <w:b/>
                <w:bCs/>
                <w:lang w:val="en-US"/>
              </w:rPr>
              <w:t xml:space="preserve"> → H₂S (in </w:t>
            </w:r>
            <w:proofErr w:type="spellStart"/>
            <w:r w:rsidRPr="00750022">
              <w:rPr>
                <w:b/>
                <w:bCs/>
                <w:lang w:val="en-US"/>
              </w:rPr>
              <w:t>Fn</w:t>
            </w:r>
            <w:proofErr w:type="spellEnd"/>
            <w:r w:rsidRPr="00750022">
              <w:rPr>
                <w:b/>
                <w:bCs/>
                <w:lang w:val="en-US"/>
              </w:rPr>
              <w:t>)</w:t>
            </w:r>
          </w:p>
        </w:tc>
        <w:tc>
          <w:tcPr>
            <w:tcW w:w="0" w:type="auto"/>
            <w:hideMark/>
          </w:tcPr>
          <w:p w14:paraId="6B26A952"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Yes</w:t>
            </w:r>
          </w:p>
        </w:tc>
        <w:tc>
          <w:tcPr>
            <w:tcW w:w="0" w:type="auto"/>
            <w:hideMark/>
          </w:tcPr>
          <w:p w14:paraId="453A9644"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Chen et al., 2022¹⁹</w:t>
            </w:r>
          </w:p>
        </w:tc>
      </w:tr>
      <w:tr w:rsidR="00750022" w:rsidRPr="00750022" w14:paraId="2EA51666"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62D9D841" w14:textId="77777777" w:rsidR="00750022" w:rsidRPr="00750022" w:rsidRDefault="00750022" w:rsidP="00750022">
            <w:pPr>
              <w:pStyle w:val="BodyText"/>
              <w:rPr>
                <w:lang w:val="en-US"/>
              </w:rPr>
            </w:pPr>
            <w:proofErr w:type="spellStart"/>
            <w:r w:rsidRPr="00750022">
              <w:rPr>
                <w:b/>
                <w:bCs/>
                <w:lang w:val="en-US"/>
              </w:rPr>
              <w:t>MegL</w:t>
            </w:r>
            <w:proofErr w:type="spellEnd"/>
            <w:r w:rsidRPr="00750022">
              <w:rPr>
                <w:b/>
                <w:bCs/>
                <w:lang w:val="en-US"/>
              </w:rPr>
              <w:t xml:space="preserve"> → preterm birth virulence</w:t>
            </w:r>
          </w:p>
        </w:tc>
        <w:tc>
          <w:tcPr>
            <w:tcW w:w="0" w:type="auto"/>
            <w:hideMark/>
          </w:tcPr>
          <w:p w14:paraId="5A4A1D8A"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Yes</w:t>
            </w:r>
          </w:p>
        </w:tc>
        <w:tc>
          <w:tcPr>
            <w:tcW w:w="0" w:type="auto"/>
            <w:hideMark/>
          </w:tcPr>
          <w:p w14:paraId="685C0E7F"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Chen et al., 2022¹⁹</w:t>
            </w:r>
          </w:p>
        </w:tc>
      </w:tr>
      <w:tr w:rsidR="00750022" w:rsidRPr="00750022" w14:paraId="041DE79E"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90EFD" w14:textId="77777777" w:rsidR="00750022" w:rsidRPr="00750022" w:rsidRDefault="00750022" w:rsidP="00750022">
            <w:pPr>
              <w:pStyle w:val="BodyText"/>
              <w:rPr>
                <w:lang w:val="en-US"/>
              </w:rPr>
            </w:pPr>
            <w:proofErr w:type="spellStart"/>
            <w:r w:rsidRPr="00750022">
              <w:rPr>
                <w:b/>
                <w:bCs/>
                <w:lang w:val="en-US"/>
              </w:rPr>
              <w:t>EutV</w:t>
            </w:r>
            <w:proofErr w:type="spellEnd"/>
            <w:r w:rsidRPr="00750022">
              <w:rPr>
                <w:b/>
                <w:bCs/>
                <w:lang w:val="en-US"/>
              </w:rPr>
              <w:t xml:space="preserve"> suppresses </w:t>
            </w:r>
            <w:proofErr w:type="spellStart"/>
            <w:r w:rsidRPr="00750022">
              <w:rPr>
                <w:b/>
                <w:bCs/>
                <w:lang w:val="en-US"/>
              </w:rPr>
              <w:t>megL</w:t>
            </w:r>
            <w:proofErr w:type="spellEnd"/>
            <w:r w:rsidRPr="00750022">
              <w:rPr>
                <w:b/>
                <w:bCs/>
                <w:lang w:val="en-US"/>
              </w:rPr>
              <w:t xml:space="preserve"> &gt;36-fold</w:t>
            </w:r>
          </w:p>
        </w:tc>
        <w:tc>
          <w:tcPr>
            <w:tcW w:w="0" w:type="auto"/>
            <w:hideMark/>
          </w:tcPr>
          <w:p w14:paraId="09A0C1C7"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Yes</w:t>
            </w:r>
          </w:p>
        </w:tc>
        <w:tc>
          <w:tcPr>
            <w:tcW w:w="0" w:type="auto"/>
            <w:hideMark/>
          </w:tcPr>
          <w:p w14:paraId="773695CE"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Franklin et al., 2025²⁰</w:t>
            </w:r>
          </w:p>
        </w:tc>
      </w:tr>
      <w:tr w:rsidR="00750022" w:rsidRPr="00750022" w14:paraId="17906AC7"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0A4B3B8B" w14:textId="77777777" w:rsidR="00750022" w:rsidRPr="00750022" w:rsidRDefault="00750022" w:rsidP="00750022">
            <w:pPr>
              <w:pStyle w:val="BodyText"/>
              <w:rPr>
                <w:lang w:val="en-US"/>
              </w:rPr>
            </w:pPr>
            <w:r w:rsidRPr="00750022">
              <w:rPr>
                <w:b/>
                <w:bCs/>
                <w:lang w:val="en-US"/>
              </w:rPr>
              <w:t>H₂S → endothelial dysfunction (host enzymes)</w:t>
            </w:r>
          </w:p>
        </w:tc>
        <w:tc>
          <w:tcPr>
            <w:tcW w:w="0" w:type="auto"/>
            <w:hideMark/>
          </w:tcPr>
          <w:p w14:paraId="0337FE3E"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Yes</w:t>
            </w:r>
          </w:p>
        </w:tc>
        <w:tc>
          <w:tcPr>
            <w:tcW w:w="0" w:type="auto"/>
            <w:hideMark/>
          </w:tcPr>
          <w:p w14:paraId="16215396"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Szabo, 2007³⁶</w:t>
            </w:r>
          </w:p>
        </w:tc>
      </w:tr>
      <w:tr w:rsidR="00750022" w:rsidRPr="00750022" w14:paraId="47B273F1"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D1123" w14:textId="77777777" w:rsidR="00750022" w:rsidRPr="00750022" w:rsidRDefault="00750022" w:rsidP="00750022">
            <w:pPr>
              <w:pStyle w:val="BodyText"/>
              <w:rPr>
                <w:lang w:val="en-US"/>
              </w:rPr>
            </w:pPr>
            <w:proofErr w:type="spellStart"/>
            <w:r w:rsidRPr="00750022">
              <w:rPr>
                <w:b/>
                <w:bCs/>
                <w:lang w:val="en-US"/>
              </w:rPr>
              <w:t>MegL</w:t>
            </w:r>
            <w:proofErr w:type="spellEnd"/>
            <w:r w:rsidRPr="00750022">
              <w:rPr>
                <w:b/>
                <w:bCs/>
                <w:lang w:val="en-US"/>
              </w:rPr>
              <w:t xml:space="preserve"> → H₂S + NH₃ → PE</w:t>
            </w:r>
          </w:p>
        </w:tc>
        <w:tc>
          <w:tcPr>
            <w:tcW w:w="0" w:type="auto"/>
            <w:hideMark/>
          </w:tcPr>
          <w:p w14:paraId="7F673212"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w:t>
            </w:r>
          </w:p>
        </w:tc>
        <w:tc>
          <w:tcPr>
            <w:tcW w:w="0" w:type="auto"/>
            <w:hideMark/>
          </w:tcPr>
          <w:p w14:paraId="34F8CBE2"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This work</w:t>
            </w:r>
          </w:p>
        </w:tc>
      </w:tr>
      <w:tr w:rsidR="00750022" w:rsidRPr="00750022" w14:paraId="5C60B9B1"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2416D266" w14:textId="77777777" w:rsidR="00750022" w:rsidRPr="00750022" w:rsidRDefault="00750022" w:rsidP="00750022">
            <w:pPr>
              <w:pStyle w:val="BodyText"/>
              <w:rPr>
                <w:lang w:val="en-US"/>
              </w:rPr>
            </w:pPr>
            <w:proofErr w:type="spellStart"/>
            <w:r w:rsidRPr="00750022">
              <w:rPr>
                <w:b/>
                <w:bCs/>
                <w:lang w:val="en-US"/>
              </w:rPr>
              <w:t>EutV</w:t>
            </w:r>
            <w:proofErr w:type="spellEnd"/>
            <w:r w:rsidRPr="00750022">
              <w:rPr>
                <w:b/>
                <w:bCs/>
                <w:lang w:val="en-US"/>
              </w:rPr>
              <w:t xml:space="preserve">/EA switch → </w:t>
            </w:r>
            <w:proofErr w:type="spellStart"/>
            <w:r w:rsidRPr="00750022">
              <w:rPr>
                <w:b/>
                <w:bCs/>
                <w:lang w:val="en-US"/>
              </w:rPr>
              <w:t>MegL</w:t>
            </w:r>
            <w:proofErr w:type="spellEnd"/>
            <w:r w:rsidRPr="00750022">
              <w:rPr>
                <w:b/>
                <w:bCs/>
                <w:lang w:val="en-US"/>
              </w:rPr>
              <w:t xml:space="preserve"> </w:t>
            </w:r>
            <w:proofErr w:type="spellStart"/>
            <w:r w:rsidRPr="00750022">
              <w:rPr>
                <w:b/>
                <w:bCs/>
                <w:lang w:val="en-US"/>
              </w:rPr>
              <w:t>derepression</w:t>
            </w:r>
            <w:proofErr w:type="spellEnd"/>
            <w:r w:rsidRPr="00750022">
              <w:rPr>
                <w:b/>
                <w:bCs/>
                <w:lang w:val="en-US"/>
              </w:rPr>
              <w:t xml:space="preserve"> → PE</w:t>
            </w:r>
          </w:p>
        </w:tc>
        <w:tc>
          <w:tcPr>
            <w:tcW w:w="0" w:type="auto"/>
            <w:hideMark/>
          </w:tcPr>
          <w:p w14:paraId="1A925179"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No</w:t>
            </w:r>
          </w:p>
        </w:tc>
        <w:tc>
          <w:tcPr>
            <w:tcW w:w="0" w:type="auto"/>
            <w:hideMark/>
          </w:tcPr>
          <w:p w14:paraId="7A4C4E31"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This work</w:t>
            </w:r>
          </w:p>
        </w:tc>
      </w:tr>
      <w:tr w:rsidR="00750022" w:rsidRPr="00750022" w14:paraId="57345247"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099F0" w14:textId="77777777" w:rsidR="00750022" w:rsidRPr="00750022" w:rsidRDefault="00750022" w:rsidP="00750022">
            <w:pPr>
              <w:pStyle w:val="BodyText"/>
              <w:rPr>
                <w:lang w:val="en-US"/>
              </w:rPr>
            </w:pPr>
            <w:proofErr w:type="spellStart"/>
            <w:r w:rsidRPr="00750022">
              <w:rPr>
                <w:b/>
                <w:bCs/>
                <w:lang w:val="en-US"/>
              </w:rPr>
              <w:t>Fn</w:t>
            </w:r>
            <w:proofErr w:type="spellEnd"/>
            <w:r w:rsidRPr="00750022">
              <w:rPr>
                <w:b/>
                <w:bCs/>
                <w:lang w:val="en-US"/>
              </w:rPr>
              <w:t xml:space="preserve"> as causal agent of PE (not just PTB)</w:t>
            </w:r>
          </w:p>
        </w:tc>
        <w:tc>
          <w:tcPr>
            <w:tcW w:w="0" w:type="auto"/>
            <w:hideMark/>
          </w:tcPr>
          <w:p w14:paraId="48DE4F79"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w:t>
            </w:r>
          </w:p>
        </w:tc>
        <w:tc>
          <w:tcPr>
            <w:tcW w:w="0" w:type="auto"/>
            <w:hideMark/>
          </w:tcPr>
          <w:p w14:paraId="139BB325"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This work</w:t>
            </w:r>
          </w:p>
        </w:tc>
      </w:tr>
      <w:tr w:rsidR="00750022" w:rsidRPr="00750022" w14:paraId="5AADC070" w14:textId="77777777" w:rsidTr="00750022">
        <w:tc>
          <w:tcPr>
            <w:cnfStyle w:val="001000000000" w:firstRow="0" w:lastRow="0" w:firstColumn="1" w:lastColumn="0" w:oddVBand="0" w:evenVBand="0" w:oddHBand="0" w:evenHBand="0" w:firstRowFirstColumn="0" w:firstRowLastColumn="0" w:lastRowFirstColumn="0" w:lastRowLastColumn="0"/>
            <w:tcW w:w="0" w:type="auto"/>
            <w:hideMark/>
          </w:tcPr>
          <w:p w14:paraId="0D4564B5" w14:textId="77777777" w:rsidR="00750022" w:rsidRPr="00750022" w:rsidRDefault="00750022" w:rsidP="00750022">
            <w:pPr>
              <w:pStyle w:val="BodyText"/>
              <w:rPr>
                <w:lang w:val="en-US"/>
              </w:rPr>
            </w:pPr>
            <w:r w:rsidRPr="00750022">
              <w:rPr>
                <w:b/>
                <w:bCs/>
                <w:lang w:val="en-US"/>
              </w:rPr>
              <w:lastRenderedPageBreak/>
              <w:t>NH₃ as co-toxin with H₂S in PE</w:t>
            </w:r>
          </w:p>
        </w:tc>
        <w:tc>
          <w:tcPr>
            <w:tcW w:w="0" w:type="auto"/>
            <w:hideMark/>
          </w:tcPr>
          <w:p w14:paraId="3A353158"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No</w:t>
            </w:r>
          </w:p>
        </w:tc>
        <w:tc>
          <w:tcPr>
            <w:tcW w:w="0" w:type="auto"/>
            <w:hideMark/>
          </w:tcPr>
          <w:p w14:paraId="25B2E2A6" w14:textId="77777777" w:rsidR="00750022" w:rsidRPr="00750022" w:rsidRDefault="00750022" w:rsidP="00750022">
            <w:pPr>
              <w:pStyle w:val="BodyText"/>
              <w:cnfStyle w:val="000000000000" w:firstRow="0" w:lastRow="0" w:firstColumn="0" w:lastColumn="0" w:oddVBand="0" w:evenVBand="0" w:oddHBand="0" w:evenHBand="0" w:firstRowFirstColumn="0" w:firstRowLastColumn="0" w:lastRowFirstColumn="0" w:lastRowLastColumn="0"/>
              <w:rPr>
                <w:lang w:val="en-US"/>
              </w:rPr>
            </w:pPr>
            <w:r w:rsidRPr="00750022">
              <w:rPr>
                <w:lang w:val="en-US"/>
              </w:rPr>
              <w:t>This work</w:t>
            </w:r>
          </w:p>
        </w:tc>
      </w:tr>
      <w:tr w:rsidR="00750022" w:rsidRPr="00750022" w14:paraId="587C21DC" w14:textId="77777777" w:rsidTr="007500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C6320" w14:textId="77777777" w:rsidR="00750022" w:rsidRPr="00750022" w:rsidRDefault="00750022" w:rsidP="00750022">
            <w:pPr>
              <w:pStyle w:val="BodyText"/>
              <w:rPr>
                <w:lang w:val="en-US"/>
              </w:rPr>
            </w:pPr>
            <w:proofErr w:type="spellStart"/>
            <w:r w:rsidRPr="00750022">
              <w:rPr>
                <w:b/>
                <w:bCs/>
                <w:lang w:val="en-US"/>
              </w:rPr>
              <w:t>Rnf</w:t>
            </w:r>
            <w:proofErr w:type="spellEnd"/>
            <w:r w:rsidRPr="00750022">
              <w:rPr>
                <w:b/>
                <w:bCs/>
                <w:lang w:val="en-US"/>
              </w:rPr>
              <w:t>–</w:t>
            </w:r>
            <w:proofErr w:type="spellStart"/>
            <w:r w:rsidRPr="00750022">
              <w:rPr>
                <w:b/>
                <w:bCs/>
                <w:lang w:val="en-US"/>
              </w:rPr>
              <w:t>EutV</w:t>
            </w:r>
            <w:proofErr w:type="spellEnd"/>
            <w:r w:rsidRPr="00750022">
              <w:rPr>
                <w:b/>
                <w:bCs/>
                <w:lang w:val="en-US"/>
              </w:rPr>
              <w:t>–</w:t>
            </w:r>
            <w:proofErr w:type="spellStart"/>
            <w:r w:rsidRPr="00750022">
              <w:rPr>
                <w:b/>
                <w:bCs/>
                <w:lang w:val="en-US"/>
              </w:rPr>
              <w:t>MegL</w:t>
            </w:r>
            <w:proofErr w:type="spellEnd"/>
            <w:r w:rsidRPr="00750022">
              <w:rPr>
                <w:b/>
                <w:bCs/>
                <w:lang w:val="en-US"/>
              </w:rPr>
              <w:t xml:space="preserve"> as unified PE circuit</w:t>
            </w:r>
          </w:p>
        </w:tc>
        <w:tc>
          <w:tcPr>
            <w:tcW w:w="0" w:type="auto"/>
            <w:hideMark/>
          </w:tcPr>
          <w:p w14:paraId="1433A5AF"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No</w:t>
            </w:r>
          </w:p>
        </w:tc>
        <w:tc>
          <w:tcPr>
            <w:tcW w:w="0" w:type="auto"/>
            <w:hideMark/>
          </w:tcPr>
          <w:p w14:paraId="1C67E2FF" w14:textId="77777777" w:rsidR="00750022" w:rsidRPr="00750022" w:rsidRDefault="00750022" w:rsidP="00750022">
            <w:pPr>
              <w:pStyle w:val="BodyText"/>
              <w:cnfStyle w:val="000000100000" w:firstRow="0" w:lastRow="0" w:firstColumn="0" w:lastColumn="0" w:oddVBand="0" w:evenVBand="0" w:oddHBand="1" w:evenHBand="0" w:firstRowFirstColumn="0" w:firstRowLastColumn="0" w:lastRowFirstColumn="0" w:lastRowLastColumn="0"/>
              <w:rPr>
                <w:lang w:val="en-US"/>
              </w:rPr>
            </w:pPr>
            <w:r w:rsidRPr="00750022">
              <w:rPr>
                <w:lang w:val="en-US"/>
              </w:rPr>
              <w:t>This work</w:t>
            </w:r>
          </w:p>
        </w:tc>
      </w:tr>
    </w:tbl>
    <w:p w14:paraId="2E47802B" w14:textId="77777777" w:rsidR="00E90484" w:rsidRDefault="00000000" w:rsidP="00750022">
      <w:pPr>
        <w:pStyle w:val="Heading30"/>
      </w:pPr>
      <w:r>
        <w:t>Testable Predictions</w:t>
      </w:r>
    </w:p>
    <w:p w14:paraId="080CB4B0" w14:textId="77777777" w:rsidR="00E90484" w:rsidRDefault="00000000" w:rsidP="00750022">
      <w:pPr>
        <w:pStyle w:val="BodyText"/>
        <w:numPr>
          <w:ilvl w:val="0"/>
          <w:numId w:val="12"/>
        </w:numPr>
      </w:pPr>
      <w:r>
        <w:t xml:space="preserve">Prediction 1. EA supplementation should rescue the ΔeutN virulence defect by restoring BMC assembly and </w:t>
      </w:r>
      <w:proofErr w:type="spellStart"/>
      <w:r>
        <w:t>EutV</w:t>
      </w:r>
      <w:proofErr w:type="spellEnd"/>
      <w:r>
        <w:t xml:space="preserve">-mediated </w:t>
      </w:r>
      <w:proofErr w:type="spellStart"/>
      <w:r>
        <w:t>megL</w:t>
      </w:r>
      <w:proofErr w:type="spellEnd"/>
      <w:r>
        <w:t xml:space="preserve"> suppression. Experiment: Supplement pregnant mice with exogenous EA before Fn ΔeutN infection; measure pup survival. Reagents: Existing ΔeutN strain from Franklin et al. (</w:t>
      </w:r>
      <w:proofErr w:type="gramStart"/>
      <w:r>
        <w:t>2025)²</w:t>
      </w:r>
      <w:proofErr w:type="gramEnd"/>
      <w:r>
        <w:t>⁰.</w:t>
      </w:r>
    </w:p>
    <w:p w14:paraId="6A7C66DA" w14:textId="77777777" w:rsidR="00E90484" w:rsidRDefault="00000000" w:rsidP="00750022">
      <w:pPr>
        <w:pStyle w:val="BodyText"/>
        <w:numPr>
          <w:ilvl w:val="0"/>
          <w:numId w:val="12"/>
        </w:numPr>
      </w:pPr>
      <w:r>
        <w:t xml:space="preserve">Prediction 2. The ΔmegL mutant should rescue blood pressure and proteinuria in a PE mouse model. Experiment: Use L-NAME or reduced uterine perfusion pressure (RUPP) PE model + Fn infection; compare blood pressure and sFlt-1 in </w:t>
      </w:r>
      <w:proofErr w:type="spellStart"/>
      <w:r>
        <w:t>ΔmegL</w:t>
      </w:r>
      <w:proofErr w:type="spellEnd"/>
      <w:r>
        <w:t xml:space="preserve"> vs. wild-type infected mice. Reagents: Existing ΔmegL strain from Chen et al. (</w:t>
      </w:r>
      <w:proofErr w:type="gramStart"/>
      <w:r>
        <w:t>2022)¹</w:t>
      </w:r>
      <w:proofErr w:type="gramEnd"/>
      <w:r>
        <w:t>⁹.</w:t>
      </w:r>
    </w:p>
    <w:p w14:paraId="4182ABC3" w14:textId="77777777" w:rsidR="00E90484" w:rsidRDefault="00000000" w:rsidP="00750022">
      <w:pPr>
        <w:pStyle w:val="BodyText"/>
        <w:numPr>
          <w:ilvl w:val="0"/>
          <w:numId w:val="12"/>
        </w:numPr>
      </w:pPr>
      <w:r>
        <w:t xml:space="preserve">Prediction 3. H₂S + NH₃ co-treatment should be synergistically more toxic to trophoblasts than either compound alone. Experiment: Treat HTR8/SVneo cells with NaHS (H₂S donor) + </w:t>
      </w:r>
      <w:proofErr w:type="spellStart"/>
      <w:r>
        <w:t>NH₄Cl</w:t>
      </w:r>
      <w:proofErr w:type="spellEnd"/>
      <w:r>
        <w:t xml:space="preserve"> at </w:t>
      </w:r>
      <w:proofErr w:type="spellStart"/>
      <w:r>
        <w:t>MegL</w:t>
      </w:r>
      <w:proofErr w:type="spellEnd"/>
      <w:r>
        <w:t>-equivalent concentrations; measure barrier integrity, eNOS activity, mitochondrial membrane potential, and sFlt-1 secretion. Cell line: HTR8/SVneo, used in Franklin et al. (</w:t>
      </w:r>
      <w:proofErr w:type="gramStart"/>
      <w:r>
        <w:t>2025)²</w:t>
      </w:r>
      <w:proofErr w:type="gramEnd"/>
      <w:r>
        <w:t>⁰.</w:t>
      </w:r>
    </w:p>
    <w:p w14:paraId="4D042743" w14:textId="77777777" w:rsidR="00E90484" w:rsidRDefault="00000000" w:rsidP="00750022">
      <w:pPr>
        <w:pStyle w:val="BodyText"/>
        <w:numPr>
          <w:ilvl w:val="0"/>
          <w:numId w:val="12"/>
        </w:numPr>
      </w:pPr>
      <w:r>
        <w:t xml:space="preserve">Prediction 4. PE placentas should show a higher EA Availability Score (EAS) than normotensive controls. Experiment: Analyse GEO dataset GSE75010 (n = 157; PE vs. control placentas) for expression of EA liberation genes (GDPD1, GDPD5, PLD1, FAAH) and EA consumption genes (ETNK1, PCYT2). EAS = </w:t>
      </w:r>
      <w:proofErr w:type="gramStart"/>
      <w:r>
        <w:t>Σ(</w:t>
      </w:r>
      <w:proofErr w:type="gramEnd"/>
      <w:r>
        <w:t xml:space="preserve">liberation genes) / </w:t>
      </w:r>
      <w:proofErr w:type="gramStart"/>
      <w:r>
        <w:t>Σ(</w:t>
      </w:r>
      <w:proofErr w:type="gramEnd"/>
      <w:r>
        <w:t>consumption genes). Data: Publicly available.</w:t>
      </w:r>
    </w:p>
    <w:p w14:paraId="336323DC" w14:textId="77777777" w:rsidR="00E90484" w:rsidRDefault="00000000" w:rsidP="00750022">
      <w:pPr>
        <w:pStyle w:val="BodyText"/>
        <w:numPr>
          <w:ilvl w:val="0"/>
          <w:numId w:val="12"/>
        </w:numPr>
      </w:pPr>
      <w:r>
        <w:t>Prediction 5. The ModS sensor domain should bind EA or an EA metabolite (acetaldehyde, phosphoethanolamine). Experiment: Recombinant expression and isothermal titration calorimetry (ITC) of the ModS periplasmic domain with candidate ligands. Reagents: Existing expression constructs from the Ton-That laboratory.</w:t>
      </w:r>
    </w:p>
    <w:p w14:paraId="7D6385AF" w14:textId="77777777" w:rsidR="00E90484" w:rsidRDefault="00000000" w:rsidP="00750022">
      <w:pPr>
        <w:pStyle w:val="Hading2"/>
      </w:pPr>
      <w:r>
        <w:t>Discussion</w:t>
      </w:r>
    </w:p>
    <w:p w14:paraId="6E0C97D0" w14:textId="149FF7A4" w:rsidR="00E90484" w:rsidRDefault="00000000">
      <w:pPr>
        <w:pStyle w:val="BodyText"/>
      </w:pPr>
      <w:r>
        <w:t xml:space="preserve">The Ethanolamine–MegL Toxic Switch model proposed here represents the first mechanistic hypothesis linking Fn metabolic genetics to the vascular pathophysiology of PE. It is built entirely on published data </w:t>
      </w:r>
      <w:r w:rsidR="00E438EE">
        <w:t>-</w:t>
      </w:r>
      <w:r>
        <w:t xml:space="preserve"> principally from the Ton-That laboratory </w:t>
      </w:r>
      <w:r w:rsidR="00E438EE">
        <w:t>-</w:t>
      </w:r>
      <w:r>
        <w:t xml:space="preserve"> but connects findings that have not previously been integrated. The model’s strength lies in its specificity: </w:t>
      </w:r>
      <w:r w:rsidRPr="009D2783">
        <w:rPr>
          <w:b/>
          <w:bCs/>
        </w:rPr>
        <w:t>it identifies a single enzyme (MegL),</w:t>
      </w:r>
      <w:r>
        <w:t xml:space="preserve"> a single regulatory switch (EutV/EA), and a dual toxin (H₂S + NH₃) as the molecular basis of </w:t>
      </w:r>
      <w:proofErr w:type="spellStart"/>
      <w:r>
        <w:t>Fn</w:t>
      </w:r>
      <w:proofErr w:type="spellEnd"/>
      <w:r>
        <w:t>-mediated PE. Each component is genetically tractable, biochemically characterised, and testable in existing animal models.</w:t>
      </w:r>
    </w:p>
    <w:p w14:paraId="559AC5AF" w14:textId="77777777" w:rsidR="009D2783" w:rsidRDefault="00000000">
      <w:pPr>
        <w:pStyle w:val="BodyText"/>
      </w:pPr>
      <w:r>
        <w:lastRenderedPageBreak/>
        <w:t xml:space="preserve">The model also explains several previously puzzling observations. </w:t>
      </w:r>
    </w:p>
    <w:p w14:paraId="6D0F44FD" w14:textId="77777777" w:rsidR="009D2783" w:rsidRDefault="00000000" w:rsidP="009D2783">
      <w:pPr>
        <w:pStyle w:val="BodyText"/>
        <w:ind w:firstLine="720"/>
      </w:pPr>
      <w:r>
        <w:t xml:space="preserve">First, it explains why PE peaks in the third trimester: this is when placental EA availability is highest (supporting Fn colonisation) and when EA depletion </w:t>
      </w:r>
      <w:r w:rsidR="00E438EE">
        <w:t>-</w:t>
      </w:r>
      <w:r>
        <w:t xml:space="preserve"> triggered by the combination of Fn consumption and placental </w:t>
      </w:r>
      <w:proofErr w:type="spellStart"/>
      <w:r>
        <w:t>ischaemia</w:t>
      </w:r>
      <w:proofErr w:type="spellEnd"/>
      <w:r>
        <w:t xml:space="preserve"> </w:t>
      </w:r>
      <w:r w:rsidR="00E438EE">
        <w:t>-</w:t>
      </w:r>
      <w:r>
        <w:t xml:space="preserve"> is most likely to activate the MegL switch. </w:t>
      </w:r>
    </w:p>
    <w:p w14:paraId="28A2C827" w14:textId="77777777" w:rsidR="009D2783" w:rsidRDefault="00000000" w:rsidP="009D2783">
      <w:pPr>
        <w:pStyle w:val="BodyText"/>
        <w:ind w:firstLine="720"/>
      </w:pPr>
      <w:r>
        <w:t xml:space="preserve">Second, it explains why Fn is associated with PE while Lm is not, despite their shared EA-sensing biology: the molecular difference is MegL. </w:t>
      </w:r>
    </w:p>
    <w:p w14:paraId="7428EF89" w14:textId="7DD67DBD" w:rsidR="00E90484" w:rsidRDefault="00000000" w:rsidP="009D2783">
      <w:pPr>
        <w:pStyle w:val="BodyText"/>
        <w:ind w:firstLine="720"/>
      </w:pPr>
      <w:r>
        <w:t xml:space="preserve">Third, it explains the disproportionate virulence defect of ΔmegL compared with other H₂S-deficient mutants: </w:t>
      </w:r>
      <w:proofErr w:type="spellStart"/>
      <w:r>
        <w:t>MegL</w:t>
      </w:r>
      <w:proofErr w:type="spellEnd"/>
      <w:r>
        <w:t xml:space="preserve"> uniquely produces both H₂S and NH₃, creating a synergistic dual toxin.</w:t>
      </w:r>
    </w:p>
    <w:p w14:paraId="2B3BE1D8" w14:textId="77777777" w:rsidR="009D2783" w:rsidRDefault="00000000">
      <w:pPr>
        <w:pStyle w:val="BodyText"/>
      </w:pPr>
      <w:r>
        <w:t xml:space="preserve">The clinical implications are significant. If validated, the model suggests that: </w:t>
      </w:r>
    </w:p>
    <w:p w14:paraId="28E672B5" w14:textId="77777777" w:rsidR="009D2783" w:rsidRDefault="00000000" w:rsidP="009D2783">
      <w:pPr>
        <w:pStyle w:val="BodyText"/>
        <w:numPr>
          <w:ilvl w:val="0"/>
          <w:numId w:val="13"/>
        </w:numPr>
      </w:pPr>
      <w:r>
        <w:t xml:space="preserve">oral hygiene interventions targeting Fn could reduce PE </w:t>
      </w:r>
      <w:proofErr w:type="gramStart"/>
      <w:r>
        <w:t>risk;</w:t>
      </w:r>
      <w:proofErr w:type="gramEnd"/>
      <w:r>
        <w:t xml:space="preserve"> </w:t>
      </w:r>
    </w:p>
    <w:p w14:paraId="218FA62A" w14:textId="77777777" w:rsidR="009D2783" w:rsidRDefault="00000000" w:rsidP="009D2783">
      <w:pPr>
        <w:pStyle w:val="BodyText"/>
        <w:numPr>
          <w:ilvl w:val="0"/>
          <w:numId w:val="13"/>
        </w:numPr>
      </w:pPr>
      <w:proofErr w:type="spellStart"/>
      <w:r>
        <w:t>MegL</w:t>
      </w:r>
      <w:proofErr w:type="spellEnd"/>
      <w:r>
        <w:t xml:space="preserve"> inhibitors </w:t>
      </w:r>
      <w:r w:rsidR="00E438EE">
        <w:t>-</w:t>
      </w:r>
      <w:r>
        <w:t xml:space="preserve"> for which crystal structures are available³¹ </w:t>
      </w:r>
      <w:r w:rsidR="00E438EE">
        <w:t>-</w:t>
      </w:r>
      <w:r>
        <w:t xml:space="preserve"> could serve as targeted </w:t>
      </w:r>
      <w:proofErr w:type="gramStart"/>
      <w:r>
        <w:t>therapeutics;</w:t>
      </w:r>
      <w:proofErr w:type="gramEnd"/>
      <w:r>
        <w:t xml:space="preserve"> </w:t>
      </w:r>
    </w:p>
    <w:p w14:paraId="79C52C85" w14:textId="77777777" w:rsidR="009D2783" w:rsidRDefault="00000000" w:rsidP="009D2783">
      <w:pPr>
        <w:pStyle w:val="BodyText"/>
        <w:numPr>
          <w:ilvl w:val="0"/>
          <w:numId w:val="13"/>
        </w:numPr>
      </w:pPr>
      <w:r>
        <w:t>the sFlt-1/</w:t>
      </w:r>
      <w:proofErr w:type="spellStart"/>
      <w:r>
        <w:t>PlGF</w:t>
      </w:r>
      <w:proofErr w:type="spellEnd"/>
      <w:r>
        <w:t xml:space="preserve"> ratio could be used to monitor </w:t>
      </w:r>
      <w:proofErr w:type="spellStart"/>
      <w:r>
        <w:t>Fn</w:t>
      </w:r>
      <w:proofErr w:type="spellEnd"/>
      <w:r>
        <w:t>-mediated endothelial damage in real time⁴</w:t>
      </w:r>
      <w:proofErr w:type="gramStart"/>
      <w:r>
        <w:t>²;</w:t>
      </w:r>
      <w:proofErr w:type="gramEnd"/>
      <w:r>
        <w:t xml:space="preserve"> </w:t>
      </w:r>
    </w:p>
    <w:p w14:paraId="617A470A" w14:textId="3E23AD89" w:rsidR="00E90484" w:rsidRDefault="00000000" w:rsidP="009D2783">
      <w:pPr>
        <w:pStyle w:val="BodyText"/>
        <w:numPr>
          <w:ilvl w:val="0"/>
          <w:numId w:val="13"/>
        </w:numPr>
      </w:pPr>
      <w:r>
        <w:t>EA supplementation might paradoxically protect against PE by maintaining EutV activity and suppressing MegL.</w:t>
      </w:r>
    </w:p>
    <w:p w14:paraId="2B04369B" w14:textId="77777777" w:rsidR="00E90484" w:rsidRDefault="00000000">
      <w:pPr>
        <w:pStyle w:val="BodyText"/>
      </w:pPr>
      <w:r>
        <w:t>References</w:t>
      </w:r>
    </w:p>
    <w:p w14:paraId="5BAFA855" w14:textId="77777777" w:rsidR="00E90484" w:rsidRDefault="00000000" w:rsidP="000833BF">
      <w:pPr>
        <w:pStyle w:val="BodyText"/>
        <w:numPr>
          <w:ilvl w:val="0"/>
          <w:numId w:val="5"/>
        </w:numPr>
      </w:pPr>
      <w:r>
        <w:t>Redman, C. W. G. &amp; Sargent, I. L. Latest advances in understanding preeclampsia. Science 308, 1592–1594 (2005).</w:t>
      </w:r>
    </w:p>
    <w:p w14:paraId="7CD99E6A" w14:textId="77777777" w:rsidR="00E90484" w:rsidRDefault="00000000" w:rsidP="000833BF">
      <w:pPr>
        <w:pStyle w:val="BodyText"/>
        <w:numPr>
          <w:ilvl w:val="0"/>
          <w:numId w:val="5"/>
        </w:numPr>
      </w:pPr>
      <w:r>
        <w:t>Duley, L. The global impact of pre-eclampsia and eclampsia. Semin. Perinatol. 33, 130–137 (2009).</w:t>
      </w:r>
    </w:p>
    <w:p w14:paraId="439F4B08" w14:textId="77777777" w:rsidR="00E90484" w:rsidRDefault="00000000" w:rsidP="000833BF">
      <w:pPr>
        <w:pStyle w:val="BodyText"/>
        <w:numPr>
          <w:ilvl w:val="0"/>
          <w:numId w:val="5"/>
        </w:numPr>
      </w:pPr>
      <w:r>
        <w:t xml:space="preserve">Maynard, S. E. et al. Excess placental soluble </w:t>
      </w:r>
      <w:proofErr w:type="spellStart"/>
      <w:r>
        <w:t>fms</w:t>
      </w:r>
      <w:proofErr w:type="spellEnd"/>
      <w:r>
        <w:t>-like tyrosine kinase 1 (sFlt1) may contribute to endothelial dysfunction, hypertension, and proteinuria in preeclampsia. J. Clin. Invest. 111, 649–658 (2003).</w:t>
      </w:r>
    </w:p>
    <w:p w14:paraId="510E5BEE" w14:textId="77777777" w:rsidR="00E90484" w:rsidRDefault="00000000" w:rsidP="000833BF">
      <w:pPr>
        <w:pStyle w:val="BodyText"/>
        <w:numPr>
          <w:ilvl w:val="0"/>
          <w:numId w:val="5"/>
        </w:numPr>
      </w:pPr>
      <w:r>
        <w:t xml:space="preserve">Levine, R. J. et al. Circulating angiogenic factors and the risk of </w:t>
      </w:r>
      <w:proofErr w:type="gramStart"/>
      <w:r>
        <w:t>preeclampsia</w:t>
      </w:r>
      <w:proofErr w:type="gramEnd"/>
      <w:r>
        <w:t>. N. Engl. J. Med. 350, 672–683 (2004).</w:t>
      </w:r>
    </w:p>
    <w:p w14:paraId="2EE99420" w14:textId="1DC5ADF8" w:rsidR="00E90484" w:rsidRDefault="00000000" w:rsidP="000833BF">
      <w:pPr>
        <w:pStyle w:val="BodyText"/>
        <w:numPr>
          <w:ilvl w:val="0"/>
          <w:numId w:val="5"/>
        </w:numPr>
      </w:pPr>
      <w:r>
        <w:t xml:space="preserve">Redman, C. W. G., Sargent, I. L. &amp; Staff, A. C. IFPA Senior Award Lecture: making sense of pre-eclampsia </w:t>
      </w:r>
      <w:r w:rsidR="00E438EE">
        <w:t>-</w:t>
      </w:r>
      <w:r>
        <w:t xml:space="preserve"> two placental causes of </w:t>
      </w:r>
      <w:proofErr w:type="gramStart"/>
      <w:r>
        <w:t>preeclampsia</w:t>
      </w:r>
      <w:proofErr w:type="gramEnd"/>
      <w:r>
        <w:t>? Placenta 35, S20–S25 (2014).</w:t>
      </w:r>
    </w:p>
    <w:p w14:paraId="51E46139" w14:textId="77777777" w:rsidR="00E90484" w:rsidRDefault="00000000" w:rsidP="000833BF">
      <w:pPr>
        <w:pStyle w:val="BodyText"/>
        <w:numPr>
          <w:ilvl w:val="0"/>
          <w:numId w:val="5"/>
        </w:numPr>
      </w:pPr>
      <w:r>
        <w:t>Barak, S. et al. Evidence of periopathogenic microorganisms in placentas of women with preeclampsia. J. Periodontol. 78, 670–676 (2007).</w:t>
      </w:r>
    </w:p>
    <w:p w14:paraId="41729A21" w14:textId="77777777" w:rsidR="00E90484" w:rsidRDefault="00000000" w:rsidP="000833BF">
      <w:pPr>
        <w:pStyle w:val="BodyText"/>
        <w:numPr>
          <w:ilvl w:val="0"/>
          <w:numId w:val="5"/>
        </w:numPr>
      </w:pPr>
      <w:r>
        <w:lastRenderedPageBreak/>
        <w:t>Amarasekara, R. et al. Microbiome of the placenta in pre-eclampsia supports the role of bacteria in the multifactorial cause of pre-eclampsia. J. Obstet. Gynaecol. Res. 41, 662–669 (2015).</w:t>
      </w:r>
    </w:p>
    <w:p w14:paraId="648FB655" w14:textId="77777777" w:rsidR="00E90484" w:rsidRDefault="00000000" w:rsidP="000833BF">
      <w:pPr>
        <w:pStyle w:val="BodyText"/>
        <w:numPr>
          <w:ilvl w:val="0"/>
          <w:numId w:val="5"/>
        </w:numPr>
      </w:pPr>
      <w:r>
        <w:t>Vander Haar, E. L. et al. Fusobacterium nucleatum and adverse pregnancy outcomes: epidemiological and mechanistic evidence. Anaerobe 50, 55–59 (2018).</w:t>
      </w:r>
    </w:p>
    <w:p w14:paraId="7852CC9E" w14:textId="479149FC" w:rsidR="00E90484" w:rsidRDefault="00000000" w:rsidP="000833BF">
      <w:pPr>
        <w:pStyle w:val="BodyText"/>
        <w:numPr>
          <w:ilvl w:val="0"/>
          <w:numId w:val="5"/>
        </w:numPr>
      </w:pPr>
      <w:r>
        <w:t xml:space="preserve">Brennan, C. A. &amp; Garrett, W. S. Fusobacterium </w:t>
      </w:r>
      <w:proofErr w:type="spellStart"/>
      <w:r>
        <w:t>nucleatum</w:t>
      </w:r>
      <w:proofErr w:type="spellEnd"/>
      <w:r>
        <w:t xml:space="preserve"> </w:t>
      </w:r>
      <w:r w:rsidR="00E438EE">
        <w:t>-</w:t>
      </w:r>
      <w:r>
        <w:t xml:space="preserve"> symbiont, opportunist and oncobacterium. Nat. Rev. Microbiol. 17, 156–166 (2019).</w:t>
      </w:r>
    </w:p>
    <w:p w14:paraId="1B80BF43" w14:textId="77777777" w:rsidR="00E90484" w:rsidRDefault="00000000" w:rsidP="000833BF">
      <w:pPr>
        <w:pStyle w:val="BodyText"/>
        <w:numPr>
          <w:ilvl w:val="0"/>
          <w:numId w:val="5"/>
        </w:numPr>
      </w:pPr>
      <w:r>
        <w:t>Kostic, A. D. et al. Genomic analysis identifies association of Fusobacterium with colorectal carcinoma. Genome Res. 22, 292–298 (2012).</w:t>
      </w:r>
    </w:p>
    <w:p w14:paraId="35363C8A" w14:textId="77777777" w:rsidR="00E90484" w:rsidRDefault="00000000" w:rsidP="000833BF">
      <w:pPr>
        <w:pStyle w:val="BodyText"/>
        <w:numPr>
          <w:ilvl w:val="0"/>
          <w:numId w:val="5"/>
        </w:numPr>
      </w:pPr>
      <w:r>
        <w:t>Kostic, A. D. et al. Fusobacterium nucleatum potentiates intestinal tumorigenesis and modulates the tumor-immune microenvironment. Cell Host Microbe 14, 207–215 (2013).</w:t>
      </w:r>
    </w:p>
    <w:p w14:paraId="7CBD53BE" w14:textId="77777777" w:rsidR="00E90484" w:rsidRDefault="00000000" w:rsidP="000833BF">
      <w:pPr>
        <w:pStyle w:val="BodyText"/>
        <w:numPr>
          <w:ilvl w:val="0"/>
          <w:numId w:val="5"/>
        </w:numPr>
      </w:pPr>
      <w:r>
        <w:t>Swati, P. et al. Simultaneous detection of periodontal pathogens in subgingival plaque and placenta of women with hypertension in pregnancy. Arch. Gynecol. Obstet. 285, 613–619 (2012).</w:t>
      </w:r>
    </w:p>
    <w:p w14:paraId="0642A985" w14:textId="77777777" w:rsidR="00E90484" w:rsidRDefault="00000000" w:rsidP="000833BF">
      <w:pPr>
        <w:pStyle w:val="BodyText"/>
        <w:numPr>
          <w:ilvl w:val="0"/>
          <w:numId w:val="5"/>
        </w:numPr>
      </w:pPr>
      <w:r>
        <w:t xml:space="preserve">Chaparro, A. et al. Porphyromonas gingivalis, Treponema </w:t>
      </w:r>
      <w:proofErr w:type="spellStart"/>
      <w:r>
        <w:t>denticola</w:t>
      </w:r>
      <w:proofErr w:type="spellEnd"/>
      <w:r>
        <w:t xml:space="preserve"> and toll-like receptor 2 are associated with hypertensive disorders in placental tissue. J. Periodontal Res. 48, 802–809 (2013).</w:t>
      </w:r>
    </w:p>
    <w:p w14:paraId="466E12C8" w14:textId="77777777" w:rsidR="00E90484" w:rsidRDefault="00000000" w:rsidP="000833BF">
      <w:pPr>
        <w:pStyle w:val="BodyText"/>
        <w:numPr>
          <w:ilvl w:val="0"/>
          <w:numId w:val="5"/>
        </w:numPr>
      </w:pPr>
      <w:r>
        <w:t>Scoping review of microbiota dysbiosis and risk of preeclampsia. PMC (2024). PMC11501047.</w:t>
      </w:r>
    </w:p>
    <w:p w14:paraId="07D356BB" w14:textId="77777777" w:rsidR="00E90484" w:rsidRDefault="00000000" w:rsidP="000833BF">
      <w:pPr>
        <w:pStyle w:val="BodyText"/>
        <w:numPr>
          <w:ilvl w:val="0"/>
          <w:numId w:val="5"/>
        </w:numPr>
      </w:pPr>
      <w:proofErr w:type="spellStart"/>
      <w:r>
        <w:t>Coppenhagen</w:t>
      </w:r>
      <w:proofErr w:type="spellEnd"/>
      <w:r>
        <w:t xml:space="preserve">-Glazer, S. et al. Fap2 of Fusobacterium </w:t>
      </w:r>
      <w:proofErr w:type="spellStart"/>
      <w:r>
        <w:t>nucleatum</w:t>
      </w:r>
      <w:proofErr w:type="spellEnd"/>
      <w:r>
        <w:t xml:space="preserve"> is a galactose-inhibitable adhesin involved in coaggregation, cell adhesion, and preterm birth. Infect. Immun. 83, 1104–1113 (2015).</w:t>
      </w:r>
    </w:p>
    <w:p w14:paraId="51B2EFC4" w14:textId="77777777" w:rsidR="00E90484" w:rsidRDefault="00000000" w:rsidP="000833BF">
      <w:pPr>
        <w:pStyle w:val="BodyText"/>
        <w:numPr>
          <w:ilvl w:val="0"/>
          <w:numId w:val="5"/>
        </w:numPr>
      </w:pPr>
      <w:r>
        <w:t>Rubinstein, M. R. et al. Fusobacterium nucleatum promotes colorectal carcinogenesis by modulating E-cadherin/β-catenin signaling via its FadA adhesin. Cell Host Microbe 14, 195–206 (2013).</w:t>
      </w:r>
    </w:p>
    <w:p w14:paraId="58A51602" w14:textId="77777777" w:rsidR="00E90484" w:rsidRDefault="00000000" w:rsidP="000833BF">
      <w:pPr>
        <w:pStyle w:val="BodyText"/>
        <w:numPr>
          <w:ilvl w:val="0"/>
          <w:numId w:val="5"/>
        </w:numPr>
      </w:pPr>
      <w:r>
        <w:t>Xu, M. et al. FadA from Fusobacterium nucleatum utilizes both secreted and nonsecreted forms for functional oligomerization for attachment and invasion of host cells. J. Biol. Chem. 282, 25000–25009 (2007).</w:t>
      </w:r>
    </w:p>
    <w:p w14:paraId="504A2278" w14:textId="77777777" w:rsidR="00E90484" w:rsidRDefault="00000000" w:rsidP="000833BF">
      <w:pPr>
        <w:pStyle w:val="BodyText"/>
        <w:numPr>
          <w:ilvl w:val="0"/>
          <w:numId w:val="5"/>
        </w:numPr>
      </w:pPr>
      <w:r>
        <w:t>Han, Y. W. et al. Fusobacterium nucleatum induces premature and term stillbirths in pregnant mice: implication of oral bacteria in preterm birth. Infect. Immun. 72, 2272–2279 (2004).</w:t>
      </w:r>
    </w:p>
    <w:p w14:paraId="471923F8" w14:textId="77777777" w:rsidR="00E90484" w:rsidRDefault="00000000" w:rsidP="000833BF">
      <w:pPr>
        <w:pStyle w:val="BodyText"/>
        <w:numPr>
          <w:ilvl w:val="0"/>
          <w:numId w:val="5"/>
        </w:numPr>
      </w:pPr>
      <w:r>
        <w:t>Chen, Y.-W.</w:t>
      </w:r>
      <w:r>
        <w:rPr>
          <w:i/>
        </w:rPr>
        <w:t>, Camacho, M. I.</w:t>
      </w:r>
      <w:r>
        <w:t xml:space="preserve"> et al. Genetic determinants of hydrogen sulfide biosynthesis in Fusobacterium nucleatum are required for bacterial fitness, antibiotic sensitivity, and virulence. mBio 13, e01936-22 (2022).</w:t>
      </w:r>
    </w:p>
    <w:p w14:paraId="2A85BAC9" w14:textId="77777777" w:rsidR="00E90484" w:rsidRDefault="00000000" w:rsidP="000833BF">
      <w:pPr>
        <w:pStyle w:val="BodyText"/>
        <w:numPr>
          <w:ilvl w:val="0"/>
          <w:numId w:val="5"/>
        </w:numPr>
      </w:pPr>
      <w:r>
        <w:lastRenderedPageBreak/>
        <w:t>Franklin, D. S. et al. Ethanolamine-induced assembly of microcompartments is required for Fusobacterium nucleatum virulence. mBio 16, e03405-24 (2025).</w:t>
      </w:r>
    </w:p>
    <w:p w14:paraId="675B74C1" w14:textId="77777777" w:rsidR="00E90484" w:rsidRDefault="00000000" w:rsidP="000833BF">
      <w:pPr>
        <w:pStyle w:val="BodyText"/>
        <w:numPr>
          <w:ilvl w:val="0"/>
          <w:numId w:val="5"/>
        </w:numPr>
      </w:pPr>
      <w:r>
        <w:t>White, D. A. Phospholipid composition of mammalian tissues. In Form and Function of Phospholipids (eds Ansell, G. B., Hawthorne, J. N. &amp; Dawson, R. M. C.) 441–482 (Elsevier, 1973).</w:t>
      </w:r>
    </w:p>
    <w:p w14:paraId="3A9AF1BF" w14:textId="77777777" w:rsidR="00E90484" w:rsidRDefault="00000000" w:rsidP="000833BF">
      <w:pPr>
        <w:pStyle w:val="BodyText"/>
        <w:numPr>
          <w:ilvl w:val="0"/>
          <w:numId w:val="5"/>
        </w:numPr>
      </w:pPr>
      <w:r>
        <w:t>Patel, D. &amp; Witt, S. N. Ethanolamine and phosphatidylethanolamine: partners in health and disease. Oxid. Med. Cell. Longev. 2017, 4829180 (2017).</w:t>
      </w:r>
    </w:p>
    <w:p w14:paraId="6538F9DC" w14:textId="77777777" w:rsidR="00E90484" w:rsidRDefault="00000000" w:rsidP="000833BF">
      <w:pPr>
        <w:pStyle w:val="BodyText"/>
        <w:numPr>
          <w:ilvl w:val="0"/>
          <w:numId w:val="5"/>
        </w:numPr>
      </w:pPr>
      <w:r>
        <w:t>Voss, T. et al. Glycerophosphodiester phosphodiesterase domain containing 5 (GDPD5) expression correlates with malignant glioma grade. BMC Cancer 8, 53 (2008).</w:t>
      </w:r>
    </w:p>
    <w:p w14:paraId="55D66614" w14:textId="77777777" w:rsidR="00E90484" w:rsidRDefault="00000000" w:rsidP="000833BF">
      <w:pPr>
        <w:pStyle w:val="BodyText"/>
        <w:numPr>
          <w:ilvl w:val="0"/>
          <w:numId w:val="5"/>
        </w:numPr>
      </w:pPr>
      <w:r>
        <w:t>Maccarrone, M. et al. Progesterone up-regulates anandamide hydrolase in human lymphocytes: role of cytokines and implications for fertility. J. Immunol. 166, 7183–7189 (2001).</w:t>
      </w:r>
    </w:p>
    <w:p w14:paraId="1D170275" w14:textId="77777777" w:rsidR="00E90484" w:rsidRDefault="00000000" w:rsidP="000833BF">
      <w:pPr>
        <w:pStyle w:val="BodyText"/>
        <w:numPr>
          <w:ilvl w:val="0"/>
          <w:numId w:val="5"/>
        </w:numPr>
      </w:pPr>
      <w:r>
        <w:t>Staff, A. C. et al. Increased contents of phospholipids, cholesterol, and lipid peroxides in decidua basalis in women with preeclampsia. Am. J. Obstet. Gynecol. 180, 587–592 (1999).</w:t>
      </w:r>
    </w:p>
    <w:p w14:paraId="16C5F948" w14:textId="77777777" w:rsidR="00E90484" w:rsidRDefault="00000000" w:rsidP="000833BF">
      <w:pPr>
        <w:pStyle w:val="BodyText"/>
        <w:numPr>
          <w:ilvl w:val="0"/>
          <w:numId w:val="5"/>
        </w:numPr>
      </w:pPr>
      <w:r>
        <w:t>McMaster, C. R. &amp; Choy, P. C. The determination of tissue ethanolamine levels by reverse-phase high-performance liquid chromatography. Lipids 27, 560–563 (1992).</w:t>
      </w:r>
    </w:p>
    <w:p w14:paraId="43F8EA2A" w14:textId="77777777" w:rsidR="00E90484" w:rsidRDefault="00000000" w:rsidP="000833BF">
      <w:pPr>
        <w:pStyle w:val="BodyText"/>
        <w:numPr>
          <w:ilvl w:val="0"/>
          <w:numId w:val="5"/>
        </w:numPr>
      </w:pPr>
      <w:r>
        <w:t>Bertin, Y. et al. Enterohaemorrhagic Escherichia coli gains a competitive advantage by using ethanolamine as a nitrogen source in the bovine intestinal content. Environ. Microbiol. 13, 365–377 (2011).</w:t>
      </w:r>
    </w:p>
    <w:p w14:paraId="3F3C3123" w14:textId="77777777" w:rsidR="00E90484" w:rsidRDefault="00000000" w:rsidP="000833BF">
      <w:pPr>
        <w:pStyle w:val="BodyText"/>
        <w:numPr>
          <w:ilvl w:val="0"/>
          <w:numId w:val="5"/>
        </w:numPr>
      </w:pPr>
      <w:r>
        <w:t>Huang, X. et al. Increased placental phospholipid levels in pre-eclamptic pregnancies. Int. J. Mol. Sci. 14, 3487–3499 (2013).</w:t>
      </w:r>
    </w:p>
    <w:p w14:paraId="0335EA6E" w14:textId="77777777" w:rsidR="00E90484" w:rsidRDefault="00000000" w:rsidP="000833BF">
      <w:pPr>
        <w:pStyle w:val="BodyText"/>
        <w:numPr>
          <w:ilvl w:val="0"/>
          <w:numId w:val="5"/>
        </w:numPr>
      </w:pPr>
      <w:r>
        <w:t>Redman, C. W. G. &amp; Sargent, I. L. Latest advances in understanding preeclampsia. Science 308, 1592–1594 (2005).</w:t>
      </w:r>
    </w:p>
    <w:p w14:paraId="466F21DA" w14:textId="77777777" w:rsidR="00E90484" w:rsidRDefault="00000000" w:rsidP="000833BF">
      <w:pPr>
        <w:pStyle w:val="BodyText"/>
        <w:numPr>
          <w:ilvl w:val="0"/>
          <w:numId w:val="5"/>
        </w:numPr>
      </w:pPr>
      <w:r>
        <w:t xml:space="preserve">Chen, S.-J., Liu, Y.-L. &amp; </w:t>
      </w:r>
      <w:proofErr w:type="spellStart"/>
      <w:r>
        <w:t>Sytwu</w:t>
      </w:r>
      <w:proofErr w:type="spellEnd"/>
      <w:r>
        <w:t>, H.-K. Immunologic regulation in pregnancy: from mechanism to therapeutic strategy for immunomodulation. Clin. Dev. Immunol. 2012, 258391 (2012).</w:t>
      </w:r>
    </w:p>
    <w:p w14:paraId="30728243" w14:textId="77777777" w:rsidR="00E90484" w:rsidRDefault="00000000" w:rsidP="000833BF">
      <w:pPr>
        <w:pStyle w:val="BodyText"/>
        <w:numPr>
          <w:ilvl w:val="0"/>
          <w:numId w:val="5"/>
        </w:numPr>
      </w:pPr>
      <w:r>
        <w:t>Kudou, M. et al. Structural basis of the inhibition of L-methionine γ-lyase from Fusobacterium nucleatum. Int. J. Mol. Sci. 24, 1651 (2023).</w:t>
      </w:r>
    </w:p>
    <w:p w14:paraId="33FC1B8F" w14:textId="77777777" w:rsidR="00E90484" w:rsidRDefault="00000000" w:rsidP="000833BF">
      <w:pPr>
        <w:pStyle w:val="BodyText"/>
        <w:numPr>
          <w:ilvl w:val="0"/>
          <w:numId w:val="5"/>
        </w:numPr>
      </w:pPr>
      <w:r>
        <w:t xml:space="preserve">Suwabe, K. et al. Identification of an L-methionine gamma-lyase involved in the production of hydrogen sulfide from L-cysteine in Fusobacterium </w:t>
      </w:r>
      <w:proofErr w:type="spellStart"/>
      <w:r>
        <w:t>nucleatum</w:t>
      </w:r>
      <w:proofErr w:type="spellEnd"/>
      <w:r>
        <w:t>. Microbiology 157, 2992–3000 (2011).</w:t>
      </w:r>
    </w:p>
    <w:p w14:paraId="69BA00E8" w14:textId="77777777" w:rsidR="00E90484" w:rsidRDefault="00000000" w:rsidP="000833BF">
      <w:pPr>
        <w:pStyle w:val="BodyText"/>
        <w:numPr>
          <w:ilvl w:val="0"/>
          <w:numId w:val="5"/>
        </w:numPr>
      </w:pPr>
      <w:r>
        <w:t>Britton, T. A. et al. The respiratory enzyme complex Rnf is vital for metabolic adaptation and virulence in Fusobacterium nucleatum. mBio 15, e01751-23 (2024).</w:t>
      </w:r>
    </w:p>
    <w:p w14:paraId="1FC1BAD2" w14:textId="77777777" w:rsidR="00E90484" w:rsidRDefault="00000000" w:rsidP="000833BF">
      <w:pPr>
        <w:pStyle w:val="BodyText"/>
        <w:numPr>
          <w:ilvl w:val="0"/>
          <w:numId w:val="5"/>
        </w:numPr>
      </w:pPr>
      <w:r>
        <w:lastRenderedPageBreak/>
        <w:t>Britton, T. A.</w:t>
      </w:r>
      <w:proofErr w:type="gramStart"/>
      <w:r>
        <w:t xml:space="preserve"> et</w:t>
      </w:r>
      <w:proofErr w:type="gramEnd"/>
      <w:r>
        <w:t xml:space="preserve"> al. Inactivation of the Fusobacterium nucleatum </w:t>
      </w:r>
      <w:proofErr w:type="spellStart"/>
      <w:r>
        <w:t>Rnf</w:t>
      </w:r>
      <w:proofErr w:type="spellEnd"/>
      <w:r>
        <w:t xml:space="preserve"> complex reduces </w:t>
      </w:r>
      <w:proofErr w:type="spellStart"/>
      <w:r>
        <w:t>FadA</w:t>
      </w:r>
      <w:proofErr w:type="spellEnd"/>
      <w:r>
        <w:t>-mediated amyloid formation and tumor development. mBio 16, e01032-25 (2025).</w:t>
      </w:r>
    </w:p>
    <w:p w14:paraId="6628CB66" w14:textId="77777777" w:rsidR="00E90484" w:rsidRDefault="00000000" w:rsidP="000833BF">
      <w:pPr>
        <w:pStyle w:val="BodyText"/>
        <w:numPr>
          <w:ilvl w:val="0"/>
          <w:numId w:val="5"/>
        </w:numPr>
      </w:pPr>
      <w:r>
        <w:t>Wu, C. et al. Genetic and molecular determinants of polymicrobial interactions in Fusobacterium nucleatum. Proc. Natl Acad. Sci. USA 118, e2006482118 (2021).</w:t>
      </w:r>
    </w:p>
    <w:p w14:paraId="46100256" w14:textId="77777777" w:rsidR="00E90484" w:rsidRDefault="00000000" w:rsidP="000833BF">
      <w:pPr>
        <w:pStyle w:val="BodyText"/>
        <w:numPr>
          <w:ilvl w:val="0"/>
          <w:numId w:val="5"/>
        </w:numPr>
      </w:pPr>
      <w:r>
        <w:t>Szabo, C. Hydrogen sulphide and its therapeutic potential. Nat. Rev. Drug Discov. 6, 917–935 (2007).</w:t>
      </w:r>
    </w:p>
    <w:p w14:paraId="6F3687DD" w14:textId="77777777" w:rsidR="00E90484" w:rsidRDefault="00000000" w:rsidP="000833BF">
      <w:pPr>
        <w:pStyle w:val="BodyText"/>
        <w:numPr>
          <w:ilvl w:val="0"/>
          <w:numId w:val="5"/>
        </w:numPr>
      </w:pPr>
      <w:r>
        <w:t>Cooper, C. E. &amp; Brown, G. C. The inhibition of mitochondrial cytochrome oxidase by the gases carbon monoxide, nitric oxide, hydrogen cyanide and hydrogen sulfide: chemical mechanism and physiological significance. J. Bioenerg. Biomembr. 40, 533–540 (2008).</w:t>
      </w:r>
    </w:p>
    <w:p w14:paraId="1A071556" w14:textId="77777777" w:rsidR="00E90484" w:rsidRDefault="00000000" w:rsidP="000833BF">
      <w:pPr>
        <w:pStyle w:val="BodyText"/>
        <w:numPr>
          <w:ilvl w:val="0"/>
          <w:numId w:val="5"/>
        </w:numPr>
      </w:pPr>
      <w:r>
        <w:t>Nevo, O. et al. Increased expression of sFlt-</w:t>
      </w:r>
      <w:proofErr w:type="gramStart"/>
      <w:r>
        <w:t>1 in</w:t>
      </w:r>
      <w:proofErr w:type="gramEnd"/>
      <w:r>
        <w:t xml:space="preserve"> in vivo and in vitro models of human placental hypoxia is mediated by HIF-1. Am. J. Physiol. Regul. Integr. Comp. Physiol. 291, R1085–R1093 (2006).</w:t>
      </w:r>
    </w:p>
    <w:p w14:paraId="1CCA3506" w14:textId="77777777" w:rsidR="00E90484" w:rsidRDefault="00000000" w:rsidP="000833BF">
      <w:pPr>
        <w:pStyle w:val="BodyText"/>
        <w:numPr>
          <w:ilvl w:val="0"/>
          <w:numId w:val="5"/>
        </w:numPr>
      </w:pPr>
      <w:r>
        <w:t>Conrad, K. P. et al. eNOS deficiency acts through endothelin to aggravate sFlt-1-induced hypertension and placental defects. J. Am. Soc. Nephrol. 23, 652–660 (2012).</w:t>
      </w:r>
    </w:p>
    <w:p w14:paraId="1460E42D" w14:textId="77777777" w:rsidR="00E90484" w:rsidRDefault="00000000" w:rsidP="000833BF">
      <w:pPr>
        <w:pStyle w:val="BodyText"/>
        <w:numPr>
          <w:ilvl w:val="0"/>
          <w:numId w:val="5"/>
        </w:numPr>
      </w:pPr>
      <w:r>
        <w:t>Kulandavelu, S. et al. Endothelial nitric oxide synthase deficiency reduces uterine blood flow, spiral artery elongation, and placental oxygenation in pregnant mice. Hypertension 55, 312–318 (2010).</w:t>
      </w:r>
    </w:p>
    <w:p w14:paraId="641E4047" w14:textId="77777777" w:rsidR="00E90484" w:rsidRDefault="00000000" w:rsidP="000833BF">
      <w:pPr>
        <w:pStyle w:val="BodyText"/>
        <w:numPr>
          <w:ilvl w:val="0"/>
          <w:numId w:val="5"/>
        </w:numPr>
      </w:pPr>
      <w:r>
        <w:t>Kolluru, G. K. et al. Hydrogen sulfide cytoprotective signaling is endothelial nitric oxide synthase–nitric oxide dependent. Proc. Natl Acad. Sci. USA 111, 3182–3187 (2014).</w:t>
      </w:r>
    </w:p>
    <w:p w14:paraId="7794CAE4" w14:textId="77777777" w:rsidR="00E90484" w:rsidRDefault="00000000" w:rsidP="000833BF">
      <w:pPr>
        <w:pStyle w:val="BodyText"/>
        <w:numPr>
          <w:ilvl w:val="0"/>
          <w:numId w:val="5"/>
        </w:numPr>
      </w:pPr>
      <w:r>
        <w:t>Zeisler, H. et al. Predictive value of the sFlt-</w:t>
      </w:r>
      <w:proofErr w:type="gramStart"/>
      <w:r>
        <w:t>1:PlGF</w:t>
      </w:r>
      <w:proofErr w:type="gramEnd"/>
      <w:r>
        <w:t xml:space="preserve"> ratio in women with suspected preeclampsia. N. Engl. J. Med. 374, 13–22 (2016).</w:t>
      </w:r>
    </w:p>
    <w:p w14:paraId="22388AA3" w14:textId="77777777" w:rsidR="00E90484" w:rsidRDefault="00000000" w:rsidP="000833BF">
      <w:pPr>
        <w:pStyle w:val="BodyText"/>
        <w:numPr>
          <w:ilvl w:val="0"/>
          <w:numId w:val="5"/>
        </w:numPr>
      </w:pPr>
      <w:r>
        <w:t>Pacher, P., Beckman, J. S. &amp; Liaudet, L. Nitric oxide and peroxynitrite in health and disease. Physiol. Rev. 87, 315–424 (2007).</w:t>
      </w:r>
    </w:p>
    <w:p w14:paraId="6E2B41CA" w14:textId="77777777" w:rsidR="00E90484" w:rsidRDefault="00000000" w:rsidP="000833BF">
      <w:pPr>
        <w:pStyle w:val="BodyText"/>
        <w:numPr>
          <w:ilvl w:val="0"/>
          <w:numId w:val="5"/>
        </w:numPr>
      </w:pPr>
      <w:r>
        <w:t>Merz, T. et al. Relationships between H₂S and OT/OTR systems in preeclampsia. Antioxidants 14, 880 (2025).</w:t>
      </w:r>
    </w:p>
    <w:p w14:paraId="0C87D387" w14:textId="77777777" w:rsidR="00E90484" w:rsidRDefault="00000000" w:rsidP="000833BF">
      <w:pPr>
        <w:pStyle w:val="BodyText"/>
        <w:numPr>
          <w:ilvl w:val="0"/>
          <w:numId w:val="5"/>
        </w:numPr>
      </w:pPr>
      <w:r>
        <w:t xml:space="preserve">Albrecht, J. &amp; Norenberg, M. D. Glutamine: </w:t>
      </w:r>
      <w:proofErr w:type="gramStart"/>
      <w:r>
        <w:t>a</w:t>
      </w:r>
      <w:proofErr w:type="gramEnd"/>
      <w:r>
        <w:t xml:space="preserve"> Trojan horse in ammonia neurotoxicity. Hepatology 44, 788–794 (2006).</w:t>
      </w:r>
    </w:p>
    <w:p w14:paraId="51CAA04F" w14:textId="77777777" w:rsidR="00E90484" w:rsidRDefault="00000000" w:rsidP="000833BF">
      <w:pPr>
        <w:pStyle w:val="BodyText"/>
        <w:numPr>
          <w:ilvl w:val="0"/>
          <w:numId w:val="5"/>
        </w:numPr>
      </w:pPr>
      <w:r>
        <w:t>Ott, P. et al. Cerebral effects of ammonia in liver disease: current hypotheses. Metab. Brain Dis. 29, 901–911 (2014).</w:t>
      </w:r>
    </w:p>
    <w:p w14:paraId="6574CE5D" w14:textId="77777777" w:rsidR="00E90484" w:rsidRDefault="00000000" w:rsidP="000833BF">
      <w:pPr>
        <w:pStyle w:val="BodyText"/>
        <w:numPr>
          <w:ilvl w:val="0"/>
          <w:numId w:val="5"/>
        </w:numPr>
      </w:pPr>
      <w:r>
        <w:t>Chatterjee, S. S., Kaval, K. G. &amp; Garsin, D. A. Ethanolamine catabolism by Listeria monocytogenes is important for bacterial fitness, intracellular survival, and virulence. Infect. Immun. 92, e00291-24 (2024).</w:t>
      </w:r>
    </w:p>
    <w:p w14:paraId="4D1DB38E" w14:textId="77777777" w:rsidR="00E90484" w:rsidRDefault="00000000" w:rsidP="000833BF">
      <w:pPr>
        <w:pStyle w:val="BodyText"/>
        <w:numPr>
          <w:ilvl w:val="0"/>
          <w:numId w:val="5"/>
        </w:numPr>
      </w:pPr>
      <w:r>
        <w:lastRenderedPageBreak/>
        <w:t>Lecuit, M. et al. A transgenic model for listeriosis: role of internalin in crossing the intestinal barrier. Science 292, 1722–1725 (2001).</w:t>
      </w:r>
    </w:p>
    <w:p w14:paraId="077E2C66" w14:textId="77777777" w:rsidR="00E90484" w:rsidRDefault="00000000" w:rsidP="000833BF">
      <w:pPr>
        <w:pStyle w:val="BodyText"/>
        <w:numPr>
          <w:ilvl w:val="0"/>
          <w:numId w:val="5"/>
        </w:numPr>
      </w:pPr>
      <w:r>
        <w:t>Lamont, R. F. et al. Listeriosis in human pregnancy: a systematic review. J. Perinat. Med. 39, 227–236 (2011).</w:t>
      </w:r>
    </w:p>
    <w:p w14:paraId="0E7A086B" w14:textId="77777777" w:rsidR="00E90484" w:rsidRDefault="00000000" w:rsidP="000833BF">
      <w:pPr>
        <w:pStyle w:val="BodyText"/>
        <w:numPr>
          <w:ilvl w:val="0"/>
          <w:numId w:val="5"/>
        </w:numPr>
      </w:pPr>
      <w:r>
        <w:t>Nakamura, S. et al. Porphyromonas gingivalis hydrogen sulfide enhances methyl mercaptan-induced pathogenicity in mouse abscess formation. Microbiology 164, 529–539 (2018).</w:t>
      </w:r>
    </w:p>
    <w:p w14:paraId="7AA1AFA8" w14:textId="77777777" w:rsidR="00E90484" w:rsidRDefault="00000000" w:rsidP="000833BF">
      <w:pPr>
        <w:pStyle w:val="BodyText"/>
        <w:numPr>
          <w:ilvl w:val="0"/>
          <w:numId w:val="5"/>
        </w:numPr>
      </w:pPr>
      <w:r>
        <w:t xml:space="preserve">Chaparro, A. et al. Porphyromonas gingivalis, Treponema </w:t>
      </w:r>
      <w:proofErr w:type="spellStart"/>
      <w:r>
        <w:t>denticola</w:t>
      </w:r>
      <w:proofErr w:type="spellEnd"/>
      <w:r>
        <w:t xml:space="preserve"> and toll-like receptor 2 are associated with hypertensive disorders in placental tissue. J. Periodontal Res. 48, 802–809 (2013).</w:t>
      </w:r>
    </w:p>
    <w:p w14:paraId="27DCC87A" w14:textId="77777777" w:rsidR="00E90484" w:rsidRDefault="00000000" w:rsidP="000833BF">
      <w:pPr>
        <w:pStyle w:val="BodyText"/>
        <w:numPr>
          <w:ilvl w:val="0"/>
          <w:numId w:val="5"/>
        </w:numPr>
      </w:pPr>
      <w:r>
        <w:t>Loesche, W. J. &amp; Grossman, N. S. Periodontal disease as a specific, albeit chronic, infection: diagnosis and treatment. Clin. Microbiol. Rev. 14, 727–752 (2001).</w:t>
      </w:r>
    </w:p>
    <w:p w14:paraId="5C03C151" w14:textId="77777777" w:rsidR="00E90484" w:rsidRDefault="00000000" w:rsidP="000833BF">
      <w:pPr>
        <w:pStyle w:val="BodyText"/>
        <w:numPr>
          <w:ilvl w:val="0"/>
          <w:numId w:val="5"/>
        </w:numPr>
      </w:pPr>
      <w:r>
        <w:t>Kendall, M. M. et al. Ethanolamine controls expression of genes encoding components involved in interkingdom signaling and virulence in enterohemorrhagic Escherichia coli O157:H7. mBio 3, e00050-12 (2012).</w:t>
      </w:r>
    </w:p>
    <w:p w14:paraId="171C27D4" w14:textId="77777777" w:rsidR="00E90484" w:rsidRDefault="00000000" w:rsidP="000833BF">
      <w:pPr>
        <w:pStyle w:val="BodyText"/>
        <w:numPr>
          <w:ilvl w:val="0"/>
          <w:numId w:val="5"/>
        </w:numPr>
      </w:pPr>
      <w:r>
        <w:t>Mulla, Z. D. et al. Group B streptococcal colonization and the risk of pre-eclampsia. BMC Pregnancy Childbirth 22, 432 (2022).</w:t>
      </w:r>
    </w:p>
    <w:p w14:paraId="2E30BCF8" w14:textId="77777777" w:rsidR="00E90484" w:rsidRDefault="00000000" w:rsidP="000833BF">
      <w:pPr>
        <w:pStyle w:val="BodyText"/>
        <w:numPr>
          <w:ilvl w:val="0"/>
          <w:numId w:val="5"/>
        </w:numPr>
      </w:pPr>
      <w:r>
        <w:t>Bentz, G. L. &amp; Yurochko, A. D. Human CMV infection of endothelial cells induces an angiogenic response through viral binding to EGF receptor and β1 and β3 integrins. Proc. Natl Acad. Sci. USA 105, 5531–5536 (2008).</w:t>
      </w:r>
    </w:p>
    <w:p w14:paraId="1ECE3E7A" w14:textId="77777777" w:rsidR="00E90484" w:rsidRDefault="00000000">
      <w:pPr>
        <w:pStyle w:val="BodyText"/>
      </w:pPr>
      <w:r>
        <w:t>Manuscript prepared by Shan Kurkcu, 2025. University of Connecticut Health Center.</w:t>
      </w:r>
    </w:p>
    <w:sectPr w:rsidR="00E9048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0D39C" w14:textId="77777777" w:rsidR="004664FB" w:rsidRDefault="004664FB">
      <w:pPr>
        <w:spacing w:after="0"/>
      </w:pPr>
      <w:r>
        <w:separator/>
      </w:r>
    </w:p>
  </w:endnote>
  <w:endnote w:type="continuationSeparator" w:id="0">
    <w:p w14:paraId="5AF1C02F" w14:textId="77777777" w:rsidR="004664FB" w:rsidRDefault="004664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2DB6F" w14:textId="77777777" w:rsidR="004664FB" w:rsidRDefault="004664FB">
      <w:r>
        <w:separator/>
      </w:r>
    </w:p>
  </w:footnote>
  <w:footnote w:type="continuationSeparator" w:id="0">
    <w:p w14:paraId="22BDE605" w14:textId="77777777" w:rsidR="004664FB" w:rsidRDefault="004664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D667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8892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6D0455"/>
    <w:multiLevelType w:val="hybridMultilevel"/>
    <w:tmpl w:val="DF3A6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524276"/>
    <w:multiLevelType w:val="hybridMultilevel"/>
    <w:tmpl w:val="E94A5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793477"/>
    <w:multiLevelType w:val="hybridMultilevel"/>
    <w:tmpl w:val="790C54F2"/>
    <w:lvl w:ilvl="0" w:tplc="3CC01F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1AE401"/>
    <w:multiLevelType w:val="multilevel"/>
    <w:tmpl w:val="D83626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 w15:restartNumberingAfterBreak="0">
    <w:nsid w:val="35E3732F"/>
    <w:multiLevelType w:val="hybridMultilevel"/>
    <w:tmpl w:val="55F8A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F9016A"/>
    <w:multiLevelType w:val="hybridMultilevel"/>
    <w:tmpl w:val="19285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833043"/>
    <w:multiLevelType w:val="hybridMultilevel"/>
    <w:tmpl w:val="129C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BD1284"/>
    <w:multiLevelType w:val="hybridMultilevel"/>
    <w:tmpl w:val="2A58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B84EDF"/>
    <w:multiLevelType w:val="hybridMultilevel"/>
    <w:tmpl w:val="C4AC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CE78F2"/>
    <w:multiLevelType w:val="hybridMultilevel"/>
    <w:tmpl w:val="5B16E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9518756">
    <w:abstractNumId w:val="0"/>
  </w:num>
  <w:num w:numId="2" w16cid:durableId="968248229">
    <w:abstractNumId w:val="1"/>
  </w:num>
  <w:num w:numId="3" w16cid:durableId="116416926">
    <w:abstractNumId w:val="1"/>
  </w:num>
  <w:num w:numId="4" w16cid:durableId="1656298461">
    <w:abstractNumId w:val="5"/>
  </w:num>
  <w:num w:numId="5" w16cid:durableId="651714148">
    <w:abstractNumId w:val="11"/>
  </w:num>
  <w:num w:numId="6" w16cid:durableId="561215712">
    <w:abstractNumId w:val="10"/>
  </w:num>
  <w:num w:numId="7" w16cid:durableId="736828569">
    <w:abstractNumId w:val="8"/>
  </w:num>
  <w:num w:numId="8" w16cid:durableId="494147640">
    <w:abstractNumId w:val="7"/>
  </w:num>
  <w:num w:numId="9" w16cid:durableId="355231287">
    <w:abstractNumId w:val="3"/>
  </w:num>
  <w:num w:numId="10" w16cid:durableId="1577547347">
    <w:abstractNumId w:val="4"/>
  </w:num>
  <w:num w:numId="11" w16cid:durableId="769013045">
    <w:abstractNumId w:val="9"/>
  </w:num>
  <w:num w:numId="12" w16cid:durableId="352877183">
    <w:abstractNumId w:val="6"/>
  </w:num>
  <w:num w:numId="13" w16cid:durableId="337074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833BF"/>
    <w:rsid w:val="003C7C58"/>
    <w:rsid w:val="004664FB"/>
    <w:rsid w:val="004E29B3"/>
    <w:rsid w:val="00503FEE"/>
    <w:rsid w:val="00554498"/>
    <w:rsid w:val="00590D07"/>
    <w:rsid w:val="0064025D"/>
    <w:rsid w:val="007368A8"/>
    <w:rsid w:val="00750022"/>
    <w:rsid w:val="00784D58"/>
    <w:rsid w:val="008D6863"/>
    <w:rsid w:val="00984A57"/>
    <w:rsid w:val="009D2783"/>
    <w:rsid w:val="00B86B75"/>
    <w:rsid w:val="00BC48D5"/>
    <w:rsid w:val="00C36279"/>
    <w:rsid w:val="00D60307"/>
    <w:rsid w:val="00E315A3"/>
    <w:rsid w:val="00E438EE"/>
    <w:rsid w:val="00E90484"/>
    <w:rsid w:val="00ED6293"/>
    <w:rsid w:val="00FD36C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1DCA"/>
  <w15:docId w15:val="{B0AACE2C-0C53-4ACF-A5DD-D11A327F0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Hading2">
    <w:name w:val="Hading_2"/>
    <w:basedOn w:val="Heading2"/>
    <w:link w:val="Hading2Char"/>
    <w:autoRedefine/>
    <w:qFormat/>
    <w:rsid w:val="00750022"/>
  </w:style>
  <w:style w:type="character" w:customStyle="1" w:styleId="Hading2Char">
    <w:name w:val="Hading_2 Char"/>
    <w:basedOn w:val="Heading2Char"/>
    <w:link w:val="Hading2"/>
    <w:rsid w:val="00750022"/>
    <w:rPr>
      <w:rFonts w:asciiTheme="majorHAnsi" w:eastAsiaTheme="majorEastAsia" w:hAnsiTheme="majorHAnsi" w:cstheme="majorBidi"/>
      <w:color w:val="0F4761" w:themeColor="accent1" w:themeShade="BF"/>
      <w:sz w:val="32"/>
      <w:szCs w:val="32"/>
    </w:rPr>
  </w:style>
  <w:style w:type="paragraph" w:customStyle="1" w:styleId="Heading30">
    <w:name w:val="Heading_3"/>
    <w:basedOn w:val="Heading3"/>
    <w:link w:val="Heading3Char0"/>
    <w:autoRedefine/>
    <w:qFormat/>
    <w:rsid w:val="00E438EE"/>
  </w:style>
  <w:style w:type="character" w:customStyle="1" w:styleId="Heading3Char0">
    <w:name w:val="Heading_3 Char"/>
    <w:basedOn w:val="Heading3Char"/>
    <w:link w:val="Heading30"/>
    <w:rsid w:val="00E438EE"/>
    <w:rPr>
      <w:rFonts w:eastAsiaTheme="majorEastAsia" w:cstheme="majorBidi"/>
      <w:color w:val="0F4761" w:themeColor="accent1" w:themeShade="BF"/>
      <w:sz w:val="28"/>
      <w:szCs w:val="28"/>
    </w:rPr>
  </w:style>
  <w:style w:type="paragraph" w:customStyle="1" w:styleId="Heading40">
    <w:name w:val="Heading_4"/>
    <w:basedOn w:val="Heading4"/>
    <w:link w:val="Heading4Char0"/>
    <w:autoRedefine/>
    <w:qFormat/>
    <w:rsid w:val="00ED6293"/>
  </w:style>
  <w:style w:type="character" w:customStyle="1" w:styleId="Heading4Char0">
    <w:name w:val="Heading_4 Char"/>
    <w:basedOn w:val="Heading4Char"/>
    <w:link w:val="Heading40"/>
    <w:rsid w:val="00ED6293"/>
    <w:rPr>
      <w:rFonts w:eastAsiaTheme="majorEastAsia" w:cstheme="majorBidi"/>
      <w:i/>
      <w:iCs/>
      <w:color w:val="0F4761" w:themeColor="accent1" w:themeShade="BF"/>
    </w:rPr>
  </w:style>
  <w:style w:type="table" w:styleId="PlainTable5">
    <w:name w:val="Plain Table 5"/>
    <w:basedOn w:val="TableNormal"/>
    <w:rsid w:val="00750022"/>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1062</TotalTime>
  <Pages>16</Pages>
  <Words>5455</Words>
  <Characters>31094</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shan kurkcu</dc:creator>
  <cp:keywords/>
  <cp:lastModifiedBy>shan kurkcu</cp:lastModifiedBy>
  <cp:revision>2</cp:revision>
  <dcterms:created xsi:type="dcterms:W3CDTF">2026-03-07T19:08:00Z</dcterms:created>
  <dcterms:modified xsi:type="dcterms:W3CDTF">2026-03-07T19:08:00Z</dcterms:modified>
</cp:coreProperties>
</file>