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0C" w:rsidRPr="00CC41D2" w:rsidRDefault="004E780C" w:rsidP="00CC41D2">
      <w:pPr>
        <w:keepNext/>
        <w:spacing w:after="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3 Анализ выполнения условий пользований недрами и проектного документа, состояния разработки месторождения и эксплуатационного объекта, выработки запасов и сопоставление фактических и проектных показателей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3.1 Анализ выполнения условий пользований недрами и проектного документа 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Условия пользования недрами</w:t>
      </w:r>
    </w:p>
    <w:p w:rsidR="000665F3" w:rsidRPr="00CC41D2" w:rsidRDefault="000665F3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Владелец лицензии обязуется: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В зависимости от геологических р</w:t>
      </w:r>
      <w:r w:rsidR="00670EB7"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езультатов Владелец лицензии мож</w:t>
      </w: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ет откорректировать объемы геологоразведочных работ.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последующие годы объемы геологоразведочных работ будут согласовываться с Распорядителем недр, </w:t>
      </w:r>
      <w:proofErr w:type="spellStart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Минпромэнерго</w:t>
      </w:r>
      <w:proofErr w:type="spellEnd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России и Управлением по недропользованию по РТ.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Произвести подсчет запасов углеводородного сырья и </w:t>
      </w:r>
      <w:proofErr w:type="spellStart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опробировать</w:t>
      </w:r>
      <w:proofErr w:type="spellEnd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 в государственной экспертизе после завершения поисково-оценочных работ и при обнаружении залежей нефти.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На основании утвержденных запасов нефти и  газа по новым залежам составить проект разработки и утвердить его в установленном порядке, а также оформить земельный, горный отводы и лицензию на разработку открытых месторождений.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Обеспечить получение геологических материалов, обосновывающих достоверную оценку запасов УВС, применить современные технологии работ при проведении поисково-оценочного бурения и при разработке открытых залежей с  соблюдением установленных норм (правил) по охране недр, атмосферного воздуха, земель, лесов и других объектов природной среды, а также зданий и сооружений от вредного влияния работ, связанных с использованием недр.</w:t>
      </w:r>
      <w:proofErr w:type="gramEnd"/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Мероприятия по выполнению указанных требований согласовываются с Министерством охраны окружающей среды и природных ресурсов РТ и управлением по технологическому и экологическому надзору </w:t>
      </w:r>
      <w:proofErr w:type="spellStart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Ростехнадзора</w:t>
      </w:r>
      <w:proofErr w:type="spellEnd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РТ.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Вести учет добываемого сырья и числящихся на балансе запасов, а также всех параметров разработки залежей в соответствии с действующими инструкциями, </w:t>
      </w: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представить копии необходимых данных в органы уполномоченный вести проверку, органы государственной статистики и территориальные геологический фонды.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мере проведения геологического изучения в пределах лицензионного участка за счет государственных сре</w:t>
      </w:r>
      <w:proofErr w:type="gramStart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дств пр</w:t>
      </w:r>
      <w:proofErr w:type="gramEnd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едоставлять в соответствующие геологические фонды геологическую и иную информацию о недрах в полном объеме, а также обеспечивать ее сохранность.  Владелец лицензии и Управление по недропользованию по РТ обладает равными правами при использовании этой информации. Геологическую и  иную информацию, полученную за счет сре</w:t>
      </w:r>
      <w:proofErr w:type="gramStart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дств Вл</w:t>
      </w:r>
      <w:proofErr w:type="gramEnd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адельца лицензии и являющуюся его собственностью, передавать в геологические фонды с условиями, определяющими порядок ее использования.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Применять при разработке и эксплуатации открытых залежей и месторождений экологические безвредные технологии с целью охраны недр и окружающей среды.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Вносить плату за землю, налоги и иные платежи, предусмотренные действующим законодательством.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Обеспечивать в соответствии с проектом приведение участков земель, нарушенных при использовании недрами, в состояние, пригодное для дальнейшего использования.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Все основные условия пользования недрами в области </w:t>
      </w:r>
      <w:proofErr w:type="spellStart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доразведки</w:t>
      </w:r>
      <w:proofErr w:type="spellEnd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, проведения исследовательских работ и разработки месторождения, выполняются в полном объеме согласно лицензионному соглашению.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История проектирования разработки месторождения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В течение 1958-1963 годы на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Сулинской</w:t>
      </w:r>
      <w:proofErr w:type="spellEnd"/>
      <w:r w:rsidR="00682BAA" w:rsidRPr="00CC41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C41D2">
        <w:rPr>
          <w:rFonts w:ascii="Times New Roman" w:hAnsi="Times New Roman" w:cs="Times New Roman"/>
          <w:sz w:val="26"/>
          <w:szCs w:val="26"/>
        </w:rPr>
        <w:t>площади, охватывающей юго-восток Татарстана проводилось</w:t>
      </w:r>
      <w:proofErr w:type="gramEnd"/>
      <w:r w:rsidRPr="00CC41D2">
        <w:rPr>
          <w:rFonts w:ascii="Times New Roman" w:hAnsi="Times New Roman" w:cs="Times New Roman"/>
          <w:sz w:val="26"/>
          <w:szCs w:val="26"/>
        </w:rPr>
        <w:t xml:space="preserve"> разведочно-поисковое бурение. Оно позволило установить наличие небольших по площади залежей в отложениях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воробьевского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пашийского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горизонтов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турнейского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яруса, а также наметить контуры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поднятия, выявленного между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Хансверкинским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Родниковским поднятиями Родниковского месторождения.  Однако контуры залежей во многом оставались условными  и проводились с учетом размеров слабо изученных нижнепермских поднятий. 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В 1963 году была пробурена поисковая скважина № 74, по результатам испытания которой и по заключению ГИС было установлено наличие нефтяных залежей в отложениях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живетского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турнейского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ярусов.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lastRenderedPageBreak/>
        <w:t xml:space="preserve">В 1981-1988 годы на Подгорной площади, охватывающей также район Родниковского месторождения, проводилось структурное бурение по более сгущенной сетке скважин, чем в предыдущие годы. В результате проведенных работ, в 1987 году в фонд подготовленных было сдано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Матросовское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поднятие, вошедшее в соста</w:t>
      </w:r>
      <w:r w:rsidR="00B66BBD" w:rsidRPr="00CC41D2">
        <w:rPr>
          <w:rFonts w:ascii="Times New Roman" w:hAnsi="Times New Roman" w:cs="Times New Roman"/>
          <w:sz w:val="26"/>
          <w:szCs w:val="26"/>
        </w:rPr>
        <w:t>в Родниковского месторождения [4</w:t>
      </w:r>
      <w:r w:rsidRPr="00CC41D2">
        <w:rPr>
          <w:rFonts w:ascii="Times New Roman" w:hAnsi="Times New Roman" w:cs="Times New Roman"/>
          <w:sz w:val="26"/>
          <w:szCs w:val="26"/>
        </w:rPr>
        <w:t>].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В 1988-1989 годы с целью оконтуривания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поднятия были пробурены скважины  №№ 143, 144, 153, 154.  Позднее, поисковая скважина № 143 была ликвидирована по геологическим причинам.  При испытании скважин  № 144, 154 был получен  приток  нефти  из отложений 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воробьевского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 горизонта,  а  скважина № 153 подтвердила нефтеносность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воробьевского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пашийского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горизонтов.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В 1991 году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Матросовское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поднятие выделено в самостоятельное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Матросовское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нефтяное месторождение. 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>В связи с необходимостью ввода месторождения в эксплуатацию, обоснования режима работы залежей месторождения и оценки перспектив развития добычи нефти, в 1993 году сотрудниками КГРУ произведен первый подсчет запасов нефти (протокол Комиссии по запасам нефти и газа объединения «Татнефть»</w:t>
      </w:r>
      <w:r w:rsidR="00B66BBD" w:rsidRPr="00CC41D2">
        <w:rPr>
          <w:rFonts w:ascii="Times New Roman" w:hAnsi="Times New Roman" w:cs="Times New Roman"/>
          <w:sz w:val="26"/>
          <w:szCs w:val="26"/>
        </w:rPr>
        <w:t xml:space="preserve"> № 05-9/314 от 20.10.1993 г.) [</w:t>
      </w:r>
      <w:r w:rsidR="00B66BBD" w:rsidRPr="00CC5EB2">
        <w:rPr>
          <w:rFonts w:ascii="Times New Roman" w:hAnsi="Times New Roman" w:cs="Times New Roman"/>
          <w:sz w:val="26"/>
          <w:szCs w:val="26"/>
        </w:rPr>
        <w:t>5</w:t>
      </w:r>
      <w:r w:rsidRPr="00CC41D2">
        <w:rPr>
          <w:rFonts w:ascii="Times New Roman" w:hAnsi="Times New Roman" w:cs="Times New Roman"/>
          <w:sz w:val="26"/>
          <w:szCs w:val="26"/>
        </w:rPr>
        <w:t>]. Запасы в ГКЗ РФ не представлялись. Они были рассмотрены ЦКЗ Минтопэнерго и поставлены на Государственный баланс запасов РФ.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На базе данного подсчета запасов,  в 1993 году сотрудниками КИВЦ составлена «Технологическая схема разработки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нефтяного месторождения» по состоянию на 01.12.1993 года (протокол постоянно действующей комиссии объединения «Татнефть» № 04-3/648 от 14.12.1993 г.). Согласно технологической схеме разработки на месторождении выделен один эксплуатационный объект -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воробьевский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горизонт. Проектная сетка 400х400 м с размещением скважин в 2х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метровойизопахите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. Система воздействия на залежи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воробьевского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горизонта - внутриконтурная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приконтурная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Матросовском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поднятии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приконтурная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– на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Алеевском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. Другие горизонты —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пашийский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турнейский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малоизученные, поэтому как объекты разработки не рассматривались, а предлагалось провести дополнительные </w:t>
      </w:r>
      <w:proofErr w:type="spellStart"/>
      <w:proofErr w:type="gramStart"/>
      <w:r w:rsidRPr="00CC41D2">
        <w:rPr>
          <w:rFonts w:ascii="Times New Roman" w:hAnsi="Times New Roman" w:cs="Times New Roman"/>
          <w:sz w:val="26"/>
          <w:szCs w:val="26"/>
        </w:rPr>
        <w:t>се</w:t>
      </w:r>
      <w:r w:rsidR="00B66BBD" w:rsidRPr="00CC41D2">
        <w:rPr>
          <w:rFonts w:ascii="Times New Roman" w:hAnsi="Times New Roman" w:cs="Times New Roman"/>
          <w:sz w:val="26"/>
          <w:szCs w:val="26"/>
        </w:rPr>
        <w:t>йсмо</w:t>
      </w:r>
      <w:proofErr w:type="spellEnd"/>
      <w:r w:rsidR="00B66BBD" w:rsidRPr="00CC41D2">
        <w:rPr>
          <w:rFonts w:ascii="Times New Roman" w:hAnsi="Times New Roman" w:cs="Times New Roman"/>
          <w:sz w:val="26"/>
          <w:szCs w:val="26"/>
        </w:rPr>
        <w:t>-разведочные</w:t>
      </w:r>
      <w:proofErr w:type="gramEnd"/>
      <w:r w:rsidR="00B66BBD" w:rsidRPr="00CC41D2">
        <w:rPr>
          <w:rFonts w:ascii="Times New Roman" w:hAnsi="Times New Roman" w:cs="Times New Roman"/>
          <w:sz w:val="26"/>
          <w:szCs w:val="26"/>
        </w:rPr>
        <w:t xml:space="preserve"> исследования [6</w:t>
      </w:r>
      <w:r w:rsidRPr="00CC41D2">
        <w:rPr>
          <w:rFonts w:ascii="Times New Roman" w:hAnsi="Times New Roman" w:cs="Times New Roman"/>
          <w:sz w:val="26"/>
          <w:szCs w:val="26"/>
        </w:rPr>
        <w:t>].</w:t>
      </w:r>
    </w:p>
    <w:p w:rsidR="007F596C" w:rsidRPr="00CC41D2" w:rsidRDefault="007F596C" w:rsidP="00CC41D2">
      <w:pPr>
        <w:pStyle w:val="a4"/>
        <w:spacing w:line="360" w:lineRule="auto"/>
        <w:ind w:firstLine="709"/>
        <w:jc w:val="both"/>
        <w:rPr>
          <w:sz w:val="26"/>
          <w:szCs w:val="26"/>
          <w:lang w:val="ru-RU"/>
        </w:rPr>
      </w:pPr>
      <w:r w:rsidRPr="00CC41D2">
        <w:rPr>
          <w:sz w:val="26"/>
          <w:szCs w:val="26"/>
          <w:lang w:val="ru-RU"/>
        </w:rPr>
        <w:t>В 1995 году месторождение введено в разработку с</w:t>
      </w:r>
      <w:r w:rsidR="006F3164" w:rsidRPr="00CC41D2">
        <w:rPr>
          <w:sz w:val="26"/>
          <w:szCs w:val="26"/>
          <w:lang w:val="ru-RU"/>
        </w:rPr>
        <w:t>огласно проектному документу [7</w:t>
      </w:r>
      <w:r w:rsidRPr="00CC41D2">
        <w:rPr>
          <w:sz w:val="26"/>
          <w:szCs w:val="26"/>
          <w:lang w:val="ru-RU"/>
        </w:rPr>
        <w:t xml:space="preserve">]. Разрабатывает </w:t>
      </w:r>
      <w:proofErr w:type="spellStart"/>
      <w:r w:rsidRPr="00CC41D2">
        <w:rPr>
          <w:sz w:val="26"/>
          <w:szCs w:val="26"/>
          <w:lang w:val="ru-RU"/>
        </w:rPr>
        <w:t>Матросовское</w:t>
      </w:r>
      <w:proofErr w:type="spellEnd"/>
      <w:r w:rsidRPr="00CC41D2">
        <w:rPr>
          <w:sz w:val="26"/>
          <w:szCs w:val="26"/>
          <w:lang w:val="ru-RU"/>
        </w:rPr>
        <w:t xml:space="preserve"> нефтяное месторождение НГДУ </w:t>
      </w:r>
      <w:r w:rsidRPr="00CC41D2">
        <w:rPr>
          <w:sz w:val="26"/>
          <w:szCs w:val="26"/>
          <w:lang w:val="ru-RU"/>
        </w:rPr>
        <w:lastRenderedPageBreak/>
        <w:t>«</w:t>
      </w:r>
      <w:proofErr w:type="spellStart"/>
      <w:r w:rsidRPr="00CC41D2">
        <w:rPr>
          <w:sz w:val="26"/>
          <w:szCs w:val="26"/>
          <w:lang w:val="ru-RU"/>
        </w:rPr>
        <w:t>Бавлынефть</w:t>
      </w:r>
      <w:proofErr w:type="spellEnd"/>
      <w:r w:rsidRPr="00CC41D2">
        <w:rPr>
          <w:sz w:val="26"/>
          <w:szCs w:val="26"/>
          <w:lang w:val="ru-RU"/>
        </w:rPr>
        <w:t>», которое является структурным подразделением ОАО «Татнефть». Н</w:t>
      </w:r>
      <w:r w:rsidRPr="00CC41D2">
        <w:rPr>
          <w:color w:val="000000"/>
          <w:sz w:val="26"/>
          <w:szCs w:val="26"/>
          <w:lang w:val="ru-RU"/>
        </w:rPr>
        <w:t>а баланс НГДУ «</w:t>
      </w:r>
      <w:proofErr w:type="spellStart"/>
      <w:r w:rsidRPr="00CC41D2">
        <w:rPr>
          <w:color w:val="000000"/>
          <w:sz w:val="26"/>
          <w:szCs w:val="26"/>
          <w:lang w:val="ru-RU"/>
        </w:rPr>
        <w:t>Бавлынефть</w:t>
      </w:r>
      <w:proofErr w:type="spellEnd"/>
      <w:r w:rsidRPr="00CC41D2">
        <w:rPr>
          <w:color w:val="000000"/>
          <w:sz w:val="26"/>
          <w:szCs w:val="26"/>
          <w:lang w:val="ru-RU"/>
        </w:rPr>
        <w:t xml:space="preserve">» </w:t>
      </w:r>
      <w:proofErr w:type="spellStart"/>
      <w:r w:rsidRPr="00CC41D2">
        <w:rPr>
          <w:color w:val="000000"/>
          <w:sz w:val="26"/>
          <w:szCs w:val="26"/>
          <w:lang w:val="ru-RU"/>
        </w:rPr>
        <w:t>Матросовское</w:t>
      </w:r>
      <w:proofErr w:type="spellEnd"/>
      <w:r w:rsidRPr="00CC41D2">
        <w:rPr>
          <w:color w:val="000000"/>
          <w:sz w:val="26"/>
          <w:szCs w:val="26"/>
          <w:lang w:val="ru-RU"/>
        </w:rPr>
        <w:t xml:space="preserve"> месторождение принято в 1994 году (акт передачи с ТГРУ - приказ № 292 от 13.10.1994 г.).  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По результатам бурения поисково-разведочных и эксплуатационных скважин были уточнены контуры известных залежей, выявлены и оконтурены вновь открытые залежи, в связи с чем, в  1999 году сотрудниками КГЭ выполнен «Подсчет запасов нефти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месторождения» (протокол ГКЗ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Роснедр</w:t>
      </w:r>
      <w:r w:rsidR="006F3164" w:rsidRPr="00CC41D2">
        <w:rPr>
          <w:rFonts w:ascii="Times New Roman" w:hAnsi="Times New Roman" w:cs="Times New Roman"/>
          <w:sz w:val="26"/>
          <w:szCs w:val="26"/>
        </w:rPr>
        <w:t>а</w:t>
      </w:r>
      <w:proofErr w:type="spellEnd"/>
      <w:r w:rsidR="006F3164" w:rsidRPr="00CC41D2">
        <w:rPr>
          <w:rFonts w:ascii="Times New Roman" w:hAnsi="Times New Roman" w:cs="Times New Roman"/>
          <w:sz w:val="26"/>
          <w:szCs w:val="26"/>
        </w:rPr>
        <w:t xml:space="preserve"> № 587-дсп от 30.06.2000 г.) [</w:t>
      </w:r>
      <w:r w:rsidR="006F3164" w:rsidRPr="00CC5EB2">
        <w:rPr>
          <w:rFonts w:ascii="Times New Roman" w:hAnsi="Times New Roman" w:cs="Times New Roman"/>
          <w:sz w:val="26"/>
          <w:szCs w:val="26"/>
        </w:rPr>
        <w:t>8</w:t>
      </w:r>
      <w:r w:rsidRPr="00CC41D2">
        <w:rPr>
          <w:rFonts w:ascii="Times New Roman" w:hAnsi="Times New Roman" w:cs="Times New Roman"/>
          <w:sz w:val="26"/>
          <w:szCs w:val="26"/>
        </w:rPr>
        <w:t>].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В 1999 году сотрудниками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ТатНИПИнефть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выполнена работа «Технико-экономическое обоснование коэффициента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нефтеизвлеченияМатросовского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месторождения» (протокол РК</w:t>
      </w:r>
      <w:r w:rsidR="006F3164" w:rsidRPr="00CC41D2">
        <w:rPr>
          <w:rFonts w:ascii="Times New Roman" w:hAnsi="Times New Roman" w:cs="Times New Roman"/>
          <w:sz w:val="26"/>
          <w:szCs w:val="26"/>
        </w:rPr>
        <w:t>РР РТ № 62 от 10.09.1999 г.) [</w:t>
      </w:r>
      <w:r w:rsidR="006F3164" w:rsidRPr="00CC5EB2">
        <w:rPr>
          <w:rFonts w:ascii="Times New Roman" w:hAnsi="Times New Roman" w:cs="Times New Roman"/>
          <w:sz w:val="26"/>
          <w:szCs w:val="26"/>
        </w:rPr>
        <w:t>9</w:t>
      </w:r>
      <w:r w:rsidRPr="00CC41D2">
        <w:rPr>
          <w:rFonts w:ascii="Times New Roman" w:hAnsi="Times New Roman" w:cs="Times New Roman"/>
          <w:sz w:val="26"/>
          <w:szCs w:val="26"/>
        </w:rPr>
        <w:t>].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color w:val="000000"/>
          <w:sz w:val="26"/>
          <w:szCs w:val="26"/>
        </w:rPr>
        <w:t xml:space="preserve">По вновь пересчитанным запасам, в 2000 году </w:t>
      </w:r>
      <w:r w:rsidRPr="00CC41D2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ТатНИПИнефть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составлена  «Технологическая схема разработки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нефтяного месторождения» с дополнительной запиской (</w:t>
      </w:r>
      <w:r w:rsidRPr="00CC41D2">
        <w:rPr>
          <w:rFonts w:ascii="Times New Roman" w:hAnsi="Times New Roman" w:cs="Times New Roman"/>
          <w:bCs/>
          <w:sz w:val="26"/>
          <w:szCs w:val="26"/>
        </w:rPr>
        <w:t xml:space="preserve">протокол </w:t>
      </w:r>
      <w:r w:rsidRPr="00CC41D2">
        <w:rPr>
          <w:rFonts w:ascii="Times New Roman" w:hAnsi="Times New Roman" w:cs="Times New Roman"/>
          <w:sz w:val="26"/>
          <w:szCs w:val="26"/>
        </w:rPr>
        <w:t>РКРР РТ № 132</w:t>
      </w:r>
      <w:r w:rsidRPr="00CC41D2">
        <w:rPr>
          <w:rFonts w:ascii="Times New Roman" w:hAnsi="Times New Roman" w:cs="Times New Roman"/>
          <w:bCs/>
          <w:sz w:val="26"/>
          <w:szCs w:val="26"/>
        </w:rPr>
        <w:t xml:space="preserve"> от  23.10.2000 г.) </w:t>
      </w:r>
      <w:r w:rsidR="006F3164" w:rsidRPr="00CC41D2">
        <w:rPr>
          <w:rFonts w:ascii="Times New Roman" w:hAnsi="Times New Roman" w:cs="Times New Roman"/>
          <w:sz w:val="26"/>
          <w:szCs w:val="26"/>
        </w:rPr>
        <w:t>[1</w:t>
      </w:r>
      <w:r w:rsidR="006F3164" w:rsidRPr="00CC5EB2">
        <w:rPr>
          <w:rFonts w:ascii="Times New Roman" w:hAnsi="Times New Roman" w:cs="Times New Roman"/>
          <w:sz w:val="26"/>
          <w:szCs w:val="26"/>
        </w:rPr>
        <w:t>0</w:t>
      </w:r>
      <w:r w:rsidR="006F3164" w:rsidRPr="00CC41D2">
        <w:rPr>
          <w:rFonts w:ascii="Times New Roman" w:hAnsi="Times New Roman" w:cs="Times New Roman"/>
          <w:sz w:val="26"/>
          <w:szCs w:val="26"/>
        </w:rPr>
        <w:t>, 1</w:t>
      </w:r>
      <w:r w:rsidR="006F3164" w:rsidRPr="00CC5EB2">
        <w:rPr>
          <w:rFonts w:ascii="Times New Roman" w:hAnsi="Times New Roman" w:cs="Times New Roman"/>
          <w:sz w:val="26"/>
          <w:szCs w:val="26"/>
        </w:rPr>
        <w:t>1</w:t>
      </w:r>
      <w:r w:rsidRPr="00CC41D2">
        <w:rPr>
          <w:rFonts w:ascii="Times New Roman" w:hAnsi="Times New Roman" w:cs="Times New Roman"/>
          <w:sz w:val="26"/>
          <w:szCs w:val="26"/>
        </w:rPr>
        <w:t>]</w:t>
      </w:r>
      <w:r w:rsidRPr="00CC41D2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Pr="00CC41D2">
        <w:rPr>
          <w:rFonts w:ascii="Times New Roman" w:hAnsi="Times New Roman" w:cs="Times New Roman"/>
          <w:sz w:val="26"/>
          <w:szCs w:val="26"/>
        </w:rPr>
        <w:t xml:space="preserve">Согласно данной работе, на месторождении  выделено два эксплуатационных объекта -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теригенный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девон (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воробьевский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пашийский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 горизонты), нижний карбон (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кизеловский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данково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-лебедянский горизонт).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Разбуривание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выделенных объектов по квадратной сетке 400х400 м. Система воздействия на залежи девона - 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приконтурное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очаговое, на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кизеловском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горизонте – внутриконтурное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заводнение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>, закачка циклическая. Проектный фонд для бурения 111 скважин. Применение МУН – закачка ОЭЦ, ПДС, применение технологии СНПХ-9630, резиновая крошка, АХВ, КИВ. Ожидаемый  КИН – 0,332.</w:t>
      </w:r>
    </w:p>
    <w:p w:rsidR="007F596C" w:rsidRPr="00CC41D2" w:rsidRDefault="008166E0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C41D2">
        <w:rPr>
          <w:rFonts w:ascii="Times New Roman" w:hAnsi="Times New Roman" w:cs="Times New Roman"/>
          <w:sz w:val="26"/>
          <w:szCs w:val="26"/>
        </w:rPr>
        <w:t>В</w:t>
      </w:r>
      <w:r w:rsidR="007F596C" w:rsidRPr="00CC41D2">
        <w:rPr>
          <w:rFonts w:ascii="Times New Roman" w:hAnsi="Times New Roman" w:cs="Times New Roman"/>
          <w:sz w:val="26"/>
          <w:szCs w:val="26"/>
        </w:rPr>
        <w:t xml:space="preserve"> результате бурения поисково-разведочных и оценочных скважин, выполнения сейсморазведочных работ НВСП, анализа геолого-геофизического  и промыслового материала уточнено геологическое строение месторождения, а так же с учетом добычи нефти и газа, в 2008 году сотрудниками  ТГРУ  выполнен   «Подсчет  запасов нефти  и  ТЭО КИН </w:t>
      </w:r>
      <w:proofErr w:type="spellStart"/>
      <w:r w:rsidR="007F596C" w:rsidRPr="00CC41D2">
        <w:rPr>
          <w:rFonts w:ascii="Times New Roman" w:hAnsi="Times New Roman" w:cs="Times New Roman"/>
          <w:sz w:val="26"/>
          <w:szCs w:val="26"/>
        </w:rPr>
        <w:t>Матросовского</w:t>
      </w:r>
      <w:proofErr w:type="spellEnd"/>
      <w:r w:rsidR="007F596C" w:rsidRPr="00CC41D2">
        <w:rPr>
          <w:rFonts w:ascii="Times New Roman" w:hAnsi="Times New Roman" w:cs="Times New Roman"/>
          <w:sz w:val="26"/>
          <w:szCs w:val="26"/>
        </w:rPr>
        <w:t xml:space="preserve"> месторождения»  (протокол  ГКЗ  </w:t>
      </w:r>
      <w:proofErr w:type="spellStart"/>
      <w:r w:rsidR="007F596C" w:rsidRPr="00CC41D2">
        <w:rPr>
          <w:rFonts w:ascii="Times New Roman" w:hAnsi="Times New Roman" w:cs="Times New Roman"/>
          <w:sz w:val="26"/>
          <w:szCs w:val="26"/>
        </w:rPr>
        <w:t>Роснедра</w:t>
      </w:r>
      <w:proofErr w:type="spellEnd"/>
      <w:r w:rsidR="007F596C" w:rsidRPr="00CC41D2">
        <w:rPr>
          <w:rFonts w:ascii="Times New Roman" w:hAnsi="Times New Roman" w:cs="Times New Roman"/>
          <w:sz w:val="26"/>
          <w:szCs w:val="26"/>
        </w:rPr>
        <w:t xml:space="preserve">  № 16</w:t>
      </w:r>
      <w:r w:rsidR="006F3164" w:rsidRPr="00CC41D2">
        <w:rPr>
          <w:rFonts w:ascii="Times New Roman" w:hAnsi="Times New Roman" w:cs="Times New Roman"/>
          <w:sz w:val="26"/>
          <w:szCs w:val="26"/>
        </w:rPr>
        <w:t>39-дсп  от  23.05.2008 года)  [12</w:t>
      </w:r>
      <w:r w:rsidR="007F596C" w:rsidRPr="00CC41D2">
        <w:rPr>
          <w:rFonts w:ascii="Times New Roman" w:hAnsi="Times New Roman" w:cs="Times New Roman"/>
          <w:sz w:val="26"/>
          <w:szCs w:val="26"/>
        </w:rPr>
        <w:t>].</w:t>
      </w:r>
      <w:proofErr w:type="gramEnd"/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В 2009 году сотрудниками ТГРУ составлено «Дополнение к технологической схеме разработки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нефтяного месторождения» (протокол </w:t>
      </w: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ТО ЦКР по РТ  № 943 от 31.07.2009 г.)</w:t>
      </w:r>
      <w:r w:rsidR="006F3164" w:rsidRPr="00CC41D2">
        <w:rPr>
          <w:rFonts w:ascii="Times New Roman" w:hAnsi="Times New Roman" w:cs="Times New Roman"/>
          <w:sz w:val="26"/>
          <w:szCs w:val="26"/>
        </w:rPr>
        <w:t xml:space="preserve"> [1</w:t>
      </w:r>
      <w:r w:rsidR="006F3164" w:rsidRPr="00CC5EB2">
        <w:rPr>
          <w:rFonts w:ascii="Times New Roman" w:hAnsi="Times New Roman" w:cs="Times New Roman"/>
          <w:sz w:val="26"/>
          <w:szCs w:val="26"/>
        </w:rPr>
        <w:t>3</w:t>
      </w:r>
      <w:r w:rsidRPr="00CC41D2">
        <w:rPr>
          <w:rFonts w:ascii="Times New Roman" w:hAnsi="Times New Roman" w:cs="Times New Roman"/>
          <w:sz w:val="26"/>
          <w:szCs w:val="26"/>
        </w:rPr>
        <w:t>]</w:t>
      </w: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. Работа выполнена на основе последнего подсчета запасов нефти по месторождению</w:t>
      </w:r>
      <w:r w:rsidR="00D35051" w:rsidRPr="00CC41D2">
        <w:rPr>
          <w:rFonts w:ascii="Times New Roman" w:hAnsi="Times New Roman" w:cs="Times New Roman"/>
          <w:bCs/>
          <w:spacing w:val="-6"/>
          <w:sz w:val="26"/>
          <w:szCs w:val="26"/>
        </w:rPr>
        <w:t>.</w:t>
      </w:r>
    </w:p>
    <w:p w:rsidR="008166E0" w:rsidRPr="00CC41D2" w:rsidRDefault="008166E0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lastRenderedPageBreak/>
        <w:t xml:space="preserve">В 2013 году сотрудниками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ТатНИПИнефть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выполнена работа «Дополнение к технологической схеме разработки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Матросовского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нефтяного месторождения» (протокол ТО ЦКР по РТ № 113 от 26.12.2013г.) </w:t>
      </w:r>
      <w:r w:rsidR="000627B9" w:rsidRPr="00CC5EB2">
        <w:rPr>
          <w:rFonts w:ascii="Times New Roman" w:hAnsi="Times New Roman" w:cs="Times New Roman"/>
          <w:bCs/>
          <w:spacing w:val="-6"/>
          <w:sz w:val="26"/>
          <w:szCs w:val="26"/>
        </w:rPr>
        <w:t>[14</w:t>
      </w: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].</w:t>
      </w:r>
      <w:r w:rsidR="00D04919"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Работа выполнена в связи с необходимостью объемов бурения на месторождении – за </w:t>
      </w:r>
      <w:proofErr w:type="spellStart"/>
      <w:r w:rsidR="00D04919"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межпроектный</w:t>
      </w:r>
      <w:proofErr w:type="spellEnd"/>
      <w:r w:rsidR="00D04919"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период 2009-2012 годы пробурены шесть скважин против 12 по проекту.</w:t>
      </w:r>
      <w:r w:rsidR="00E32C87"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Принятый к реализации вариант предусматривает:</w:t>
      </w:r>
    </w:p>
    <w:p w:rsidR="00E32C87" w:rsidRPr="00CC41D2" w:rsidRDefault="00E32C87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- выделение шести объектов разработки: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воробьевского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,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пашийского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,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данково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-лебедянского, </w:t>
      </w:r>
      <w:proofErr w:type="gram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заволжского</w:t>
      </w:r>
      <w:proofErr w:type="gram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,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турнейского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,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бобриковского</w:t>
      </w:r>
      <w:proofErr w:type="spellEnd"/>
      <w:r w:rsidR="006C322B" w:rsidRPr="00CC41D2">
        <w:rPr>
          <w:rFonts w:ascii="Times New Roman" w:hAnsi="Times New Roman" w:cs="Times New Roman"/>
          <w:bCs/>
          <w:spacing w:val="-6"/>
          <w:sz w:val="26"/>
          <w:szCs w:val="26"/>
        </w:rPr>
        <w:t>;</w:t>
      </w:r>
    </w:p>
    <w:p w:rsidR="006C322B" w:rsidRPr="00CC41D2" w:rsidRDefault="006C322B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-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разбуривание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объектов разработки по равномерной треугольной сетке с расстоянием между скважинами 300м;</w:t>
      </w:r>
    </w:p>
    <w:p w:rsidR="006C322B" w:rsidRPr="00CC41D2" w:rsidRDefault="006C322B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- система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заводнения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на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воробьевском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и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пашийском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объектах –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приконтурная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с элементами очагового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заводнения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, на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данково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-лебедянском,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турнейском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,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бобриковском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объектах – внутриконтурная избирательная, разработка заволжского объекта – на естественном режиме;</w:t>
      </w:r>
    </w:p>
    <w:p w:rsidR="006C322B" w:rsidRPr="00CC41D2" w:rsidRDefault="006C322B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proofErr w:type="gram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- </w:t>
      </w:r>
      <w:r w:rsidR="009052CE"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общий фонд – 220 скважин, в т.ч. 100 добывающих, 67 нагнетательных, 32 пьезометрических, одна наблюдательная, семь дающие техническую воду, шесть экологических, семь ликвидированных;</w:t>
      </w:r>
      <w:proofErr w:type="gramEnd"/>
    </w:p>
    <w:p w:rsidR="009052CE" w:rsidRPr="00CC41D2" w:rsidRDefault="009052CE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- фонд скважин для бурения – 45, в т.ч. добывающих – 30 (10 ГС), нагнетательных – 15 (все с отработкой на нефть);</w:t>
      </w:r>
    </w:p>
    <w:p w:rsidR="009052CE" w:rsidRPr="00CC41D2" w:rsidRDefault="009052CE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-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зарезка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боковых горизонтальных стволов – 15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скв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./опер</w:t>
      </w:r>
      <w:proofErr w:type="gram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.;</w:t>
      </w:r>
      <w:proofErr w:type="gramEnd"/>
    </w:p>
    <w:p w:rsidR="009052CE" w:rsidRPr="00CC41D2" w:rsidRDefault="009052CE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-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зарезка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боковых стволов – 10 </w:t>
      </w:r>
      <w:proofErr w:type="spell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скв</w:t>
      </w:r>
      <w:proofErr w:type="spellEnd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./опер</w:t>
      </w:r>
      <w:proofErr w:type="gramStart"/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.;</w:t>
      </w:r>
      <w:proofErr w:type="gramEnd"/>
    </w:p>
    <w:p w:rsidR="009052CE" w:rsidRPr="00CC41D2" w:rsidRDefault="009052CE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r w:rsidRPr="00CC41D2">
        <w:rPr>
          <w:rFonts w:ascii="Times New Roman" w:hAnsi="Times New Roman" w:cs="Times New Roman"/>
          <w:bCs/>
          <w:spacing w:val="-6"/>
          <w:sz w:val="26"/>
          <w:szCs w:val="26"/>
        </w:rPr>
        <w:t>- внедрение ОРД в 29 скважинах, ОРЗ в 13 скважинах.</w:t>
      </w:r>
    </w:p>
    <w:p w:rsidR="00133485" w:rsidRPr="00CC41D2" w:rsidRDefault="00133485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6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В 2015 г. в ТГРУ выполнен оперативный подсчет запасов нефти  и растворенного газа по залежи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доманиковых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продуктивных отложений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фаменского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яруса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поднятия (протокол ФГУ «ГКЗ» № 03-18/1133-пр от 28.12.2015 г.).</w:t>
      </w:r>
      <w:r w:rsidRPr="00CC41D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C41D2">
        <w:rPr>
          <w:rFonts w:ascii="Times New Roman" w:hAnsi="Times New Roman" w:cs="Times New Roman"/>
          <w:sz w:val="26"/>
          <w:szCs w:val="26"/>
        </w:rPr>
        <w:t xml:space="preserve">Отложения заволжского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надгоризонта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данково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-лебедянского горизонта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фаменского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яруса были отнесены к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доманиковым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продуктивным отложениям.</w:t>
      </w:r>
    </w:p>
    <w:p w:rsidR="007F596C" w:rsidRPr="00CC41D2" w:rsidRDefault="007F596C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Цель данной работы – </w:t>
      </w:r>
      <w:r w:rsidR="00383791" w:rsidRPr="00CC41D2">
        <w:rPr>
          <w:rFonts w:ascii="Times New Roman" w:hAnsi="Times New Roman" w:cs="Times New Roman"/>
          <w:sz w:val="26"/>
          <w:szCs w:val="26"/>
        </w:rPr>
        <w:t xml:space="preserve">является проведение </w:t>
      </w:r>
      <w:proofErr w:type="gramStart"/>
      <w:r w:rsidR="00383791" w:rsidRPr="00CC41D2">
        <w:rPr>
          <w:rFonts w:ascii="Times New Roman" w:hAnsi="Times New Roman" w:cs="Times New Roman"/>
          <w:sz w:val="26"/>
          <w:szCs w:val="26"/>
        </w:rPr>
        <w:t>ОПР</w:t>
      </w:r>
      <w:proofErr w:type="gramEnd"/>
      <w:r w:rsidR="00383791" w:rsidRPr="00CC41D2">
        <w:rPr>
          <w:rFonts w:ascii="Times New Roman" w:hAnsi="Times New Roman" w:cs="Times New Roman"/>
          <w:sz w:val="26"/>
          <w:szCs w:val="26"/>
        </w:rPr>
        <w:t xml:space="preserve"> на участке </w:t>
      </w:r>
      <w:proofErr w:type="spellStart"/>
      <w:r w:rsidR="00383791" w:rsidRPr="00CC41D2">
        <w:rPr>
          <w:rFonts w:ascii="Times New Roman" w:hAnsi="Times New Roman" w:cs="Times New Roman"/>
          <w:sz w:val="26"/>
          <w:szCs w:val="26"/>
        </w:rPr>
        <w:t>доманиковых</w:t>
      </w:r>
      <w:proofErr w:type="spellEnd"/>
      <w:r w:rsidR="00383791" w:rsidRPr="00CC41D2">
        <w:rPr>
          <w:rFonts w:ascii="Times New Roman" w:hAnsi="Times New Roman" w:cs="Times New Roman"/>
          <w:sz w:val="26"/>
          <w:szCs w:val="26"/>
        </w:rPr>
        <w:t xml:space="preserve"> отложений.</w:t>
      </w:r>
    </w:p>
    <w:p w:rsidR="007F596C" w:rsidRPr="00281C77" w:rsidRDefault="007F596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C4531F" w:rsidRPr="00281C77" w:rsidRDefault="00C4531F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C4531F" w:rsidRPr="00281C77" w:rsidRDefault="00C4531F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3.2 Характеристика состояния разработки месторождения в целом</w:t>
      </w: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80C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3.2.1 Динамика основных технологических показателей разработки</w:t>
      </w:r>
    </w:p>
    <w:p w:rsidR="00CE50D2" w:rsidRPr="00CC41D2" w:rsidRDefault="00CE50D2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02B3" w:rsidRPr="00CC41D2" w:rsidRDefault="00FF2AD4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Матросовское</w:t>
      </w:r>
      <w:proofErr w:type="spellEnd"/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месторождение открыто в 1991</w:t>
      </w:r>
      <w:r w:rsidR="004E780C"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>году, в промышленную разработку введено в 1995</w:t>
      </w:r>
      <w:r w:rsidR="004E780C" w:rsidRPr="00CC41D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г.</w:t>
      </w:r>
      <w:r w:rsidR="00F202B3" w:rsidRPr="00CC41D2">
        <w:rPr>
          <w:rFonts w:ascii="Times New Roman" w:hAnsi="Times New Roman" w:cs="Times New Roman"/>
          <w:sz w:val="26"/>
          <w:szCs w:val="26"/>
        </w:rPr>
        <w:t xml:space="preserve"> </w:t>
      </w:r>
      <w:r w:rsidR="00F202B3" w:rsidRPr="00CC41D2">
        <w:rPr>
          <w:rFonts w:ascii="Times New Roman" w:eastAsia="Calibri" w:hAnsi="Times New Roman" w:cs="Times New Roman"/>
          <w:sz w:val="26"/>
          <w:szCs w:val="26"/>
        </w:rPr>
        <w:t xml:space="preserve">В разработке находятся шесть эксплуатационных объектов – </w:t>
      </w:r>
      <w:proofErr w:type="spellStart"/>
      <w:r w:rsidR="00F202B3" w:rsidRPr="00CC41D2">
        <w:rPr>
          <w:rFonts w:ascii="Times New Roman" w:eastAsia="Calibri" w:hAnsi="Times New Roman" w:cs="Times New Roman"/>
          <w:sz w:val="26"/>
          <w:szCs w:val="26"/>
        </w:rPr>
        <w:t>воробьевский</w:t>
      </w:r>
      <w:proofErr w:type="spellEnd"/>
      <w:r w:rsidR="00F202B3" w:rsidRPr="00CC41D2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="00F202B3" w:rsidRPr="00CC41D2">
        <w:rPr>
          <w:rFonts w:ascii="Times New Roman" w:eastAsia="Calibri" w:hAnsi="Times New Roman" w:cs="Times New Roman"/>
          <w:sz w:val="26"/>
          <w:szCs w:val="26"/>
        </w:rPr>
        <w:t>пашийский</w:t>
      </w:r>
      <w:proofErr w:type="spellEnd"/>
      <w:r w:rsidR="00F202B3" w:rsidRPr="00CC41D2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="00F202B3" w:rsidRPr="00CC41D2">
        <w:rPr>
          <w:rFonts w:ascii="Times New Roman" w:eastAsia="Calibri" w:hAnsi="Times New Roman" w:cs="Times New Roman"/>
          <w:sz w:val="26"/>
          <w:szCs w:val="26"/>
        </w:rPr>
        <w:t>данково</w:t>
      </w:r>
      <w:proofErr w:type="spellEnd"/>
      <w:r w:rsidR="00F202B3" w:rsidRPr="00CC41D2">
        <w:rPr>
          <w:rFonts w:ascii="Times New Roman" w:eastAsia="Calibri" w:hAnsi="Times New Roman" w:cs="Times New Roman"/>
          <w:sz w:val="26"/>
          <w:szCs w:val="26"/>
        </w:rPr>
        <w:t xml:space="preserve">-лебедянский, заволжский, </w:t>
      </w:r>
      <w:proofErr w:type="spellStart"/>
      <w:r w:rsidR="00F202B3" w:rsidRPr="00CC41D2">
        <w:rPr>
          <w:rFonts w:ascii="Times New Roman" w:eastAsia="Calibri" w:hAnsi="Times New Roman" w:cs="Times New Roman"/>
          <w:sz w:val="26"/>
          <w:szCs w:val="26"/>
        </w:rPr>
        <w:t>турнейский</w:t>
      </w:r>
      <w:proofErr w:type="spellEnd"/>
      <w:r w:rsidR="00F202B3" w:rsidRPr="00CC41D2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="00F202B3" w:rsidRPr="00CC41D2">
        <w:rPr>
          <w:rFonts w:ascii="Times New Roman" w:eastAsia="Calibri" w:hAnsi="Times New Roman" w:cs="Times New Roman"/>
          <w:sz w:val="26"/>
          <w:szCs w:val="26"/>
        </w:rPr>
        <w:t>бобриковский</w:t>
      </w:r>
      <w:proofErr w:type="spellEnd"/>
      <w:r w:rsidR="00F202B3" w:rsidRPr="00CC41D2">
        <w:rPr>
          <w:rFonts w:ascii="Times New Roman" w:eastAsia="Calibri" w:hAnsi="Times New Roman" w:cs="Times New Roman"/>
          <w:sz w:val="26"/>
          <w:szCs w:val="26"/>
        </w:rPr>
        <w:t>.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>С начала разработки на месторождении добыто 4244,991 тыс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.т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нефти и 13007,455 тыс.т жидкости. Текущий коэффициент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нефтеизвлечения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составляет 0,280 доли ед., накопленный ВНФ – 2,31. От начальных извлекаемых запасов отобрано 59,4% при текущей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обводненности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продукции 82,8%.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>Поддержание пластового давления на месторождении осуществляется с 1995г., всего с начала воздействия закачано 11808,959 тыс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.м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  <w:vertAlign w:val="superscript"/>
        </w:rPr>
        <w:t>3</w:t>
      </w: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воды, накопленная компенсация отбора жидкости закачкой – 90%.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>За 2015г. добыча нефти по месторождению составляет 152,7 тыс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.т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</w:rPr>
        <w:t>, жидкости – 887,0 тыс.т. Средний дебит добывающих скважин по нефти – 7,6 т/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сут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>, по жидкости – 44,3 т/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сут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>. Растворенного газа добыто 8,2, млн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.м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  <w:vertAlign w:val="superscript"/>
        </w:rPr>
        <w:t>3</w:t>
      </w:r>
      <w:r w:rsidRPr="00CC41D2">
        <w:rPr>
          <w:rFonts w:ascii="Times New Roman" w:eastAsia="Calibri" w:hAnsi="Times New Roman" w:cs="Times New Roman"/>
          <w:sz w:val="26"/>
          <w:szCs w:val="26"/>
        </w:rPr>
        <w:t>, использование растворенного газа достигает 95%.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>Для поддержания пластового давления закачано 834,9 тыс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.м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  <w:vertAlign w:val="superscript"/>
        </w:rPr>
        <w:t>3</w:t>
      </w: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воды, текущая компенсация отбора жидкости закачкой – 101,3%. Средняя приемистость нагнетатель</w:t>
      </w:r>
      <w:r w:rsidRPr="00CC41D2">
        <w:rPr>
          <w:rFonts w:ascii="Times New Roman" w:eastAsia="Calibri" w:hAnsi="Times New Roman" w:cs="Times New Roman"/>
          <w:sz w:val="26"/>
          <w:szCs w:val="26"/>
        </w:rPr>
        <w:softHyphen/>
        <w:t>ных скважин – 103,0 м</w:t>
      </w:r>
      <w:r w:rsidRPr="00CC41D2">
        <w:rPr>
          <w:rFonts w:ascii="Times New Roman" w:eastAsia="Calibri" w:hAnsi="Times New Roman" w:cs="Times New Roman"/>
          <w:sz w:val="26"/>
          <w:szCs w:val="26"/>
          <w:vertAlign w:val="superscript"/>
        </w:rPr>
        <w:t>3</w:t>
      </w:r>
      <w:r w:rsidRPr="00CC41D2">
        <w:rPr>
          <w:rFonts w:ascii="Times New Roman" w:eastAsia="Calibri" w:hAnsi="Times New Roman" w:cs="Times New Roman"/>
          <w:sz w:val="26"/>
          <w:szCs w:val="26"/>
        </w:rPr>
        <w:t>/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сут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>.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>Разработка месторождения ведется в соответствии с техническим проектом, основные показатели разработки находятся на проектном уровне: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>– расхождение фактических и проектных уровней добычи нефти в 2011-2015гг. составляет 5,7-9,1%;</w:t>
      </w:r>
    </w:p>
    <w:p w:rsidR="00C4531F" w:rsidRPr="00281C77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Фактическая добыча жидкости и закачки в 2015г. ниже проектных уровней 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на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8228AE" w:rsidRPr="00CC41D2" w:rsidRDefault="008228AE" w:rsidP="00C4531F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8 % соответственно. 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Таким образом, разработка месторождения ведется в пределах допустимых 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отклонений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и пересмотр проектных решений требуется только для заволжского и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данково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-лебедянского объектов, в связи с изменившимися представлениями об их геологическом строении. 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lastRenderedPageBreak/>
        <w:t>Согласно п.3.2.14. «Временных методических рекомендаций по подготовке технических проектов разработки месторождений УВС» (распоряжение №12-р Минприроды России от 18.05.2016г.) допускается составление ДТ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  <w:lang w:val="en-US"/>
        </w:rPr>
        <w:t>C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Р по упрощенной схеме для месторождений, содержащих несколько объектов разработки в случае выявления новых залежей, если технологические решения и прогнозные уровни добычи по остальным залежам (эксплуатационным объектам) не изменяются. Поэтому объектом исследования в представляемом проектном документе являются только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доманиковые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отложения, представляемые в данном качестве впервые.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Разработка </w:t>
      </w:r>
      <w:proofErr w:type="spellStart"/>
      <w:r w:rsidRPr="00CC41D2">
        <w:rPr>
          <w:rFonts w:ascii="Times New Roman" w:eastAsia="Calibri" w:hAnsi="Times New Roman" w:cs="Times New Roman"/>
          <w:b/>
          <w:sz w:val="26"/>
          <w:szCs w:val="26"/>
        </w:rPr>
        <w:t>доманиковых</w:t>
      </w:r>
      <w:proofErr w:type="spellEnd"/>
      <w:r w:rsidRPr="00CC41D2">
        <w:rPr>
          <w:rFonts w:ascii="Times New Roman" w:eastAsia="Calibri" w:hAnsi="Times New Roman" w:cs="Times New Roman"/>
          <w:b/>
          <w:sz w:val="26"/>
          <w:szCs w:val="26"/>
        </w:rPr>
        <w:t xml:space="preserve"> отложений</w:t>
      </w: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(ранее 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заволжский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и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данково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>-лебедян</w:t>
      </w:r>
      <w:r w:rsidRPr="00CC41D2">
        <w:rPr>
          <w:rFonts w:ascii="Times New Roman" w:eastAsia="Calibri" w:hAnsi="Times New Roman" w:cs="Times New Roman"/>
          <w:sz w:val="26"/>
          <w:szCs w:val="26"/>
        </w:rPr>
        <w:softHyphen/>
        <w:t xml:space="preserve">ский объекты) ведется с 1997г. Пробуренный фонд – пять скважин, в т.ч. две добывающие, три пьезометрические. 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>С начала разработки добыто 22,2 тыс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.т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нефти и 40,7 тыс.т жидкости. Текущий коэффициент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нефтеизвлечения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составляет 0,036 доли ед., накопленный ВНФ – 0,8. От начальных извлекаемых запасов отобрано 18,1% при текущей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обводненности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продукции 11,2%.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Залежи разрабатываются на естественном режиме. 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>За 2015г. добыча нефти составляет 1,2 тыс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.т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</w:rPr>
        <w:t>, жидкости – 1,4 тыс.т. Средний дебит добывающих скважин по нефти – 1,2 т/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сут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>, по жидкости – 1,3 т/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сут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Pr="00CC41D2">
        <w:rPr>
          <w:rFonts w:ascii="Times New Roman" w:eastAsia="Calibri" w:hAnsi="Times New Roman" w:cs="Times New Roman"/>
          <w:sz w:val="26"/>
          <w:szCs w:val="26"/>
        </w:rPr>
        <w:br/>
        <w:t xml:space="preserve">           Пластовое давление снизилось на 5,0 МПа (41,7%) и составляет 7,0 МПа. Забойное давление – 5,0 МПа  при давлении насыщения 4,8 МПа.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Фактическая добыча нефти в 2015г. выше проектной на 20,0%, добыча жидкости соответствует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проекному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уровню. </w:t>
      </w:r>
    </w:p>
    <w:p w:rsidR="008228AE" w:rsidRPr="00CC41D2" w:rsidRDefault="008228AE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Действующий добывающий фонд в 2015г. соответствует проекту - две скважины. </w:t>
      </w:r>
    </w:p>
    <w:p w:rsidR="008228AE" w:rsidRPr="00CC41D2" w:rsidRDefault="008228AE" w:rsidP="00CC41D2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На добывающих скважинах за весь период разработки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доманиковых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отложений выполнено пять обработок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призабойной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зоны по двум технологиям, дополнительная добыча нефти за счет мероприятий составила 4,0 тыс.т. </w:t>
      </w:r>
    </w:p>
    <w:p w:rsidR="00FB2547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  <w:t>В таблице 3.1 приведены основные технологические показатели разработки месторождения на 1.01.2016 г.</w:t>
      </w:r>
      <w:r w:rsidR="001624EF" w:rsidRPr="00CC41D2"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  <w:t xml:space="preserve"> </w:t>
      </w:r>
    </w:p>
    <w:p w:rsidR="00FB2547" w:rsidRPr="00CC41D2" w:rsidRDefault="004E780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</w:pPr>
      <w:r w:rsidRPr="00CC41D2"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  <w:t>В таблице 3.2 и на рисунках 3.1, 3.2 представлена динамика основных технологических показатели разработки в целом по месторождению</w:t>
      </w:r>
      <w:r w:rsidR="008B1BCC"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  <w:t xml:space="preserve"> и </w:t>
      </w:r>
      <w:proofErr w:type="spellStart"/>
      <w:r w:rsidR="008B1BCC"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  <w:t>доманиковым</w:t>
      </w:r>
      <w:proofErr w:type="spellEnd"/>
      <w:r w:rsidR="008B1BCC"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  <w:t xml:space="preserve"> отложениям</w:t>
      </w:r>
      <w:bookmarkStart w:id="0" w:name="_GoBack"/>
      <w:bookmarkEnd w:id="0"/>
      <w:r w:rsidRPr="00CC41D2"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  <w:t xml:space="preserve"> на 1.01.2016 г.</w:t>
      </w:r>
    </w:p>
    <w:p w:rsidR="004E780C" w:rsidRPr="00CC5EB2" w:rsidRDefault="00A3124C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</w:pPr>
      <w:r w:rsidRPr="00CC41D2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CC41D2">
        <w:rPr>
          <w:rFonts w:ascii="Times New Roman" w:eastAsia="Calibri" w:hAnsi="Times New Roman" w:cs="Times New Roman"/>
          <w:sz w:val="26"/>
          <w:szCs w:val="26"/>
        </w:rPr>
        <w:t>Сравнение проектных и фактических показателей разработки</w:t>
      </w:r>
      <w:r w:rsidR="00CC5EB2">
        <w:rPr>
          <w:rFonts w:ascii="Times New Roman" w:eastAsia="Calibri" w:hAnsi="Times New Roman" w:cs="Times New Roman"/>
          <w:sz w:val="26"/>
          <w:szCs w:val="26"/>
        </w:rPr>
        <w:t xml:space="preserve"> в целом по месторождению и </w:t>
      </w:r>
      <w:proofErr w:type="spellStart"/>
      <w:r w:rsidR="00CC5EB2">
        <w:rPr>
          <w:rFonts w:ascii="Times New Roman" w:eastAsia="Calibri" w:hAnsi="Times New Roman" w:cs="Times New Roman"/>
          <w:sz w:val="26"/>
          <w:szCs w:val="26"/>
        </w:rPr>
        <w:t>доманиковым</w:t>
      </w:r>
      <w:proofErr w:type="spellEnd"/>
      <w:r w:rsidR="00CC5EB2">
        <w:rPr>
          <w:rFonts w:ascii="Times New Roman" w:eastAsia="Calibri" w:hAnsi="Times New Roman" w:cs="Times New Roman"/>
          <w:sz w:val="26"/>
          <w:szCs w:val="26"/>
        </w:rPr>
        <w:t xml:space="preserve"> отложениям</w:t>
      </w:r>
      <w:r w:rsidR="002E16F6"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за </w:t>
      </w:r>
      <w:proofErr w:type="spellStart"/>
      <w:r w:rsidR="002E16F6" w:rsidRPr="00CC41D2">
        <w:rPr>
          <w:rFonts w:ascii="Times New Roman" w:hAnsi="Times New Roman" w:cs="Times New Roman"/>
          <w:bCs/>
          <w:spacing w:val="-6"/>
          <w:sz w:val="26"/>
          <w:szCs w:val="26"/>
        </w:rPr>
        <w:t>межпроектный</w:t>
      </w:r>
      <w:proofErr w:type="spellEnd"/>
      <w:r w:rsidR="002E16F6" w:rsidRPr="00CC41D2">
        <w:rPr>
          <w:rFonts w:ascii="Times New Roman" w:hAnsi="Times New Roman" w:cs="Times New Roman"/>
          <w:bCs/>
          <w:spacing w:val="-6"/>
          <w:sz w:val="26"/>
          <w:szCs w:val="26"/>
        </w:rPr>
        <w:t xml:space="preserve"> период 2011-2015 годы</w:t>
      </w: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приведено в </w:t>
      </w:r>
      <w:r w:rsidRPr="00CC41D2">
        <w:rPr>
          <w:rFonts w:ascii="Times New Roman" w:hAnsi="Times New Roman" w:cs="Times New Roman"/>
          <w:sz w:val="26"/>
          <w:szCs w:val="26"/>
        </w:rPr>
        <w:t>таблицах 3.3</w:t>
      </w:r>
      <w:r w:rsidR="005B745E" w:rsidRPr="00CC41D2">
        <w:rPr>
          <w:rFonts w:ascii="Times New Roman" w:hAnsi="Times New Roman" w:cs="Times New Roman"/>
          <w:sz w:val="26"/>
          <w:szCs w:val="26"/>
        </w:rPr>
        <w:t>,</w:t>
      </w:r>
      <w:r w:rsidRPr="00CC41D2">
        <w:rPr>
          <w:rFonts w:ascii="Times New Roman" w:eastAsia="Calibri" w:hAnsi="Times New Roman" w:cs="Times New Roman"/>
          <w:sz w:val="26"/>
          <w:szCs w:val="26"/>
        </w:rPr>
        <w:t>3.</w:t>
      </w:r>
      <w:r w:rsidRPr="00CC41D2">
        <w:rPr>
          <w:rFonts w:ascii="Times New Roman" w:hAnsi="Times New Roman" w:cs="Times New Roman"/>
          <w:sz w:val="26"/>
          <w:szCs w:val="26"/>
        </w:rPr>
        <w:t>4.</w:t>
      </w:r>
      <w:r w:rsidR="004E780C" w:rsidRPr="00CC41D2"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  <w:t xml:space="preserve"> </w:t>
      </w:r>
    </w:p>
    <w:p w:rsidR="00EC0A3F" w:rsidRPr="00CC5EB2" w:rsidRDefault="00EC0A3F" w:rsidP="00CC4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</w:pPr>
    </w:p>
    <w:p w:rsidR="00EC070C" w:rsidRPr="00CC41D2" w:rsidRDefault="00EC070C" w:rsidP="00CC41D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>3.2.2 Структура фонда скважин</w:t>
      </w:r>
    </w:p>
    <w:p w:rsidR="00EC070C" w:rsidRPr="00CC41D2" w:rsidRDefault="00EC070C" w:rsidP="00CC41D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F4140B" w:rsidRPr="00CC41D2" w:rsidRDefault="00F4140B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По состоянию на 01.01.2016г. на месторождении пробурено 175 скважин, </w:t>
      </w:r>
      <w:r w:rsidRPr="00CC41D2">
        <w:rPr>
          <w:rFonts w:ascii="Times New Roman" w:eastAsia="Calibri" w:hAnsi="Times New Roman" w:cs="Times New Roman"/>
          <w:sz w:val="26"/>
          <w:szCs w:val="26"/>
        </w:rPr>
        <w:br/>
        <w:t>в т.ч. 114 добывающих, 48 нагнетательных, 13 специальных.</w:t>
      </w:r>
    </w:p>
    <w:p w:rsidR="00F4140B" w:rsidRPr="00CC41D2" w:rsidRDefault="00F4140B" w:rsidP="00CC41D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В добывающем фонде числятся 70 скважин, в т.ч. 62 </w:t>
      </w:r>
      <w:proofErr w:type="gramStart"/>
      <w:r w:rsidRPr="00CC41D2">
        <w:rPr>
          <w:rFonts w:ascii="Times New Roman" w:eastAsia="Calibri" w:hAnsi="Times New Roman" w:cs="Times New Roman"/>
          <w:sz w:val="26"/>
          <w:szCs w:val="26"/>
        </w:rPr>
        <w:t>действующие</w:t>
      </w:r>
      <w:proofErr w:type="gramEnd"/>
      <w:r w:rsidRPr="00CC41D2">
        <w:rPr>
          <w:rFonts w:ascii="Times New Roman" w:eastAsia="Calibri" w:hAnsi="Times New Roman" w:cs="Times New Roman"/>
          <w:sz w:val="26"/>
          <w:szCs w:val="26"/>
        </w:rPr>
        <w:t>, 7 ликвиди</w:t>
      </w:r>
      <w:r w:rsidRPr="00CC41D2">
        <w:rPr>
          <w:rFonts w:ascii="Times New Roman" w:eastAsia="Calibri" w:hAnsi="Times New Roman" w:cs="Times New Roman"/>
          <w:sz w:val="26"/>
          <w:szCs w:val="26"/>
        </w:rPr>
        <w:softHyphen/>
        <w:t xml:space="preserve">рованных. В нагнетательном фонде находятся 48 скважин, в т.ч. одна наблюдательная, три пьезометрические. </w:t>
      </w:r>
    </w:p>
    <w:p w:rsidR="00F4140B" w:rsidRPr="00CC41D2" w:rsidRDefault="00F4140B" w:rsidP="00CC41D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>На</w:t>
      </w:r>
      <w:r w:rsidRPr="00CC41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41D2">
        <w:rPr>
          <w:rFonts w:ascii="Times New Roman" w:eastAsia="Calibri" w:hAnsi="Times New Roman" w:cs="Times New Roman"/>
          <w:b/>
          <w:sz w:val="26"/>
          <w:szCs w:val="26"/>
        </w:rPr>
        <w:t>доманиковых</w:t>
      </w:r>
      <w:proofErr w:type="spellEnd"/>
      <w:r w:rsidRPr="00CC41D2">
        <w:rPr>
          <w:rFonts w:ascii="Times New Roman" w:eastAsia="Calibri" w:hAnsi="Times New Roman" w:cs="Times New Roman"/>
          <w:b/>
          <w:sz w:val="26"/>
          <w:szCs w:val="26"/>
        </w:rPr>
        <w:t xml:space="preserve"> отложен</w:t>
      </w:r>
      <w:r w:rsidR="00CA0D93" w:rsidRPr="00CC41D2">
        <w:rPr>
          <w:rFonts w:ascii="Times New Roman" w:eastAsia="Calibri" w:hAnsi="Times New Roman" w:cs="Times New Roman"/>
          <w:b/>
          <w:sz w:val="26"/>
          <w:szCs w:val="26"/>
        </w:rPr>
        <w:t>иях</w:t>
      </w:r>
      <w:r w:rsidRPr="00CC41D2">
        <w:rPr>
          <w:rFonts w:ascii="Times New Roman" w:hAnsi="Times New Roman" w:cs="Times New Roman"/>
          <w:sz w:val="26"/>
          <w:szCs w:val="26"/>
        </w:rPr>
        <w:t xml:space="preserve"> </w:t>
      </w:r>
      <w:r w:rsidR="00CA0D93" w:rsidRPr="00CC41D2">
        <w:rPr>
          <w:rFonts w:ascii="Times New Roman" w:eastAsia="Calibri" w:hAnsi="Times New Roman" w:cs="Times New Roman"/>
          <w:sz w:val="26"/>
          <w:szCs w:val="26"/>
        </w:rPr>
        <w:t>п</w:t>
      </w: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робуренный фонд – пять скважин, в т.ч. две добывающие, три пьезометрические. </w:t>
      </w:r>
    </w:p>
    <w:p w:rsidR="00EC070C" w:rsidRPr="00CC41D2" w:rsidRDefault="00EC070C" w:rsidP="00CC41D2">
      <w:pPr>
        <w:spacing w:after="0" w:line="360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CC41D2">
        <w:rPr>
          <w:rFonts w:ascii="Times New Roman" w:eastAsia="Calibri" w:hAnsi="Times New Roman" w:cs="Times New Roman"/>
          <w:bCs/>
          <w:color w:val="000000"/>
          <w:sz w:val="26"/>
          <w:szCs w:val="26"/>
        </w:rPr>
        <w:t>Характеристика фонда скважин представлено в таблице 3</w:t>
      </w:r>
      <w:r w:rsidR="00FB7491" w:rsidRPr="00CC41D2">
        <w:rPr>
          <w:rFonts w:ascii="Times New Roman" w:eastAsia="Calibri" w:hAnsi="Times New Roman" w:cs="Times New Roman"/>
          <w:bCs/>
          <w:color w:val="000000"/>
          <w:sz w:val="26"/>
          <w:szCs w:val="26"/>
        </w:rPr>
        <w:t>.5</w:t>
      </w:r>
      <w:r w:rsidRPr="00CC41D2">
        <w:rPr>
          <w:rFonts w:ascii="Times New Roman" w:eastAsia="Calibri" w:hAnsi="Times New Roman" w:cs="Times New Roman"/>
          <w:bCs/>
          <w:color w:val="000000"/>
          <w:sz w:val="26"/>
          <w:szCs w:val="26"/>
        </w:rPr>
        <w:t>.</w:t>
      </w:r>
    </w:p>
    <w:p w:rsidR="008A2B67" w:rsidRPr="00CC41D2" w:rsidRDefault="008A2B67" w:rsidP="00CC41D2">
      <w:pPr>
        <w:spacing w:after="0" w:line="360" w:lineRule="auto"/>
        <w:jc w:val="both"/>
        <w:rPr>
          <w:rFonts w:ascii="Times New Roman" w:eastAsia="Calibri" w:hAnsi="Times New Roman" w:cs="Times New Roman"/>
          <w:snapToGrid w:val="0"/>
          <w:sz w:val="26"/>
          <w:szCs w:val="26"/>
        </w:rPr>
      </w:pPr>
    </w:p>
    <w:p w:rsidR="007C7A47" w:rsidRPr="00CC41D2" w:rsidRDefault="007C7A47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>3.</w:t>
      </w:r>
      <w:r w:rsidR="00B74810" w:rsidRPr="00CC41D2">
        <w:rPr>
          <w:rFonts w:ascii="Times New Roman" w:hAnsi="Times New Roman" w:cs="Times New Roman"/>
          <w:sz w:val="26"/>
          <w:szCs w:val="26"/>
        </w:rPr>
        <w:t>3</w:t>
      </w:r>
      <w:r w:rsidRPr="00CC41D2">
        <w:rPr>
          <w:rFonts w:ascii="Times New Roman" w:hAnsi="Times New Roman" w:cs="Times New Roman"/>
          <w:sz w:val="26"/>
          <w:szCs w:val="26"/>
        </w:rPr>
        <w:t xml:space="preserve">  Анализ выработки запасов нефти</w:t>
      </w:r>
    </w:p>
    <w:p w:rsidR="007C7A47" w:rsidRPr="00CC41D2" w:rsidRDefault="007C7A47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C7A47" w:rsidRPr="00CC41D2" w:rsidRDefault="007C7A47" w:rsidP="00CC4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Разработка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нефтяного месторождения была начата в 1995 г. При выполнении оперативного подсчета запасов нефти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фаменского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яруса на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Матросовском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месторождении в 2015 г. [1] отложения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фаменского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яруса верхнего девона  были отнесены к отложениям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доманикового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типа. К таким отложениям на месторождении относятся отложения заволжского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надгоризонта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данково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-лебедянского горизонта. Залежи нефти в этих отложениях объединены в единый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подсчетный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объект. Корреляция разрезов скважин, наличие газовых аномалий в интервалах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доманиковых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отложений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фаменского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яруса, петрофизический анализ материалов керновых данных и проведенный</w:t>
      </w:r>
      <w:proofErr w:type="gramStart"/>
      <w:r w:rsidRPr="00CC41D2"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  <w:r w:rsidRPr="00CC41D2">
        <w:rPr>
          <w:rFonts w:ascii="Times New Roman" w:hAnsi="Times New Roman" w:cs="Times New Roman"/>
          <w:sz w:val="26"/>
          <w:szCs w:val="26"/>
        </w:rPr>
        <w:t xml:space="preserve">/О каротаж позволяет утверждать, что продуктивные отложения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фаменского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яруса, являются распространенным по площади резервуаром. </w:t>
      </w:r>
    </w:p>
    <w:p w:rsidR="007C7A47" w:rsidRPr="00CC41D2" w:rsidRDefault="007C7A47" w:rsidP="00CC41D2">
      <w:pPr>
        <w:pStyle w:val="2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Залежь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доманиковых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отложений разрабатывается двумя скважинами №№ 179 (заволжский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надгоризонт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>, с 2000 г.) и 7330 (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данково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-лебедянский горизонт, с 1997 г.) на естественном режиме (графические приложения 12,13). </w:t>
      </w:r>
      <w:r w:rsidRPr="00CC41D2">
        <w:rPr>
          <w:rFonts w:ascii="Times New Roman" w:hAnsi="Times New Roman" w:cs="Times New Roman"/>
          <w:snapToGrid w:val="0"/>
          <w:sz w:val="26"/>
          <w:szCs w:val="26"/>
        </w:rPr>
        <w:t>Текущие  д</w:t>
      </w:r>
      <w:r w:rsidRPr="00CC41D2">
        <w:rPr>
          <w:rFonts w:ascii="Times New Roman" w:eastAsia="Calibri" w:hAnsi="Times New Roman" w:cs="Times New Roman"/>
          <w:sz w:val="26"/>
          <w:szCs w:val="26"/>
        </w:rPr>
        <w:t>ебиты по скважинам по нефти составили  2,1 и 0,8 т/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сут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>, по жидкости 2,4 и 2,0 т/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t>сут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CC41D2">
        <w:rPr>
          <w:rFonts w:ascii="Times New Roman" w:eastAsia="Calibri" w:hAnsi="Times New Roman" w:cs="Times New Roman"/>
          <w:sz w:val="26"/>
          <w:szCs w:val="26"/>
        </w:rPr>
        <w:lastRenderedPageBreak/>
        <w:t>обводненность</w:t>
      </w:r>
      <w:proofErr w:type="spellEnd"/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 9,6 и 31,6 % соответственно. </w:t>
      </w:r>
      <w:r w:rsidRPr="00CC41D2">
        <w:rPr>
          <w:rFonts w:ascii="Times New Roman" w:hAnsi="Times New Roman" w:cs="Times New Roman"/>
          <w:bCs/>
          <w:sz w:val="26"/>
          <w:szCs w:val="26"/>
        </w:rPr>
        <w:t xml:space="preserve">По состоянию на 01.01.2016 г. на государственном балансе по залежи числятся начальные запасы нефти </w:t>
      </w:r>
      <w:r w:rsidRPr="00CC41D2">
        <w:rPr>
          <w:rFonts w:ascii="Times New Roman" w:hAnsi="Times New Roman" w:cs="Times New Roman"/>
          <w:sz w:val="26"/>
          <w:szCs w:val="26"/>
        </w:rPr>
        <w:t>(геологические/извлекаемые): по категории В</w:t>
      </w:r>
      <w:r w:rsidRPr="00CC41D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CC41D2">
        <w:rPr>
          <w:rFonts w:ascii="Times New Roman" w:hAnsi="Times New Roman" w:cs="Times New Roman"/>
          <w:sz w:val="26"/>
          <w:szCs w:val="26"/>
        </w:rPr>
        <w:t xml:space="preserve"> - 412/82 тыс.т., по категории В</w:t>
      </w:r>
      <w:r w:rsidRPr="00CC41D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C41D2">
        <w:rPr>
          <w:rFonts w:ascii="Times New Roman" w:hAnsi="Times New Roman" w:cs="Times New Roman"/>
          <w:sz w:val="26"/>
          <w:szCs w:val="26"/>
        </w:rPr>
        <w:t xml:space="preserve"> -  3278/656 тыс.т. За период разработки извлечено 22 тыс</w:t>
      </w:r>
      <w:proofErr w:type="gramStart"/>
      <w:r w:rsidRPr="00CC41D2">
        <w:rPr>
          <w:rFonts w:ascii="Times New Roman" w:hAnsi="Times New Roman" w:cs="Times New Roman"/>
          <w:sz w:val="26"/>
          <w:szCs w:val="26"/>
        </w:rPr>
        <w:t>.т</w:t>
      </w:r>
      <w:proofErr w:type="gramEnd"/>
      <w:r w:rsidRPr="00CC41D2">
        <w:rPr>
          <w:rFonts w:ascii="Times New Roman" w:hAnsi="Times New Roman" w:cs="Times New Roman"/>
          <w:sz w:val="26"/>
          <w:szCs w:val="26"/>
        </w:rPr>
        <w:t xml:space="preserve"> нефти, что составляет 17,98 % от НИЗ по категории С</w:t>
      </w:r>
      <w:r w:rsidRPr="00CC41D2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CC41D2">
        <w:rPr>
          <w:rFonts w:ascii="Times New Roman" w:hAnsi="Times New Roman" w:cs="Times New Roman"/>
          <w:sz w:val="26"/>
          <w:szCs w:val="26"/>
        </w:rPr>
        <w:t xml:space="preserve">. </w:t>
      </w:r>
      <w:r w:rsidRPr="00CC41D2">
        <w:rPr>
          <w:rFonts w:ascii="Times New Roman" w:eastAsia="Calibri" w:hAnsi="Times New Roman" w:cs="Times New Roman"/>
          <w:sz w:val="26"/>
          <w:szCs w:val="26"/>
        </w:rPr>
        <w:t xml:space="preserve">Текущий  КИН  равен  0,036. Пластовое давление в скважинах в зоне отбора в среднем составляет  5,5 МПа.   </w:t>
      </w:r>
    </w:p>
    <w:p w:rsidR="007C7A47" w:rsidRPr="00CC41D2" w:rsidRDefault="007C7A47" w:rsidP="00CC41D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Состояние выработки запасов нефти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доманиковых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отложений по состоянию на 01.01.16 г. приведено в таблице 3</w:t>
      </w:r>
      <w:r w:rsidR="00FB7491" w:rsidRPr="00CC41D2">
        <w:rPr>
          <w:rFonts w:ascii="Times New Roman" w:hAnsi="Times New Roman" w:cs="Times New Roman"/>
          <w:sz w:val="26"/>
          <w:szCs w:val="26"/>
        </w:rPr>
        <w:t>.6.</w:t>
      </w:r>
    </w:p>
    <w:p w:rsidR="007C7A47" w:rsidRPr="00CC41D2" w:rsidRDefault="007C7A47" w:rsidP="00CC41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CC41D2">
        <w:rPr>
          <w:rFonts w:ascii="Times New Roman" w:hAnsi="Times New Roman" w:cs="Times New Roman"/>
          <w:sz w:val="26"/>
          <w:szCs w:val="26"/>
        </w:rPr>
        <w:t xml:space="preserve">На месторождении, для решения текущих задач разработки, в скважинах №№ 175, 197 в период с 2013-2015 гг. были выполнены промыслово-геофизические исследования - определение профилей притока пластов, выделение интервалов притока нефти и воды. Комплекс промыслово-геофизических исследований включал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термокондуктивную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(СТД)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дебитометрию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, гамма-каротаж, термометрию, </w:t>
      </w:r>
      <w:proofErr w:type="spellStart"/>
      <w:r w:rsidRPr="00CC41D2">
        <w:rPr>
          <w:rFonts w:ascii="Times New Roman" w:hAnsi="Times New Roman" w:cs="Times New Roman"/>
          <w:sz w:val="26"/>
          <w:szCs w:val="26"/>
        </w:rPr>
        <w:t>манометрию</w:t>
      </w:r>
      <w:proofErr w:type="spellEnd"/>
      <w:r w:rsidRPr="00CC41D2">
        <w:rPr>
          <w:rFonts w:ascii="Times New Roman" w:hAnsi="Times New Roman" w:cs="Times New Roman"/>
          <w:sz w:val="26"/>
          <w:szCs w:val="26"/>
        </w:rPr>
        <w:t xml:space="preserve"> и локацию муфт. </w:t>
      </w:r>
    </w:p>
    <w:p w:rsidR="007C7A47" w:rsidRPr="00CC41D2" w:rsidRDefault="007C7A47" w:rsidP="00CC41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:rsidR="007C7A47" w:rsidRPr="00CC41D2" w:rsidRDefault="007C7A47" w:rsidP="00CC41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:rsidR="007C7A47" w:rsidRPr="007C7A47" w:rsidRDefault="007C7A47" w:rsidP="007C7A47">
      <w:pPr>
        <w:jc w:val="both"/>
        <w:rPr>
          <w:rFonts w:ascii="Times New Roman" w:hAnsi="Times New Roman" w:cs="Times New Roman"/>
          <w:sz w:val="26"/>
          <w:szCs w:val="26"/>
        </w:rPr>
        <w:sectPr w:rsidR="007C7A47" w:rsidRPr="007C7A47" w:rsidSect="00CC41D2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7C7A47" w:rsidRPr="007C7A47" w:rsidRDefault="007C7A47" w:rsidP="007C7A47">
      <w:pPr>
        <w:jc w:val="both"/>
        <w:rPr>
          <w:rFonts w:ascii="Times New Roman" w:hAnsi="Times New Roman" w:cs="Times New Roman"/>
          <w:sz w:val="26"/>
          <w:szCs w:val="26"/>
        </w:rPr>
      </w:pPr>
      <w:r w:rsidRPr="007C7A47">
        <w:rPr>
          <w:rFonts w:ascii="Times New Roman" w:hAnsi="Times New Roman" w:cs="Times New Roman"/>
          <w:sz w:val="26"/>
          <w:szCs w:val="26"/>
        </w:rPr>
        <w:lastRenderedPageBreak/>
        <w:t>Табл</w:t>
      </w:r>
      <w:r w:rsidR="00FB7491">
        <w:rPr>
          <w:rFonts w:ascii="Times New Roman" w:hAnsi="Times New Roman" w:cs="Times New Roman"/>
          <w:sz w:val="26"/>
          <w:szCs w:val="26"/>
        </w:rPr>
        <w:t>ица 3.6</w:t>
      </w:r>
      <w:r w:rsidRPr="007C7A47">
        <w:rPr>
          <w:rFonts w:ascii="Times New Roman" w:hAnsi="Times New Roman" w:cs="Times New Roman"/>
          <w:sz w:val="26"/>
          <w:szCs w:val="26"/>
        </w:rPr>
        <w:t xml:space="preserve"> - Состояние выработки запасов нефти </w:t>
      </w:r>
      <w:proofErr w:type="spellStart"/>
      <w:r w:rsidRPr="007C7A47">
        <w:rPr>
          <w:rFonts w:ascii="Times New Roman" w:hAnsi="Times New Roman" w:cs="Times New Roman"/>
          <w:sz w:val="26"/>
          <w:szCs w:val="26"/>
        </w:rPr>
        <w:t>доманиковых</w:t>
      </w:r>
      <w:proofErr w:type="spellEnd"/>
      <w:r w:rsidRPr="007C7A47">
        <w:rPr>
          <w:rFonts w:ascii="Times New Roman" w:hAnsi="Times New Roman" w:cs="Times New Roman"/>
          <w:sz w:val="26"/>
          <w:szCs w:val="26"/>
        </w:rPr>
        <w:t xml:space="preserve"> отложений по состоянию 01.01.2016 г.</w:t>
      </w:r>
    </w:p>
    <w:p w:rsidR="007C7A47" w:rsidRDefault="007C7A47" w:rsidP="007C7A47">
      <w:pPr>
        <w:jc w:val="both"/>
        <w:rPr>
          <w:sz w:val="26"/>
          <w:szCs w:val="26"/>
        </w:rPr>
      </w:pPr>
    </w:p>
    <w:p w:rsidR="007C7A47" w:rsidRDefault="007C7A47" w:rsidP="007C7A47">
      <w:pPr>
        <w:jc w:val="both"/>
        <w:rPr>
          <w:sz w:val="26"/>
          <w:szCs w:val="26"/>
        </w:rPr>
        <w:sectPr w:rsidR="007C7A47" w:rsidSect="000A7CA4">
          <w:pgSz w:w="16838" w:h="11906" w:orient="landscape" w:code="9"/>
          <w:pgMar w:top="1701" w:right="1134" w:bottom="567" w:left="1134" w:header="709" w:footer="709" w:gutter="0"/>
          <w:cols w:space="708"/>
          <w:docGrid w:linePitch="360"/>
        </w:sectPr>
      </w:pPr>
      <w:r>
        <w:rPr>
          <w:sz w:val="26"/>
          <w:szCs w:val="26"/>
        </w:rPr>
        <w:object w:dxaOrig="15720" w:dyaOrig="3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7.6pt;height:191.7pt" o:ole="">
            <v:imagedata r:id="rId6" o:title=""/>
          </v:shape>
          <o:OLEObject Type="Embed" ProgID="Excel.Sheet.8" ShapeID="_x0000_i1025" DrawAspect="Content" ObjectID="_1537707797" r:id="rId7"/>
        </w:object>
      </w:r>
    </w:p>
    <w:p w:rsidR="00074064" w:rsidRPr="00571B63" w:rsidRDefault="00074064" w:rsidP="00571B63">
      <w:pPr>
        <w:spacing w:after="0" w:line="360" w:lineRule="auto"/>
        <w:rPr>
          <w:rFonts w:ascii="Times New Roman" w:hAnsi="Times New Roman" w:cs="Times New Roman"/>
        </w:rPr>
      </w:pPr>
    </w:p>
    <w:sectPr w:rsidR="00074064" w:rsidRPr="00571B63" w:rsidSect="0081685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391B"/>
    <w:multiLevelType w:val="hybridMultilevel"/>
    <w:tmpl w:val="A9C46EA8"/>
    <w:lvl w:ilvl="0" w:tplc="221A808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425"/>
      </w:pPr>
      <w:rPr>
        <w:rFonts w:ascii="Symbol" w:hAnsi="Symbol" w:hint="default"/>
        <w:sz w:val="14"/>
      </w:rPr>
    </w:lvl>
    <w:lvl w:ilvl="1" w:tplc="04190019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E0DAB"/>
    <w:rsid w:val="00047D9D"/>
    <w:rsid w:val="000627B9"/>
    <w:rsid w:val="000665F3"/>
    <w:rsid w:val="00074064"/>
    <w:rsid w:val="000B2E11"/>
    <w:rsid w:val="000F4EB0"/>
    <w:rsid w:val="00133485"/>
    <w:rsid w:val="00147C52"/>
    <w:rsid w:val="001624EF"/>
    <w:rsid w:val="001A65D8"/>
    <w:rsid w:val="00202509"/>
    <w:rsid w:val="00281C77"/>
    <w:rsid w:val="002C58E0"/>
    <w:rsid w:val="002E16F6"/>
    <w:rsid w:val="00383791"/>
    <w:rsid w:val="004A671D"/>
    <w:rsid w:val="004D4466"/>
    <w:rsid w:val="004E780C"/>
    <w:rsid w:val="00507DFF"/>
    <w:rsid w:val="00571B63"/>
    <w:rsid w:val="005B426A"/>
    <w:rsid w:val="005B745E"/>
    <w:rsid w:val="005C34B0"/>
    <w:rsid w:val="006053E1"/>
    <w:rsid w:val="00665052"/>
    <w:rsid w:val="00670EB7"/>
    <w:rsid w:val="00682BAA"/>
    <w:rsid w:val="006C322B"/>
    <w:rsid w:val="006F3164"/>
    <w:rsid w:val="007C7A47"/>
    <w:rsid w:val="007E0DAB"/>
    <w:rsid w:val="007F2EB7"/>
    <w:rsid w:val="007F596C"/>
    <w:rsid w:val="008166E0"/>
    <w:rsid w:val="0081685F"/>
    <w:rsid w:val="008228AE"/>
    <w:rsid w:val="008573D9"/>
    <w:rsid w:val="008A2B67"/>
    <w:rsid w:val="008B1BCC"/>
    <w:rsid w:val="009052CE"/>
    <w:rsid w:val="00A3124C"/>
    <w:rsid w:val="00A81A3C"/>
    <w:rsid w:val="00AD32A4"/>
    <w:rsid w:val="00AD40A2"/>
    <w:rsid w:val="00B41039"/>
    <w:rsid w:val="00B66BBD"/>
    <w:rsid w:val="00B74810"/>
    <w:rsid w:val="00BA4381"/>
    <w:rsid w:val="00C4531F"/>
    <w:rsid w:val="00CA0D93"/>
    <w:rsid w:val="00CC41D2"/>
    <w:rsid w:val="00CC5EB2"/>
    <w:rsid w:val="00CE50D2"/>
    <w:rsid w:val="00CF3C8F"/>
    <w:rsid w:val="00D04919"/>
    <w:rsid w:val="00D34AC7"/>
    <w:rsid w:val="00D35051"/>
    <w:rsid w:val="00D42188"/>
    <w:rsid w:val="00D97AD3"/>
    <w:rsid w:val="00E32C87"/>
    <w:rsid w:val="00EA39F8"/>
    <w:rsid w:val="00EC070C"/>
    <w:rsid w:val="00EC0A3F"/>
    <w:rsid w:val="00F202B3"/>
    <w:rsid w:val="00F4140B"/>
    <w:rsid w:val="00F81716"/>
    <w:rsid w:val="00FB2547"/>
    <w:rsid w:val="00FB5A07"/>
    <w:rsid w:val="00FB7491"/>
    <w:rsid w:val="00FF2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671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99"/>
    <w:rsid w:val="007F596C"/>
    <w:pPr>
      <w:spacing w:after="0" w:line="240" w:lineRule="auto"/>
    </w:pPr>
    <w:rPr>
      <w:rFonts w:ascii="Times New Roman" w:eastAsia="Calibri" w:hAnsi="Times New Roman" w:cs="Times New Roman"/>
      <w:sz w:val="28"/>
      <w:szCs w:val="20"/>
      <w:lang w:val="en-US" w:eastAsia="ru-RU"/>
    </w:rPr>
  </w:style>
  <w:style w:type="character" w:customStyle="1" w:styleId="a5">
    <w:name w:val="Основной текст Знак"/>
    <w:basedOn w:val="a1"/>
    <w:link w:val="a4"/>
    <w:uiPriority w:val="99"/>
    <w:rsid w:val="007F596C"/>
    <w:rPr>
      <w:rFonts w:ascii="Times New Roman" w:eastAsia="Calibri" w:hAnsi="Times New Roman" w:cs="Times New Roman"/>
      <w:sz w:val="28"/>
      <w:szCs w:val="20"/>
      <w:lang w:val="en-US" w:eastAsia="ru-RU"/>
    </w:rPr>
  </w:style>
  <w:style w:type="paragraph" w:customStyle="1" w:styleId="a">
    <w:name w:val="список"/>
    <w:basedOn w:val="a0"/>
    <w:uiPriority w:val="99"/>
    <w:rsid w:val="007F596C"/>
    <w:pPr>
      <w:numPr>
        <w:numId w:val="1"/>
      </w:numPr>
      <w:spacing w:before="60" w:after="60" w:line="360" w:lineRule="auto"/>
      <w:jc w:val="both"/>
    </w:pPr>
    <w:rPr>
      <w:rFonts w:ascii="Times New Roman" w:eastAsia="Calibri" w:hAnsi="Times New Roman" w:cs="Times New Roman"/>
      <w:sz w:val="26"/>
      <w:szCs w:val="24"/>
      <w:lang w:eastAsia="ru-RU"/>
    </w:rPr>
  </w:style>
  <w:style w:type="paragraph" w:styleId="2">
    <w:name w:val="Body Text Indent 2"/>
    <w:basedOn w:val="a0"/>
    <w:link w:val="20"/>
    <w:uiPriority w:val="99"/>
    <w:semiHidden/>
    <w:unhideWhenUsed/>
    <w:rsid w:val="007C7A4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7C7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99"/>
    <w:rsid w:val="007F596C"/>
    <w:pPr>
      <w:spacing w:after="0" w:line="240" w:lineRule="auto"/>
    </w:pPr>
    <w:rPr>
      <w:rFonts w:ascii="Times New Roman" w:eastAsia="Calibri" w:hAnsi="Times New Roman" w:cs="Times New Roman"/>
      <w:sz w:val="28"/>
      <w:szCs w:val="20"/>
      <w:lang w:val="en-US" w:eastAsia="ru-RU"/>
    </w:rPr>
  </w:style>
  <w:style w:type="character" w:customStyle="1" w:styleId="a5">
    <w:name w:val="Основной текст Знак"/>
    <w:basedOn w:val="a1"/>
    <w:link w:val="a4"/>
    <w:uiPriority w:val="99"/>
    <w:rsid w:val="007F596C"/>
    <w:rPr>
      <w:rFonts w:ascii="Times New Roman" w:eastAsia="Calibri" w:hAnsi="Times New Roman" w:cs="Times New Roman"/>
      <w:sz w:val="28"/>
      <w:szCs w:val="20"/>
      <w:lang w:val="en-US" w:eastAsia="ru-RU"/>
    </w:rPr>
  </w:style>
  <w:style w:type="paragraph" w:customStyle="1" w:styleId="a">
    <w:name w:val="список"/>
    <w:basedOn w:val="a0"/>
    <w:uiPriority w:val="99"/>
    <w:rsid w:val="007F596C"/>
    <w:pPr>
      <w:numPr>
        <w:numId w:val="1"/>
      </w:numPr>
      <w:spacing w:before="60" w:after="60" w:line="360" w:lineRule="auto"/>
      <w:jc w:val="both"/>
    </w:pPr>
    <w:rPr>
      <w:rFonts w:ascii="Times New Roman" w:eastAsia="Calibri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Microsoft_Excel_97-2003_Worksheet1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11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ССОКТ г. Бугульма</Company>
  <LinksUpToDate>false</LinksUpToDate>
  <CharactersWithSpaces>16686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Бердников Дмитрий Анатольевич</dc:creator>
  <cp:keywords/>
  <dc:description/>
  <cp:lastModifiedBy>Бердников Дмитрий Анатольевич</cp:lastModifiedBy>
  <cp:revision>85</cp:revision>
  <dcterms:created xsi:type="dcterms:W3CDTF">2016-10-10T15:09:00Z</dcterms:created>
  <dcterms:modified xsi:type="dcterms:W3CDTF">2016-10-11T13:17:00Z</dcterms:modified>
</cp:coreProperties>
</file>