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color w:val="1E3A5F"/>
          <w:sz w:val="72"/>
          <w:szCs w:val="72"/>
        </w:rPr>
        <w:t xml:space="preserve">DepositCoreX</w:t>
      </w:r>
    </w:p>
    <w:p>
      <w:pPr>
        <w:spacing w:after="80" w:before="0"/>
        <w:jc w:val="center"/>
      </w:pPr>
      <w:r>
        <w:rPr>
          <w:rFonts w:ascii="Calibri" w:cs="Calibri" w:eastAsia="Calibri" w:hAnsi="Calibri"/>
          <w:b w:val="false"/>
          <w:bCs w:val="false"/>
          <w:color w:val="2C4F7A"/>
          <w:sz w:val="56"/>
          <w:szCs w:val="56"/>
        </w:rPr>
        <w:t xml:space="preserve">Banking Platform</w:t>
      </w:r>
    </w:p>
    <w:p>
      <w:pPr>
        <w:pBdr>
          <w:bottom w:val="single" w:color="C8A86E" w:sz="8" w:space="1"/>
        </w:pBdr>
        <w:spacing w:after="120" w:before="120"/>
        <w:jc w:val="center"/>
      </w:pPr>
      <w:r>
        <w:t xml:space="preserve"/>
      </w:r>
    </w:p>
    <w:p>
      <w:pPr>
        <w:spacing w:after="60" w:before="160"/>
        <w:jc w:val="center"/>
      </w:pPr>
      <w:r>
        <w:rPr>
          <w:rFonts w:ascii="Calibri" w:cs="Calibri" w:eastAsia="Calibri" w:hAnsi="Calibri"/>
          <w:color w:val="475569"/>
          <w:sz w:val="32"/>
          <w:szCs w:val="32"/>
        </w:rPr>
        <w:t xml:space="preserve">Technology &amp; Architecture Report</w:t>
      </w:r>
    </w:p>
    <w:p>
      <w:pPr>
        <w:spacing w:after="0" w:before="0"/>
      </w:pPr>
      <w:r>
        <w:t xml:space="preserve"/>
      </w:r>
    </w:p>
    <w:p>
      <w:pPr>
        <w:spacing w:after="0" w:before="0"/>
      </w:pPr>
      <w:r>
        <w:t xml:space="preserve"/>
      </w:r>
    </w:p>
    <w:p>
      <w:pPr>
        <w:spacing w:after="40" w:before="40"/>
        <w:jc w:val="center"/>
      </w:pPr>
      <w:r>
        <w:rPr>
          <w:rFonts w:ascii="Calibri" w:cs="Calibri" w:eastAsia="Calibri" w:hAnsi="Calibri"/>
          <w:color w:val="475569"/>
          <w:sz w:val="24"/>
          <w:szCs w:val="24"/>
        </w:rPr>
        <w:t xml:space="preserve">Version 1.0</w:t>
      </w:r>
    </w:p>
    <w:p>
      <w:pPr>
        <w:spacing w:after="40" w:before="40"/>
        <w:jc w:val="center"/>
      </w:pPr>
      <w:r>
        <w:rPr>
          <w:rFonts w:ascii="Calibri" w:cs="Calibri" w:eastAsia="Calibri" w:hAnsi="Calibri"/>
          <w:color w:val="475569"/>
          <w:sz w:val="24"/>
          <w:szCs w:val="24"/>
        </w:rPr>
        <w:t xml:space="preserve">May 2026</w:t>
      </w:r>
    </w:p>
    <w:p>
      <w:pPr>
        <w:spacing w:after="40" w:before="40"/>
        <w:jc w:val="center"/>
      </w:pPr>
      <w:r>
        <w:rPr>
          <w:rFonts w:ascii="Calibri" w:cs="Calibri" w:eastAsia="Calibri" w:hAnsi="Calibri"/>
          <w:b/>
          <w:bCs/>
          <w:color w:val="1E3A5F"/>
          <w:sz w:val="24"/>
          <w:szCs w:val="24"/>
        </w:rPr>
        <w:t xml:space="preserve">Confidential</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Calibri" w:cs="Calibri" w:eastAsia="Calibri" w:hAnsi="Calibri"/>
          <w:color w:val="475569"/>
          <w:sz w:val="20"/>
          <w:szCs w:val="20"/>
        </w:rPr>
        <w:t xml:space="preserve">Built with  </w:t>
      </w:r>
      <w:r>
        <w:rPr>
          <w:rFonts w:ascii="Calibri" w:cs="Calibri" w:eastAsia="Calibri" w:hAnsi="Calibri"/>
          <w:b/>
          <w:bCs/>
          <w:color w:val="1E3A5F"/>
          <w:sz w:val="20"/>
          <w:szCs w:val="20"/>
        </w:rPr>
        <w:t xml:space="preserve">Java 21  ·  Spring Boot 3  ·  Spring Cloud  ·  React 18  ·  MySQL</w:t>
      </w:r>
    </w:p>
    <w:p>
      <w:r>
        <w:br w:type="page"/>
      </w:r>
    </w:p>
    <w:p>
      <w:pPr>
        <w:pStyle w:val="Heading1"/>
      </w:pPr>
      <w:r>
        <w:rPr>
          <w:rFonts w:ascii="Calibri" w:cs="Calibri" w:eastAsia="Calibri" w:hAnsi="Calibri"/>
          <w:b/>
          <w:bCs/>
          <w:color w:val="1E3A5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20" w:before="480"/>
      </w:pPr>
      <w:r>
        <w:rPr>
          <w:rFonts w:ascii="Calibri" w:cs="Calibri" w:eastAsia="Calibri" w:hAnsi="Calibri"/>
          <w:b/>
          <w:bCs/>
          <w:color w:val="1E3A5F"/>
          <w:sz w:val="32"/>
          <w:szCs w:val="32"/>
        </w:rPr>
        <w:t xml:space="preserve">1.  Executive Summary</w:t>
      </w:r>
    </w:p>
    <w:p>
      <w:pPr>
        <w:spacing w:after="100" w:before="60"/>
      </w:pPr>
      <w:r>
        <w:rPr>
          <w:rFonts w:ascii="Calibri" w:cs="Calibri" w:eastAsia="Calibri" w:hAnsi="Calibri"/>
          <w:color w:val="1A1A1A"/>
          <w:sz w:val="22"/>
          <w:szCs w:val="22"/>
        </w:rPr>
        <w:t xml:space="preserve">DepositCoreX is a full-stack core banking system built on microservices architecture using Java 21, Spring Boot 3, Spring Cloud, React 18, and MySQL. The platform consists of 10 independently deployable backend microservices communicating through a centralized API Gateway with Eureka service discovery.</w:t>
      </w:r>
    </w:p>
    <w:p>
      <w:pPr>
        <w:spacing w:after="100" w:before="60"/>
      </w:pPr>
      <w:r>
        <w:rPr>
          <w:rFonts w:ascii="Calibri" w:cs="Calibri" w:eastAsia="Calibri" w:hAnsi="Calibri"/>
          <w:color w:val="1A1A1A"/>
          <w:sz w:val="22"/>
          <w:szCs w:val="22"/>
        </w:rPr>
        <w:t xml:space="preserve">Each microservice owns its own database schema, enforcing the database-per-service pattern for loose coupling and independent scalability. The frontend is a React 18 single-page application served by Vite 5, styled with the custom White Peacock design system (gold, navy, and white), and communicates exclusively through the API Gateway.</w:t>
      </w:r>
    </w:p>
    <w:p>
      <w:pPr>
        <w:spacing w:after="80" w:before="200"/>
      </w:pPr>
      <w:r>
        <w:rPr>
          <w:rFonts w:ascii="Calibri" w:cs="Calibri" w:eastAsia="Calibri" w:hAnsi="Calibri"/>
          <w:b/>
          <w:bCs/>
          <w:color w:val="1E3A5F"/>
          <w:sz w:val="24"/>
          <w:szCs w:val="24"/>
        </w:rPr>
        <w:t xml:space="preserve">Key Highlights</w:t>
      </w:r>
    </w:p>
    <w:p>
      <w:pPr>
        <w:pStyle w:val="ListParagraph"/>
        <w:numPr>
          <w:ilvl w:val="0"/>
          <w:numId w:val="2"/>
        </w:numPr>
        <w:spacing w:after="40" w:before="40"/>
      </w:pPr>
      <w:r>
        <w:rPr>
          <w:rFonts w:ascii="Calibri" w:cs="Calibri" w:eastAsia="Calibri" w:hAnsi="Calibri"/>
          <w:color w:val="1A1A1A"/>
          <w:sz w:val="22"/>
          <w:szCs w:val="22"/>
        </w:rPr>
        <w:t xml:space="preserve">10 Spring Boot 3 microservices, each with its own MySQL database</w:t>
      </w:r>
    </w:p>
    <w:p>
      <w:pPr>
        <w:pStyle w:val="ListParagraph"/>
        <w:numPr>
          <w:ilvl w:val="0"/>
          <w:numId w:val="2"/>
        </w:numPr>
        <w:spacing w:after="40" w:before="40"/>
      </w:pPr>
      <w:r>
        <w:rPr>
          <w:rFonts w:ascii="Calibri" w:cs="Calibri" w:eastAsia="Calibri" w:hAnsi="Calibri"/>
          <w:color w:val="1A1A1A"/>
          <w:sz w:val="22"/>
          <w:szCs w:val="22"/>
        </w:rPr>
        <w:t xml:space="preserve">React 18 + Vite 5 frontend with White Peacock design system</w:t>
      </w:r>
    </w:p>
    <w:p>
      <w:pPr>
        <w:pStyle w:val="ListParagraph"/>
        <w:numPr>
          <w:ilvl w:val="0"/>
          <w:numId w:val="2"/>
        </w:numPr>
        <w:spacing w:after="40" w:before="40"/>
      </w:pPr>
      <w:r>
        <w:rPr>
          <w:rFonts w:ascii="Calibri" w:cs="Calibri" w:eastAsia="Calibri" w:hAnsi="Calibri"/>
          <w:color w:val="1A1A1A"/>
          <w:sz w:val="22"/>
          <w:szCs w:val="22"/>
        </w:rPr>
        <w:t xml:space="preserve">JWT HS512-based stateless authentication across all services</w:t>
      </w:r>
    </w:p>
    <w:p>
      <w:pPr>
        <w:pStyle w:val="ListParagraph"/>
        <w:numPr>
          <w:ilvl w:val="0"/>
          <w:numId w:val="2"/>
        </w:numPr>
        <w:spacing w:after="40" w:before="40"/>
      </w:pPr>
      <w:r>
        <w:rPr>
          <w:rFonts w:ascii="Calibri" w:cs="Calibri" w:eastAsia="Calibri" w:hAnsi="Calibri"/>
          <w:color w:val="1A1A1A"/>
          <w:sz w:val="22"/>
          <w:szCs w:val="22"/>
        </w:rPr>
        <w:t xml:space="preserve">Role-based access control with 5 roles: CORE_ADMIN, BRANCH_OFFICER, OPERATIONS_OFFICER, FINANCE_ANALYST, CUSTOMER</w:t>
      </w:r>
    </w:p>
    <w:p>
      <w:pPr>
        <w:pStyle w:val="ListParagraph"/>
        <w:numPr>
          <w:ilvl w:val="0"/>
          <w:numId w:val="2"/>
        </w:numPr>
        <w:spacing w:after="40" w:before="40"/>
      </w:pPr>
      <w:r>
        <w:rPr>
          <w:rFonts w:ascii="Calibri" w:cs="Calibri" w:eastAsia="Calibri" w:hAnsi="Calibri"/>
          <w:color w:val="1A1A1A"/>
          <w:sz w:val="22"/>
          <w:szCs w:val="22"/>
        </w:rPr>
        <w:t xml:space="preserve">AI-powered banking chatbot (Peacock AI) with intent detection for 12+ query types</w:t>
      </w:r>
    </w:p>
    <w:p>
      <w:pPr>
        <w:pStyle w:val="ListParagraph"/>
        <w:numPr>
          <w:ilvl w:val="0"/>
          <w:numId w:val="2"/>
        </w:numPr>
        <w:spacing w:after="40" w:before="40"/>
      </w:pPr>
      <w:r>
        <w:rPr>
          <w:rFonts w:ascii="Calibri" w:cs="Calibri" w:eastAsia="Calibri" w:hAnsi="Calibri"/>
          <w:color w:val="1A1A1A"/>
          <w:sz w:val="22"/>
          <w:szCs w:val="22"/>
        </w:rPr>
        <w:t xml:space="preserve">Profile photo upload stored as Base64 in MySQL LONGTEXT</w:t>
      </w:r>
    </w:p>
    <w:p>
      <w:pPr>
        <w:pStyle w:val="ListParagraph"/>
        <w:numPr>
          <w:ilvl w:val="0"/>
          <w:numId w:val="2"/>
        </w:numPr>
        <w:spacing w:after="40" w:before="40"/>
      </w:pPr>
      <w:r>
        <w:rPr>
          <w:rFonts w:ascii="Calibri" w:cs="Calibri" w:eastAsia="Calibri" w:hAnsi="Calibri"/>
          <w:color w:val="1A1A1A"/>
          <w:sz w:val="22"/>
          <w:szCs w:val="22"/>
        </w:rPr>
        <w:t xml:space="preserve">One-click deployment scripts for the entire platform (start-backend.bat, start-all.bat)</w:t>
      </w:r>
    </w:p>
    <w:p>
      <w:pPr>
        <w:pStyle w:val="ListParagraph"/>
        <w:numPr>
          <w:ilvl w:val="0"/>
          <w:numId w:val="2"/>
        </w:numPr>
        <w:spacing w:after="40" w:before="40"/>
      </w:pPr>
      <w:r>
        <w:rPr>
          <w:rFonts w:ascii="Calibri" w:cs="Calibri" w:eastAsia="Calibri" w:hAnsi="Calibri"/>
          <w:color w:val="1A1A1A"/>
          <w:sz w:val="22"/>
          <w:szCs w:val="22"/>
        </w:rPr>
        <w:t xml:space="preserve">Comprehensive audit trail — all user actions logged with timestamps</w:t>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2.  Project Architecture</w:t>
      </w:r>
    </w:p>
    <w:p>
      <w:pPr>
        <w:pStyle w:val="Heading2"/>
        <w:spacing w:after="120" w:before="240"/>
      </w:pPr>
      <w:r>
        <w:rPr>
          <w:rFonts w:ascii="Calibri" w:cs="Calibri" w:eastAsia="Calibri" w:hAnsi="Calibri"/>
          <w:b/>
          <w:bCs/>
          <w:color w:val="2C4F7A"/>
          <w:sz w:val="26"/>
          <w:szCs w:val="26"/>
        </w:rPr>
        <w:t xml:space="preserve">2.1  Overview</w:t>
      </w:r>
    </w:p>
    <w:p>
      <w:pPr>
        <w:spacing w:after="100" w:before="60"/>
      </w:pPr>
      <w:r>
        <w:rPr>
          <w:rFonts w:ascii="Calibri" w:cs="Calibri" w:eastAsia="Calibri" w:hAnsi="Calibri"/>
          <w:color w:val="1A1A1A"/>
          <w:sz w:val="22"/>
          <w:szCs w:val="22"/>
        </w:rPr>
        <w:t xml:space="preserve">The platform follows a microservices architectural pattern where each business domain is an independent service with its own codebase, database, and deployment lifecycle. All inter-service communication from the frontend flows through the API Gateway, which resolves service addresses dynamically using Eureka service discovery — eliminating hardcoded IP addresses.</w:t>
      </w:r>
    </w:p>
    <w:p>
      <w:pPr>
        <w:pStyle w:val="Heading2"/>
        <w:spacing w:after="120" w:before="240"/>
      </w:pPr>
      <w:r>
        <w:rPr>
          <w:rFonts w:ascii="Calibri" w:cs="Calibri" w:eastAsia="Calibri" w:hAnsi="Calibri"/>
          <w:b/>
          <w:bCs/>
          <w:color w:val="2C4F7A"/>
          <w:sz w:val="26"/>
          <w:szCs w:val="26"/>
        </w:rPr>
        <w:t xml:space="preserve">2.2  Architecture Flow</w:t>
      </w:r>
    </w:p>
    <w:p>
      <w:pPr>
        <w:spacing w:after="0" w:before="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900"/>
        <w:gridCol w:w="4060"/>
      </w:tblGrid>
      <w:tr>
        <w:trPr>
          <w:tblHeader/>
        </w:trPr>
        <w:tc>
          <w:tcPr>
            <w:tcW w:type="dxa" w:w="16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Layer</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Component</w:t>
            </w:r>
          </w:p>
        </w:tc>
        <w:tc>
          <w:tcPr>
            <w:tcW w:type="dxa" w:w="9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Port</w:t>
            </w:r>
          </w:p>
        </w:tc>
        <w:tc>
          <w:tcPr>
            <w:tcW w:type="dxa" w:w="40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Role</w:t>
            </w:r>
          </w:p>
        </w:tc>
      </w:tr>
      <w:tr>
        <w:tc>
          <w:tcPr>
            <w:tcW w:type="dxa" w:w="16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Presentation</w:t>
            </w:r>
          </w:p>
        </w:tc>
        <w:tc>
          <w:tcPr>
            <w:tcW w:type="dxa" w:w="24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React Frontend (Vite)</w:t>
            </w:r>
          </w:p>
        </w:tc>
        <w:tc>
          <w:tcPr>
            <w:tcW w:type="dxa" w:w="9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:5173</w:t>
            </w:r>
          </w:p>
        </w:tc>
        <w:tc>
          <w:tcPr>
            <w:tcW w:type="dxa" w:w="40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UI — sends API calls via Vite proxy</w:t>
            </w:r>
          </w:p>
        </w:tc>
      </w:tr>
      <w:tr>
        <w:tc>
          <w:tcPr>
            <w:tcW w:type="dxa" w:w="16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Gateway</w:t>
            </w:r>
          </w:p>
        </w:tc>
        <w:tc>
          <w:tcPr>
            <w:tcW w:type="dxa" w:w="24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API Gateway</w:t>
            </w:r>
          </w:p>
        </w:tc>
        <w:tc>
          <w:tcPr>
            <w:tcW w:type="dxa" w:w="9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:9090</w:t>
            </w:r>
          </w:p>
        </w:tc>
        <w:tc>
          <w:tcPr>
            <w:tcW w:type="dxa" w:w="40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Routes all traffic, global CORS, JWT forwarding</w:t>
            </w:r>
          </w:p>
        </w:tc>
      </w:tr>
      <w:tr>
        <w:tc>
          <w:tcPr>
            <w:tcW w:type="dxa" w:w="16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Registry</w:t>
            </w:r>
          </w:p>
        </w:tc>
        <w:tc>
          <w:tcPr>
            <w:tcW w:type="dxa" w:w="24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Eureka Server</w:t>
            </w:r>
          </w:p>
        </w:tc>
        <w:tc>
          <w:tcPr>
            <w:tcW w:type="dxa" w:w="9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:8761</w:t>
            </w:r>
          </w:p>
        </w:tc>
        <w:tc>
          <w:tcPr>
            <w:tcW w:type="dxa" w:w="40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Service discovery — registers all services</w:t>
            </w:r>
          </w:p>
        </w:tc>
      </w:tr>
      <w:tr>
        <w:tc>
          <w:tcPr>
            <w:tcW w:type="dxa" w:w="16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Auth</w:t>
            </w:r>
          </w:p>
        </w:tc>
        <w:tc>
          <w:tcPr>
            <w:tcW w:type="dxa" w:w="24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Auth Service</w:t>
            </w:r>
          </w:p>
        </w:tc>
        <w:tc>
          <w:tcPr>
            <w:tcW w:type="dxa" w:w="9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:9001</w:t>
            </w:r>
          </w:p>
        </w:tc>
        <w:tc>
          <w:tcPr>
            <w:tcW w:type="dxa" w:w="40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Login, JWT issuance, RBAC</w:t>
            </w:r>
          </w:p>
        </w:tc>
      </w:tr>
      <w:tr>
        <w:tc>
          <w:tcPr>
            <w:tcW w:type="dxa" w:w="16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Business</w:t>
            </w:r>
          </w:p>
        </w:tc>
        <w:tc>
          <w:tcPr>
            <w:tcW w:type="dxa" w:w="24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Onboarding – Notification</w:t>
            </w:r>
          </w:p>
        </w:tc>
        <w:tc>
          <w:tcPr>
            <w:tcW w:type="dxa" w:w="9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:9002–9008</w:t>
            </w:r>
          </w:p>
        </w:tc>
        <w:tc>
          <w:tcPr>
            <w:tcW w:type="dxa" w:w="40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8 independent domain services</w:t>
            </w:r>
          </w:p>
        </w:tc>
      </w:tr>
      <w:tr>
        <w:tc>
          <w:tcPr>
            <w:tcW w:type="dxa" w:w="16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Data</w:t>
            </w:r>
          </w:p>
        </w:tc>
        <w:tc>
          <w:tcPr>
            <w:tcW w:type="dxa" w:w="24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MySQL (per service)</w:t>
            </w:r>
          </w:p>
        </w:tc>
        <w:tc>
          <w:tcPr>
            <w:tcW w:type="dxa" w:w="9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N/A</w:t>
            </w:r>
          </w:p>
        </w:tc>
        <w:tc>
          <w:tcPr>
            <w:tcW w:type="dxa" w:w="40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8 independent databases</w:t>
            </w:r>
          </w:p>
        </w:tc>
      </w:tr>
    </w:tbl>
    <w:p>
      <w:pPr>
        <w:spacing w:after="0" w:before="0"/>
      </w:pPr>
      <w:r>
        <w:t xml:space="preserve"/>
      </w:r>
    </w:p>
    <w:p>
      <w:pPr>
        <w:pStyle w:val="Heading2"/>
        <w:spacing w:after="120" w:before="240"/>
      </w:pPr>
      <w:r>
        <w:rPr>
          <w:rFonts w:ascii="Calibri" w:cs="Calibri" w:eastAsia="Calibri" w:hAnsi="Calibri"/>
          <w:b/>
          <w:bCs/>
          <w:color w:val="2C4F7A"/>
          <w:sz w:val="26"/>
          <w:szCs w:val="26"/>
        </w:rPr>
        <w:t xml:space="preserve">2.3  Design Principles</w:t>
      </w:r>
    </w:p>
    <w:p>
      <w:pPr>
        <w:pStyle w:val="ListParagraph"/>
        <w:numPr>
          <w:ilvl w:val="0"/>
          <w:numId w:val="2"/>
        </w:numPr>
        <w:spacing w:after="40" w:before="40"/>
      </w:pPr>
      <w:r>
        <w:rPr>
          <w:rFonts w:ascii="Calibri" w:cs="Calibri" w:eastAsia="Calibri" w:hAnsi="Calibri"/>
          <w:color w:val="1A1A1A"/>
          <w:sz w:val="22"/>
          <w:szCs w:val="22"/>
        </w:rPr>
        <w:t xml:space="preserve">Database-per-service: Each microservice owns its database schema exclusively</w:t>
      </w:r>
    </w:p>
    <w:p>
      <w:pPr>
        <w:pStyle w:val="ListParagraph"/>
        <w:numPr>
          <w:ilvl w:val="0"/>
          <w:numId w:val="2"/>
        </w:numPr>
        <w:spacing w:after="40" w:before="40"/>
      </w:pPr>
      <w:r>
        <w:rPr>
          <w:rFonts w:ascii="Calibri" w:cs="Calibri" w:eastAsia="Calibri" w:hAnsi="Calibri"/>
          <w:color w:val="1A1A1A"/>
          <w:sz w:val="22"/>
          <w:szCs w:val="22"/>
        </w:rPr>
        <w:t xml:space="preserve">Single Responsibility: Each service handles exactly one business domain</w:t>
      </w:r>
    </w:p>
    <w:p>
      <w:pPr>
        <w:pStyle w:val="ListParagraph"/>
        <w:numPr>
          <w:ilvl w:val="0"/>
          <w:numId w:val="2"/>
        </w:numPr>
        <w:spacing w:after="40" w:before="40"/>
      </w:pPr>
      <w:r>
        <w:rPr>
          <w:rFonts w:ascii="Calibri" w:cs="Calibri" w:eastAsia="Calibri" w:hAnsi="Calibri"/>
          <w:color w:val="1A1A1A"/>
          <w:sz w:val="22"/>
          <w:szCs w:val="22"/>
        </w:rPr>
        <w:t xml:space="preserve">Stateless Authentication: JWT tokens eliminate server-side session state</w:t>
      </w:r>
    </w:p>
    <w:p>
      <w:pPr>
        <w:pStyle w:val="ListParagraph"/>
        <w:numPr>
          <w:ilvl w:val="0"/>
          <w:numId w:val="2"/>
        </w:numPr>
        <w:spacing w:after="40" w:before="40"/>
      </w:pPr>
      <w:r>
        <w:rPr>
          <w:rFonts w:ascii="Calibri" w:cs="Calibri" w:eastAsia="Calibri" w:hAnsi="Calibri"/>
          <w:color w:val="1A1A1A"/>
          <w:sz w:val="22"/>
          <w:szCs w:val="22"/>
        </w:rPr>
        <w:t xml:space="preserve">Service Discovery: Eureka resolves lb://service-name URIs — no hardcoded IPs</w:t>
      </w:r>
    </w:p>
    <w:p>
      <w:pPr>
        <w:pStyle w:val="ListParagraph"/>
        <w:numPr>
          <w:ilvl w:val="0"/>
          <w:numId w:val="2"/>
        </w:numPr>
        <w:spacing w:after="40" w:before="40"/>
      </w:pPr>
      <w:r>
        <w:rPr>
          <w:rFonts w:ascii="Calibri" w:cs="Calibri" w:eastAsia="Calibri" w:hAnsi="Calibri"/>
          <w:color w:val="1A1A1A"/>
          <w:sz w:val="22"/>
          <w:szCs w:val="22"/>
        </w:rPr>
        <w:t xml:space="preserve">Fail Isolation: A failed service does not cascade; gateway handles errors independently</w:t>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3.  Backend Technology Stack</w:t>
      </w:r>
    </w:p>
    <w:p>
      <w:pPr>
        <w:pStyle w:val="Heading2"/>
        <w:spacing w:after="120" w:before="240"/>
      </w:pPr>
      <w:r>
        <w:rPr>
          <w:rFonts w:ascii="Calibri" w:cs="Calibri" w:eastAsia="Calibri" w:hAnsi="Calibri"/>
          <w:b/>
          <w:bCs/>
          <w:color w:val="2C4F7A"/>
          <w:sz w:val="26"/>
          <w:szCs w:val="26"/>
        </w:rPr>
        <w:t xml:space="preserve">3.1  Java 21 (LTS)</w:t>
      </w:r>
    </w:p>
    <w:p>
      <w:pPr>
        <w:spacing w:after="100" w:before="60"/>
      </w:pPr>
      <w:r>
        <w:rPr>
          <w:rFonts w:ascii="Calibri" w:cs="Calibri" w:eastAsia="Calibri" w:hAnsi="Calibri"/>
          <w:color w:val="1A1A1A"/>
          <w:sz w:val="22"/>
          <w:szCs w:val="22"/>
        </w:rPr>
        <w:t xml:space="preserve">Java 21 is the Long-Term Support (LTS) version chosen for its stability and modern language features. Key improvements leveraged include virtual threads (Project Loom) for high-concurrency I/O, pattern matching enhancements, sealed classes for restricted class hierarchies, and record types for immutable DTOs. The stable runtime ensures predictable behavior across all 10 microservices.</w:t>
      </w:r>
    </w:p>
    <w:p>
      <w:pPr>
        <w:pStyle w:val="Heading2"/>
        <w:spacing w:after="120" w:before="240"/>
      </w:pPr>
      <w:r>
        <w:rPr>
          <w:rFonts w:ascii="Calibri" w:cs="Calibri" w:eastAsia="Calibri" w:hAnsi="Calibri"/>
          <w:b/>
          <w:bCs/>
          <w:color w:val="2C4F7A"/>
          <w:sz w:val="26"/>
          <w:szCs w:val="26"/>
        </w:rPr>
        <w:t xml:space="preserve">3.2  Spring Boot 3.2</w:t>
      </w:r>
    </w:p>
    <w:p>
      <w:pPr>
        <w:spacing w:after="100" w:before="60"/>
      </w:pPr>
      <w:r>
        <w:rPr>
          <w:rFonts w:ascii="Calibri" w:cs="Calibri" w:eastAsia="Calibri" w:hAnsi="Calibri"/>
          <w:color w:val="1A1A1A"/>
          <w:sz w:val="22"/>
          <w:szCs w:val="22"/>
        </w:rPr>
        <w:t xml:space="preserve">Spring Boot 3 is the primary microservice framework providing auto-configuration, embedded Tomcat, production-ready actuator endpoints, and a unified programming model. Key annotations used across the project:</w:t>
      </w:r>
    </w:p>
    <w:p>
      <w:pPr>
        <w:pStyle w:val="ListParagraph"/>
        <w:numPr>
          <w:ilvl w:val="0"/>
          <w:numId w:val="2"/>
        </w:numPr>
        <w:spacing w:after="40" w:before="40"/>
      </w:pPr>
      <w:r>
        <w:rPr>
          <w:rFonts w:ascii="Calibri" w:cs="Calibri" w:eastAsia="Calibri" w:hAnsi="Calibri"/>
          <w:color w:val="1A1A1A"/>
          <w:sz w:val="22"/>
          <w:szCs w:val="22"/>
        </w:rPr>
        <w:t xml:space="preserve">@SpringBootApplication — bootstraps the entire application context and component scan</w:t>
      </w:r>
    </w:p>
    <w:p>
      <w:pPr>
        <w:pStyle w:val="ListParagraph"/>
        <w:numPr>
          <w:ilvl w:val="0"/>
          <w:numId w:val="2"/>
        </w:numPr>
        <w:spacing w:after="40" w:before="40"/>
      </w:pPr>
      <w:r>
        <w:rPr>
          <w:rFonts w:ascii="Calibri" w:cs="Calibri" w:eastAsia="Calibri" w:hAnsi="Calibri"/>
          <w:color w:val="1A1A1A"/>
          <w:sz w:val="22"/>
          <w:szCs w:val="22"/>
        </w:rPr>
        <w:t xml:space="preserve">@RestController — marks classes as REST API controllers that return JSON responses</w:t>
      </w:r>
    </w:p>
    <w:p>
      <w:pPr>
        <w:pStyle w:val="ListParagraph"/>
        <w:numPr>
          <w:ilvl w:val="0"/>
          <w:numId w:val="2"/>
        </w:numPr>
        <w:spacing w:after="40" w:before="40"/>
      </w:pPr>
      <w:r>
        <w:rPr>
          <w:rFonts w:ascii="Calibri" w:cs="Calibri" w:eastAsia="Calibri" w:hAnsi="Calibri"/>
          <w:color w:val="1A1A1A"/>
          <w:sz w:val="22"/>
          <w:szCs w:val="22"/>
        </w:rPr>
        <w:t xml:space="preserve">@Service — marks business logic layer components for Spring-managed bean injection</w:t>
      </w:r>
    </w:p>
    <w:p>
      <w:pPr>
        <w:pStyle w:val="ListParagraph"/>
        <w:numPr>
          <w:ilvl w:val="0"/>
          <w:numId w:val="2"/>
        </w:numPr>
        <w:spacing w:after="40" w:before="40"/>
      </w:pPr>
      <w:r>
        <w:rPr>
          <w:rFonts w:ascii="Calibri" w:cs="Calibri" w:eastAsia="Calibri" w:hAnsi="Calibri"/>
          <w:color w:val="1A1A1A"/>
          <w:sz w:val="22"/>
          <w:szCs w:val="22"/>
        </w:rPr>
        <w:t xml:space="preserve">@Repository — marks data access layer components with exception translation</w:t>
      </w:r>
    </w:p>
    <w:p>
      <w:pPr>
        <w:pStyle w:val="ListParagraph"/>
        <w:numPr>
          <w:ilvl w:val="0"/>
          <w:numId w:val="2"/>
        </w:numPr>
        <w:spacing w:after="40" w:before="40"/>
      </w:pPr>
      <w:r>
        <w:rPr>
          <w:rFonts w:ascii="Calibri" w:cs="Calibri" w:eastAsia="Calibri" w:hAnsi="Calibri"/>
          <w:color w:val="1A1A1A"/>
          <w:sz w:val="22"/>
          <w:szCs w:val="22"/>
        </w:rPr>
        <w:t xml:space="preserve">@RequestMapping / @GetMapping / @PostMapping — HTTP method-to-handler mapping</w:t>
      </w:r>
    </w:p>
    <w:p>
      <w:pPr>
        <w:pStyle w:val="Heading2"/>
        <w:spacing w:after="120" w:before="240"/>
      </w:pPr>
      <w:r>
        <w:rPr>
          <w:rFonts w:ascii="Calibri" w:cs="Calibri" w:eastAsia="Calibri" w:hAnsi="Calibri"/>
          <w:b/>
          <w:bCs/>
          <w:color w:val="2C4F7A"/>
          <w:sz w:val="26"/>
          <w:szCs w:val="26"/>
        </w:rPr>
        <w:t xml:space="preserve">3.3  Spring Cloud Gateway</w:t>
      </w:r>
    </w:p>
    <w:p>
      <w:pPr>
        <w:spacing w:after="100" w:before="60"/>
      </w:pPr>
      <w:r>
        <w:rPr>
          <w:rFonts w:ascii="Calibri" w:cs="Calibri" w:eastAsia="Calibri" w:hAnsi="Calibri"/>
          <w:color w:val="1A1A1A"/>
          <w:sz w:val="22"/>
          <w:szCs w:val="22"/>
        </w:rPr>
        <w:t xml:space="preserve">Acts as the single entry point for all frontend API calls. Routes are configured declaratively in application.yml:</w:t>
      </w:r>
    </w:p>
    <w:p>
      <w:pPr>
        <w:shd w:fill="F1F5F9" w:val="clear"/>
        <w:spacing w:after="40" w:before="40"/>
        <w:ind w:left="360"/>
      </w:pPr>
      <w:r>
        <w:rPr>
          <w:rFonts w:ascii="Consolas" w:cs="Consolas" w:eastAsia="Consolas" w:hAnsi="Consolas"/>
          <w:color w:val="1e293b"/>
          <w:sz w:val="18"/>
          <w:szCs w:val="18"/>
        </w:rPr>
        <w:t xml:space="preserve">Path=/auth/**          → lb://auth-service</w:t>
      </w:r>
    </w:p>
    <w:p>
      <w:pPr>
        <w:shd w:fill="F1F5F9" w:val="clear"/>
        <w:spacing w:after="40" w:before="40"/>
        <w:ind w:left="360"/>
      </w:pPr>
      <w:r>
        <w:rPr>
          <w:rFonts w:ascii="Consolas" w:cs="Consolas" w:eastAsia="Consolas" w:hAnsi="Consolas"/>
          <w:color w:val="1e293b"/>
          <w:sz w:val="18"/>
          <w:szCs w:val="18"/>
        </w:rPr>
        <w:t xml:space="preserve">Path=/customers/**    → lb://onboarding-service</w:t>
      </w:r>
    </w:p>
    <w:p>
      <w:pPr>
        <w:shd w:fill="F1F5F9" w:val="clear"/>
        <w:spacing w:after="40" w:before="40"/>
        <w:ind w:left="360"/>
      </w:pPr>
      <w:r>
        <w:rPr>
          <w:rFonts w:ascii="Consolas" w:cs="Consolas" w:eastAsia="Consolas" w:hAnsi="Consolas"/>
          <w:color w:val="1e293b"/>
          <w:sz w:val="18"/>
          <w:szCs w:val="18"/>
        </w:rPr>
        <w:t xml:space="preserve">Path=/accounts/**     → lb://account-service</w:t>
      </w:r>
    </w:p>
    <w:p>
      <w:pPr>
        <w:shd w:fill="F1F5F9" w:val="clear"/>
        <w:spacing w:after="40" w:before="40"/>
        <w:ind w:left="360"/>
      </w:pPr>
      <w:r>
        <w:rPr>
          <w:rFonts w:ascii="Consolas" w:cs="Consolas" w:eastAsia="Consolas" w:hAnsi="Consolas"/>
          <w:color w:val="1e293b"/>
          <w:sz w:val="18"/>
          <w:szCs w:val="18"/>
        </w:rPr>
        <w:t xml:space="preserve">Path=/transactions/** → lb://transaction-service</w:t>
      </w:r>
    </w:p>
    <w:p>
      <w:pPr>
        <w:spacing w:after="100" w:before="60"/>
      </w:pPr>
      <w:r>
        <w:rPr>
          <w:rFonts w:ascii="Calibri" w:cs="Calibri" w:eastAsia="Calibri" w:hAnsi="Calibri"/>
          <w:color w:val="1A1A1A"/>
          <w:sz w:val="22"/>
          <w:szCs w:val="22"/>
        </w:rPr>
        <w:t xml:space="preserve">The lb:// URI prefix enables Eureka-based load-balanced routing. The gateway also handles global CORS configuration for all preflight OPTIONS requests from the browser.</w:t>
      </w:r>
    </w:p>
    <w:p>
      <w:pPr>
        <w:pStyle w:val="Heading2"/>
        <w:spacing w:after="120" w:before="240"/>
      </w:pPr>
      <w:r>
        <w:rPr>
          <w:rFonts w:ascii="Calibri" w:cs="Calibri" w:eastAsia="Calibri" w:hAnsi="Calibri"/>
          <w:b/>
          <w:bCs/>
          <w:color w:val="2C4F7A"/>
          <w:sz w:val="26"/>
          <w:szCs w:val="26"/>
        </w:rPr>
        <w:t xml:space="preserve">3.4  Spring Cloud Netflix Eureka</w:t>
      </w:r>
    </w:p>
    <w:p>
      <w:pPr>
        <w:spacing w:after="100" w:before="60"/>
      </w:pPr>
      <w:r>
        <w:rPr>
          <w:rFonts w:ascii="Calibri" w:cs="Calibri" w:eastAsia="Calibri" w:hAnsi="Calibri"/>
          <w:color w:val="1A1A1A"/>
          <w:sz w:val="22"/>
          <w:szCs w:val="22"/>
        </w:rPr>
        <w:t xml:space="preserve">Eureka provides service discovery and registration. The registry server is annotated with @EnableEurekaServer. Each microservice uses @EnableEurekaClient to auto-register its service name, host, and port on startup. The Eureka dashboard at http://localhost:8761 displays all registered instances with their UP/DOWN health status in real time.</w:t>
      </w:r>
    </w:p>
    <w:p>
      <w:pPr>
        <w:pStyle w:val="Heading2"/>
        <w:spacing w:after="120" w:before="240"/>
      </w:pPr>
      <w:r>
        <w:rPr>
          <w:rFonts w:ascii="Calibri" w:cs="Calibri" w:eastAsia="Calibri" w:hAnsi="Calibri"/>
          <w:b/>
          <w:bCs/>
          <w:color w:val="2C4F7A"/>
          <w:sz w:val="26"/>
          <w:szCs w:val="26"/>
        </w:rPr>
        <w:t xml:space="preserve">3.5  Spring Security 6</w:t>
      </w:r>
    </w:p>
    <w:p>
      <w:pPr>
        <w:spacing w:after="100" w:before="60"/>
      </w:pPr>
      <w:r>
        <w:rPr>
          <w:rFonts w:ascii="Calibri" w:cs="Calibri" w:eastAsia="Calibri" w:hAnsi="Calibri"/>
          <w:color w:val="1A1A1A"/>
          <w:sz w:val="22"/>
          <w:szCs w:val="22"/>
        </w:rPr>
        <w:t xml:space="preserve">Provides the full security infrastructure for all services:</w:t>
      </w:r>
    </w:p>
    <w:p>
      <w:pPr>
        <w:pStyle w:val="ListParagraph"/>
        <w:numPr>
          <w:ilvl w:val="0"/>
          <w:numId w:val="2"/>
        </w:numPr>
        <w:spacing w:after="40" w:before="40"/>
      </w:pPr>
      <w:r>
        <w:rPr>
          <w:rFonts w:ascii="Calibri" w:cs="Calibri" w:eastAsia="Calibri" w:hAnsi="Calibri"/>
          <w:color w:val="1A1A1A"/>
          <w:sz w:val="22"/>
          <w:szCs w:val="22"/>
        </w:rPr>
        <w:t xml:space="preserve">Custom JwtAuthFilter extends OncePerRequestFilter — validates Bearer token on every request</w:t>
      </w:r>
    </w:p>
    <w:p>
      <w:pPr>
        <w:pStyle w:val="ListParagraph"/>
        <w:numPr>
          <w:ilvl w:val="0"/>
          <w:numId w:val="2"/>
        </w:numPr>
        <w:spacing w:after="40" w:before="40"/>
      </w:pPr>
      <w:r>
        <w:rPr>
          <w:rFonts w:ascii="Calibri" w:cs="Calibri" w:eastAsia="Calibri" w:hAnsi="Calibri"/>
          <w:color w:val="1A1A1A"/>
          <w:sz w:val="22"/>
          <w:szCs w:val="22"/>
        </w:rPr>
        <w:t xml:space="preserve">SecurityFilterChain configured with SessionCreationPolicy.STATELESS — no server sessions</w:t>
      </w:r>
    </w:p>
    <w:p>
      <w:pPr>
        <w:pStyle w:val="ListParagraph"/>
        <w:numPr>
          <w:ilvl w:val="0"/>
          <w:numId w:val="2"/>
        </w:numPr>
        <w:spacing w:after="40" w:before="40"/>
      </w:pPr>
      <w:r>
        <w:rPr>
          <w:rFonts w:ascii="Calibri" w:cs="Calibri" w:eastAsia="Calibri" w:hAnsi="Calibri"/>
          <w:color w:val="1A1A1A"/>
          <w:sz w:val="22"/>
          <w:szCs w:val="22"/>
        </w:rPr>
        <w:t xml:space="preserve">@PreAuthorize annotations provide method-level access control (e.g., hasRole('CORE_ADMIN'))</w:t>
      </w:r>
    </w:p>
    <w:p>
      <w:pPr>
        <w:pStyle w:val="ListParagraph"/>
        <w:numPr>
          <w:ilvl w:val="0"/>
          <w:numId w:val="2"/>
        </w:numPr>
        <w:spacing w:after="40" w:before="40"/>
      </w:pPr>
      <w:r>
        <w:rPr>
          <w:rFonts w:ascii="Calibri" w:cs="Calibri" w:eastAsia="Calibri" w:hAnsi="Calibri"/>
          <w:color w:val="1A1A1A"/>
          <w:sz w:val="22"/>
          <w:szCs w:val="22"/>
        </w:rPr>
        <w:t xml:space="preserve">CorsConfigurationSource bean configures allowed origins, methods, and headers per service</w:t>
      </w:r>
    </w:p>
    <w:p>
      <w:pPr>
        <w:pStyle w:val="Heading2"/>
        <w:spacing w:after="120" w:before="240"/>
      </w:pPr>
      <w:r>
        <w:rPr>
          <w:rFonts w:ascii="Calibri" w:cs="Calibri" w:eastAsia="Calibri" w:hAnsi="Calibri"/>
          <w:b/>
          <w:bCs/>
          <w:color w:val="2C4F7A"/>
          <w:sz w:val="26"/>
          <w:szCs w:val="26"/>
        </w:rPr>
        <w:t xml:space="preserve">3.6  Spring Data JPA / Hibernate</w:t>
      </w:r>
    </w:p>
    <w:p>
      <w:pPr>
        <w:spacing w:after="100" w:before="60"/>
      </w:pPr>
      <w:r>
        <w:rPr>
          <w:rFonts w:ascii="Calibri" w:cs="Calibri" w:eastAsia="Calibri" w:hAnsi="Calibri"/>
          <w:color w:val="1A1A1A"/>
          <w:sz w:val="22"/>
          <w:szCs w:val="22"/>
        </w:rPr>
        <w:t xml:space="preserve">The ORM layer maps Java entity classes to MySQL tables and manages all database interactions:</w:t>
      </w:r>
    </w:p>
    <w:p>
      <w:pPr>
        <w:pStyle w:val="ListParagraph"/>
        <w:numPr>
          <w:ilvl w:val="0"/>
          <w:numId w:val="2"/>
        </w:numPr>
        <w:spacing w:after="40" w:before="40"/>
      </w:pPr>
      <w:r>
        <w:rPr>
          <w:rFonts w:ascii="Calibri" w:cs="Calibri" w:eastAsia="Calibri" w:hAnsi="Calibri"/>
          <w:color w:val="1A1A1A"/>
          <w:sz w:val="22"/>
          <w:szCs w:val="22"/>
        </w:rPr>
        <w:t xml:space="preserve">@Entity and @Table annotations define the JPA entity and its corresponding table name</w:t>
      </w:r>
    </w:p>
    <w:p>
      <w:pPr>
        <w:pStyle w:val="ListParagraph"/>
        <w:numPr>
          <w:ilvl w:val="0"/>
          <w:numId w:val="2"/>
        </w:numPr>
        <w:spacing w:after="40" w:before="40"/>
      </w:pPr>
      <w:r>
        <w:rPr>
          <w:rFonts w:ascii="Calibri" w:cs="Calibri" w:eastAsia="Calibri" w:hAnsi="Calibri"/>
          <w:color w:val="1A1A1A"/>
          <w:sz w:val="22"/>
          <w:szCs w:val="22"/>
        </w:rPr>
        <w:t xml:space="preserve">@Enumerated(EnumType.STRING) stores enum values as readable strings (e.g., ACTIVE, VERIFIED)</w:t>
      </w:r>
    </w:p>
    <w:p>
      <w:pPr>
        <w:pStyle w:val="ListParagraph"/>
        <w:numPr>
          <w:ilvl w:val="0"/>
          <w:numId w:val="2"/>
        </w:numPr>
        <w:spacing w:after="40" w:before="40"/>
      </w:pPr>
      <w:r>
        <w:rPr>
          <w:rFonts w:ascii="Calibri" w:cs="Calibri" w:eastAsia="Calibri" w:hAnsi="Calibri"/>
          <w:color w:val="1A1A1A"/>
          <w:sz w:val="22"/>
          <w:szCs w:val="22"/>
        </w:rPr>
        <w:t xml:space="preserve">ddl-auto: update — Hibernate automatically creates tables on first run and adds new columns without manual migration</w:t>
      </w:r>
    </w:p>
    <w:p>
      <w:pPr>
        <w:pStyle w:val="ListParagraph"/>
        <w:numPr>
          <w:ilvl w:val="0"/>
          <w:numId w:val="2"/>
        </w:numPr>
        <w:spacing w:after="40" w:before="40"/>
      </w:pPr>
      <w:r>
        <w:rPr>
          <w:rFonts w:ascii="Calibri" w:cs="Calibri" w:eastAsia="Calibri" w:hAnsi="Calibri"/>
          <w:color w:val="1A1A1A"/>
          <w:sz w:val="22"/>
          <w:szCs w:val="22"/>
        </w:rPr>
        <w:t xml:space="preserve">@Column(columnDefinition = "LONGTEXT") used for profile image Base64 storage</w:t>
      </w:r>
    </w:p>
    <w:p>
      <w:pPr>
        <w:pStyle w:val="ListParagraph"/>
        <w:numPr>
          <w:ilvl w:val="0"/>
          <w:numId w:val="2"/>
        </w:numPr>
        <w:spacing w:after="40" w:before="40"/>
      </w:pPr>
      <w:r>
        <w:rPr>
          <w:rFonts w:ascii="Calibri" w:cs="Calibri" w:eastAsia="Calibri" w:hAnsi="Calibri"/>
          <w:color w:val="1A1A1A"/>
          <w:sz w:val="22"/>
          <w:szCs w:val="22"/>
        </w:rPr>
        <w:t xml:space="preserve">Spring Repositories provide CRUD operations with zero boilerplate SQL</w:t>
      </w:r>
    </w:p>
    <w:p>
      <w:pPr>
        <w:pStyle w:val="Heading2"/>
        <w:spacing w:after="120" w:before="240"/>
      </w:pPr>
      <w:r>
        <w:rPr>
          <w:rFonts w:ascii="Calibri" w:cs="Calibri" w:eastAsia="Calibri" w:hAnsi="Calibri"/>
          <w:b/>
          <w:bCs/>
          <w:color w:val="2C4F7A"/>
          <w:sz w:val="26"/>
          <w:szCs w:val="26"/>
        </w:rPr>
        <w:t xml:space="preserve">3.7  Maven 3.9</w:t>
      </w:r>
    </w:p>
    <w:p>
      <w:pPr>
        <w:spacing w:after="100" w:before="60"/>
      </w:pPr>
      <w:r>
        <w:rPr>
          <w:rFonts w:ascii="Calibri" w:cs="Calibri" w:eastAsia="Calibri" w:hAnsi="Calibri"/>
          <w:color w:val="1A1A1A"/>
          <w:sz w:val="22"/>
          <w:szCs w:val="22"/>
        </w:rPr>
        <w:t xml:space="preserve">Build lifecycle and dependency management tool for all 10 services:</w:t>
      </w:r>
    </w:p>
    <w:p>
      <w:pPr>
        <w:pStyle w:val="ListParagraph"/>
        <w:numPr>
          <w:ilvl w:val="0"/>
          <w:numId w:val="2"/>
        </w:numPr>
        <w:spacing w:after="40" w:before="40"/>
      </w:pPr>
      <w:r>
        <w:rPr>
          <w:rFonts w:ascii="Calibri" w:cs="Calibri" w:eastAsia="Calibri" w:hAnsi="Calibri"/>
          <w:color w:val="1A1A1A"/>
          <w:sz w:val="22"/>
          <w:szCs w:val="22"/>
        </w:rPr>
        <w:t xml:space="preserve">mvn spring-boot:run — runs a service in development mode with auto-restart</w:t>
      </w:r>
    </w:p>
    <w:p>
      <w:pPr>
        <w:pStyle w:val="ListParagraph"/>
        <w:numPr>
          <w:ilvl w:val="0"/>
          <w:numId w:val="2"/>
        </w:numPr>
        <w:spacing w:after="40" w:before="40"/>
      </w:pPr>
      <w:r>
        <w:rPr>
          <w:rFonts w:ascii="Calibri" w:cs="Calibri" w:eastAsia="Calibri" w:hAnsi="Calibri"/>
          <w:color w:val="1A1A1A"/>
          <w:sz w:val="22"/>
          <w:szCs w:val="22"/>
        </w:rPr>
        <w:t xml:space="preserve">mvn clean install -DskipTests — builds all services sequentially (used in mvn-install-all.bat)</w:t>
      </w:r>
    </w:p>
    <w:p>
      <w:pPr>
        <w:pStyle w:val="ListParagraph"/>
        <w:numPr>
          <w:ilvl w:val="0"/>
          <w:numId w:val="2"/>
        </w:numPr>
        <w:spacing w:after="40" w:before="40"/>
      </w:pPr>
      <w:r>
        <w:rPr>
          <w:rFonts w:ascii="Calibri" w:cs="Calibri" w:eastAsia="Calibri" w:hAnsi="Calibri"/>
          <w:color w:val="1A1A1A"/>
          <w:sz w:val="22"/>
          <w:szCs w:val="22"/>
        </w:rPr>
        <w:t xml:space="preserve">Parent POM manages Spring Boot BOM for consistent dependency versions across services</w:t>
      </w:r>
    </w:p>
    <w:p>
      <w:pPr>
        <w:pStyle w:val="Heading2"/>
        <w:spacing w:after="120" w:before="240"/>
      </w:pPr>
      <w:r>
        <w:rPr>
          <w:rFonts w:ascii="Calibri" w:cs="Calibri" w:eastAsia="Calibri" w:hAnsi="Calibri"/>
          <w:b/>
          <w:bCs/>
          <w:color w:val="2C4F7A"/>
          <w:sz w:val="26"/>
          <w:szCs w:val="26"/>
        </w:rPr>
        <w:t xml:space="preserve">3.8  Lombok</w:t>
      </w:r>
    </w:p>
    <w:p>
      <w:pPr>
        <w:spacing w:after="100" w:before="60"/>
      </w:pPr>
      <w:r>
        <w:rPr>
          <w:rFonts w:ascii="Calibri" w:cs="Calibri" w:eastAsia="Calibri" w:hAnsi="Calibri"/>
          <w:color w:val="1A1A1A"/>
          <w:sz w:val="22"/>
          <w:szCs w:val="22"/>
        </w:rPr>
        <w:t xml:space="preserve">Reduces Java boilerplate dramatically through annotation processing:</w:t>
      </w:r>
    </w:p>
    <w:p>
      <w:pPr>
        <w:pStyle w:val="ListParagraph"/>
        <w:numPr>
          <w:ilvl w:val="0"/>
          <w:numId w:val="2"/>
        </w:numPr>
        <w:spacing w:after="40" w:before="40"/>
      </w:pPr>
      <w:r>
        <w:rPr>
          <w:rFonts w:ascii="Calibri" w:cs="Calibri" w:eastAsia="Calibri" w:hAnsi="Calibri"/>
          <w:color w:val="1A1A1A"/>
          <w:sz w:val="22"/>
          <w:szCs w:val="22"/>
        </w:rPr>
        <w:t xml:space="preserve">@Data — generates getters, setters, equals(), hashCode(), and toString() at compile time</w:t>
      </w:r>
    </w:p>
    <w:p>
      <w:pPr>
        <w:pStyle w:val="ListParagraph"/>
        <w:numPr>
          <w:ilvl w:val="0"/>
          <w:numId w:val="2"/>
        </w:numPr>
        <w:spacing w:after="40" w:before="40"/>
      </w:pPr>
      <w:r>
        <w:rPr>
          <w:rFonts w:ascii="Calibri" w:cs="Calibri" w:eastAsia="Calibri" w:hAnsi="Calibri"/>
          <w:color w:val="1A1A1A"/>
          <w:sz w:val="22"/>
          <w:szCs w:val="22"/>
        </w:rPr>
        <w:t xml:space="preserve">@Builder — enables the builder pattern for clean object construction</w:t>
      </w:r>
    </w:p>
    <w:p>
      <w:pPr>
        <w:pStyle w:val="ListParagraph"/>
        <w:numPr>
          <w:ilvl w:val="0"/>
          <w:numId w:val="2"/>
        </w:numPr>
        <w:spacing w:after="40" w:before="40"/>
      </w:pPr>
      <w:r>
        <w:rPr>
          <w:rFonts w:ascii="Calibri" w:cs="Calibri" w:eastAsia="Calibri" w:hAnsi="Calibri"/>
          <w:color w:val="1A1A1A"/>
          <w:sz w:val="22"/>
          <w:szCs w:val="22"/>
        </w:rPr>
        <w:t xml:space="preserve">@RequiredArgsConstructor — generates constructor for final fields (used with @Autowired injection)</w:t>
      </w:r>
    </w:p>
    <w:p>
      <w:pPr>
        <w:pStyle w:val="ListParagraph"/>
        <w:numPr>
          <w:ilvl w:val="0"/>
          <w:numId w:val="2"/>
        </w:numPr>
        <w:spacing w:after="40" w:before="40"/>
      </w:pPr>
      <w:r>
        <w:rPr>
          <w:rFonts w:ascii="Calibri" w:cs="Calibri" w:eastAsia="Calibri" w:hAnsi="Calibri"/>
          <w:color w:val="1A1A1A"/>
          <w:sz w:val="22"/>
          <w:szCs w:val="22"/>
        </w:rPr>
        <w:t xml:space="preserve">@AllArgsConstructor / @NoArgsConstructor — constructor variants for JPA and DTOs</w:t>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4.  Frontend Technology Stack</w:t>
      </w:r>
    </w:p>
    <w:p>
      <w:pPr>
        <w:pStyle w:val="Heading2"/>
        <w:spacing w:after="120" w:before="240"/>
      </w:pPr>
      <w:r>
        <w:rPr>
          <w:rFonts w:ascii="Calibri" w:cs="Calibri" w:eastAsia="Calibri" w:hAnsi="Calibri"/>
          <w:b/>
          <w:bCs/>
          <w:color w:val="2C4F7A"/>
          <w:sz w:val="26"/>
          <w:szCs w:val="26"/>
        </w:rPr>
        <w:t xml:space="preserve">4.1  React 18</w:t>
      </w:r>
    </w:p>
    <w:p>
      <w:pPr>
        <w:spacing w:after="100" w:before="60"/>
      </w:pPr>
      <w:r>
        <w:rPr>
          <w:rFonts w:ascii="Calibri" w:cs="Calibri" w:eastAsia="Calibri" w:hAnsi="Calibri"/>
          <w:color w:val="1A1A1A"/>
          <w:sz w:val="22"/>
          <w:szCs w:val="22"/>
        </w:rPr>
        <w:t xml:space="preserve">React 18 provides the component-based UI architecture with concurrent rendering capabilities. Hooks used throughout the project:</w:t>
      </w:r>
    </w:p>
    <w:p>
      <w:pPr>
        <w:pStyle w:val="ListParagraph"/>
        <w:numPr>
          <w:ilvl w:val="0"/>
          <w:numId w:val="2"/>
        </w:numPr>
        <w:spacing w:after="40" w:before="40"/>
      </w:pPr>
      <w:r>
        <w:rPr>
          <w:rFonts w:ascii="Calibri" w:cs="Calibri" w:eastAsia="Calibri" w:hAnsi="Calibri"/>
          <w:color w:val="1A1A1A"/>
          <w:sz w:val="22"/>
          <w:szCs w:val="22"/>
        </w:rPr>
        <w:t xml:space="preserve">useState — local component state management for form values, loading flags, and UI toggles</w:t>
      </w:r>
    </w:p>
    <w:p>
      <w:pPr>
        <w:pStyle w:val="ListParagraph"/>
        <w:numPr>
          <w:ilvl w:val="0"/>
          <w:numId w:val="2"/>
        </w:numPr>
        <w:spacing w:after="40" w:before="40"/>
      </w:pPr>
      <w:r>
        <w:rPr>
          <w:rFonts w:ascii="Calibri" w:cs="Calibri" w:eastAsia="Calibri" w:hAnsi="Calibri"/>
          <w:color w:val="1A1A1A"/>
          <w:sz w:val="22"/>
          <w:szCs w:val="22"/>
        </w:rPr>
        <w:t xml:space="preserve">useEffect — API calls on component mount, scroll effects, and side-effect cleanup</w:t>
      </w:r>
    </w:p>
    <w:p>
      <w:pPr>
        <w:pStyle w:val="ListParagraph"/>
        <w:numPr>
          <w:ilvl w:val="0"/>
          <w:numId w:val="2"/>
        </w:numPr>
        <w:spacing w:after="40" w:before="40"/>
      </w:pPr>
      <w:r>
        <w:rPr>
          <w:rFonts w:ascii="Calibri" w:cs="Calibri" w:eastAsia="Calibri" w:hAnsi="Calibri"/>
          <w:color w:val="1A1A1A"/>
          <w:sz w:val="22"/>
          <w:szCs w:val="22"/>
        </w:rPr>
        <w:t xml:space="preserve">useContext — consuming the global AuthContext for user session data</w:t>
      </w:r>
    </w:p>
    <w:p>
      <w:pPr>
        <w:pStyle w:val="ListParagraph"/>
        <w:numPr>
          <w:ilvl w:val="0"/>
          <w:numId w:val="2"/>
        </w:numPr>
        <w:spacing w:after="40" w:before="40"/>
      </w:pPr>
      <w:r>
        <w:rPr>
          <w:rFonts w:ascii="Calibri" w:cs="Calibri" w:eastAsia="Calibri" w:hAnsi="Calibri"/>
          <w:color w:val="1A1A1A"/>
          <w:sz w:val="22"/>
          <w:szCs w:val="22"/>
        </w:rPr>
        <w:t xml:space="preserve">useRef — DOM references for file input (profile upload), chat scroll-to-bottom, and input focus</w:t>
      </w:r>
    </w:p>
    <w:p>
      <w:pPr>
        <w:pStyle w:val="ListParagraph"/>
        <w:numPr>
          <w:ilvl w:val="0"/>
          <w:numId w:val="2"/>
        </w:numPr>
        <w:spacing w:after="40" w:before="40"/>
      </w:pPr>
      <w:r>
        <w:rPr>
          <w:rFonts w:ascii="Calibri" w:cs="Calibri" w:eastAsia="Calibri" w:hAnsi="Calibri"/>
          <w:color w:val="1A1A1A"/>
          <w:sz w:val="22"/>
          <w:szCs w:val="22"/>
        </w:rPr>
        <w:t xml:space="preserve">useNavigate, useParams — programmatic navigation and URL parameter extraction (React Router DOM)</w:t>
      </w:r>
    </w:p>
    <w:p>
      <w:pPr>
        <w:spacing w:after="100" w:before="60"/>
      </w:pPr>
      <w:r>
        <w:rPr>
          <w:rFonts w:ascii="Calibri" w:cs="Calibri" w:eastAsia="Calibri" w:hAnsi="Calibri"/>
          <w:color w:val="1A1A1A"/>
          <w:sz w:val="22"/>
          <w:szCs w:val="22"/>
        </w:rPr>
        <w:t xml:space="preserve">A custom AuthContext provides global state management for the user session including name, email, role, userId, profileImage, and the updateProfile() method.</w:t>
      </w:r>
    </w:p>
    <w:p>
      <w:pPr>
        <w:pStyle w:val="Heading2"/>
        <w:spacing w:after="120" w:before="240"/>
      </w:pPr>
      <w:r>
        <w:rPr>
          <w:rFonts w:ascii="Calibri" w:cs="Calibri" w:eastAsia="Calibri" w:hAnsi="Calibri"/>
          <w:b/>
          <w:bCs/>
          <w:color w:val="2C4F7A"/>
          <w:sz w:val="26"/>
          <w:szCs w:val="26"/>
        </w:rPr>
        <w:t xml:space="preserve">4.2  Vite 5</w:t>
      </w:r>
    </w:p>
    <w:p>
      <w:pPr>
        <w:spacing w:after="100" w:before="60"/>
      </w:pPr>
      <w:r>
        <w:rPr>
          <w:rFonts w:ascii="Calibri" w:cs="Calibri" w:eastAsia="Calibri" w:hAnsi="Calibri"/>
          <w:color w:val="1A1A1A"/>
          <w:sz w:val="22"/>
          <w:szCs w:val="22"/>
        </w:rPr>
        <w:t xml:space="preserve">Ultra-fast build tool and development server with ES module-first architecture:</w:t>
      </w:r>
    </w:p>
    <w:p>
      <w:pPr>
        <w:pStyle w:val="ListParagraph"/>
        <w:numPr>
          <w:ilvl w:val="0"/>
          <w:numId w:val="2"/>
        </w:numPr>
        <w:spacing w:after="40" w:before="40"/>
      </w:pPr>
      <w:r>
        <w:rPr>
          <w:rFonts w:ascii="Calibri" w:cs="Calibri" w:eastAsia="Calibri" w:hAnsi="Calibri"/>
          <w:color w:val="1A1A1A"/>
          <w:sz w:val="22"/>
          <w:szCs w:val="22"/>
        </w:rPr>
        <w:t xml:space="preserve">server.proxy — proxies all /api calls to http://localhost:9090 (API Gateway) in development</w:t>
      </w:r>
    </w:p>
    <w:p>
      <w:pPr>
        <w:pStyle w:val="ListParagraph"/>
        <w:numPr>
          <w:ilvl w:val="0"/>
          <w:numId w:val="2"/>
        </w:numPr>
        <w:spacing w:after="40" w:before="40"/>
      </w:pPr>
      <w:r>
        <w:rPr>
          <w:rFonts w:ascii="Calibri" w:cs="Calibri" w:eastAsia="Calibri" w:hAnsi="Calibri"/>
          <w:color w:val="1A1A1A"/>
          <w:sz w:val="22"/>
          <w:szCs w:val="22"/>
        </w:rPr>
        <w:t xml:space="preserve">HMR (Hot Module Replacement) — instant browser updates on file save without page reload</w:t>
      </w:r>
    </w:p>
    <w:p>
      <w:pPr>
        <w:pStyle w:val="ListParagraph"/>
        <w:numPr>
          <w:ilvl w:val="0"/>
          <w:numId w:val="2"/>
        </w:numPr>
        <w:spacing w:after="40" w:before="40"/>
      </w:pPr>
      <w:r>
        <w:rPr>
          <w:rFonts w:ascii="Calibri" w:cs="Calibri" w:eastAsia="Calibri" w:hAnsi="Calibri"/>
          <w:color w:val="1A1A1A"/>
          <w:sz w:val="22"/>
          <w:szCs w:val="22"/>
        </w:rPr>
        <w:t xml:space="preserve">Production builds use Rollup for optimized tree-shaking and code splitting</w:t>
      </w:r>
    </w:p>
    <w:p>
      <w:pPr>
        <w:pStyle w:val="Heading2"/>
        <w:spacing w:after="120" w:before="240"/>
      </w:pPr>
      <w:r>
        <w:rPr>
          <w:rFonts w:ascii="Calibri" w:cs="Calibri" w:eastAsia="Calibri" w:hAnsi="Calibri"/>
          <w:b/>
          <w:bCs/>
          <w:color w:val="2C4F7A"/>
          <w:sz w:val="26"/>
          <w:szCs w:val="26"/>
        </w:rPr>
        <w:t xml:space="preserve">4.3  Tailwind CSS 3</w:t>
      </w:r>
    </w:p>
    <w:p>
      <w:pPr>
        <w:spacing w:after="100" w:before="60"/>
      </w:pPr>
      <w:r>
        <w:rPr>
          <w:rFonts w:ascii="Calibri" w:cs="Calibri" w:eastAsia="Calibri" w:hAnsi="Calibri"/>
          <w:color w:val="1A1A1A"/>
          <w:sz w:val="22"/>
          <w:szCs w:val="22"/>
        </w:rPr>
        <w:t xml:space="preserve">Utility-first CSS framework with a custom White Peacock design system:</w:t>
      </w:r>
    </w:p>
    <w:p>
      <w:pPr>
        <w:pStyle w:val="ListParagraph"/>
        <w:numPr>
          <w:ilvl w:val="0"/>
          <w:numId w:val="2"/>
        </w:numPr>
        <w:spacing w:after="40" w:before="40"/>
      </w:pPr>
      <w:r>
        <w:rPr>
          <w:rFonts w:ascii="Calibri" w:cs="Calibri" w:eastAsia="Calibri" w:hAnsi="Calibri"/>
          <w:color w:val="1A1A1A"/>
          <w:sz w:val="22"/>
          <w:szCs w:val="22"/>
        </w:rPr>
        <w:t xml:space="preserve">Gold (#c8a86e, #a07840) — primary accents, borders, focus rings, and button highlights</w:t>
      </w:r>
    </w:p>
    <w:p>
      <w:pPr>
        <w:pStyle w:val="ListParagraph"/>
        <w:numPr>
          <w:ilvl w:val="0"/>
          <w:numId w:val="2"/>
        </w:numPr>
        <w:spacing w:after="40" w:before="40"/>
      </w:pPr>
      <w:r>
        <w:rPr>
          <w:rFonts w:ascii="Calibri" w:cs="Calibri" w:eastAsia="Calibri" w:hAnsi="Calibri"/>
          <w:color w:val="1A1A1A"/>
          <w:sz w:val="22"/>
          <w:szCs w:val="22"/>
        </w:rPr>
        <w:t xml:space="preserve">Navy (#0a1628, #1e3a5f) — backgrounds, headers, and primary containers</w:t>
      </w:r>
    </w:p>
    <w:p>
      <w:pPr>
        <w:pStyle w:val="ListParagraph"/>
        <w:numPr>
          <w:ilvl w:val="0"/>
          <w:numId w:val="2"/>
        </w:numPr>
        <w:spacing w:after="40" w:before="40"/>
      </w:pPr>
      <w:r>
        <w:rPr>
          <w:rFonts w:ascii="Calibri" w:cs="Calibri" w:eastAsia="Calibri" w:hAnsi="Calibri"/>
          <w:color w:val="1A1A1A"/>
          <w:sz w:val="22"/>
          <w:szCs w:val="22"/>
        </w:rPr>
        <w:t xml:space="preserve">Emerald (#059669) — active/success states and ACTIVE status badges</w:t>
      </w:r>
    </w:p>
    <w:p>
      <w:pPr>
        <w:pStyle w:val="ListParagraph"/>
        <w:numPr>
          <w:ilvl w:val="0"/>
          <w:numId w:val="2"/>
        </w:numPr>
        <w:spacing w:after="40" w:before="40"/>
      </w:pPr>
      <w:r>
        <w:rPr>
          <w:rFonts w:ascii="Calibri" w:cs="Calibri" w:eastAsia="Calibri" w:hAnsi="Calibri"/>
          <w:color w:val="1A1A1A"/>
          <w:sz w:val="22"/>
          <w:szCs w:val="22"/>
        </w:rPr>
        <w:t xml:space="preserve">Custom btn-peacock class — consistent gold-gradient button styling across all forms</w:t>
      </w:r>
    </w:p>
    <w:p>
      <w:pPr>
        <w:pStyle w:val="Heading2"/>
        <w:spacing w:after="120" w:before="240"/>
      </w:pPr>
      <w:r>
        <w:rPr>
          <w:rFonts w:ascii="Calibri" w:cs="Calibri" w:eastAsia="Calibri" w:hAnsi="Calibri"/>
          <w:b/>
          <w:bCs/>
          <w:color w:val="2C4F7A"/>
          <w:sz w:val="26"/>
          <w:szCs w:val="26"/>
        </w:rPr>
        <w:t xml:space="preserve">4.4  React Router DOM v6</w:t>
      </w:r>
    </w:p>
    <w:p>
      <w:pPr>
        <w:spacing w:after="100" w:before="60"/>
      </w:pPr>
      <w:r>
        <w:rPr>
          <w:rFonts w:ascii="Calibri" w:cs="Calibri" w:eastAsia="Calibri" w:hAnsi="Calibri"/>
          <w:color w:val="1A1A1A"/>
          <w:sz w:val="22"/>
          <w:szCs w:val="22"/>
        </w:rPr>
        <w:t xml:space="preserve">Single-page application routing with programmatic navigation:</w:t>
      </w:r>
    </w:p>
    <w:p>
      <w:pPr>
        <w:pStyle w:val="ListParagraph"/>
        <w:numPr>
          <w:ilvl w:val="0"/>
          <w:numId w:val="2"/>
        </w:numPr>
        <w:spacing w:after="40" w:before="40"/>
      </w:pPr>
      <w:r>
        <w:rPr>
          <w:rFonts w:ascii="Calibri" w:cs="Calibri" w:eastAsia="Calibri" w:hAnsi="Calibri"/>
          <w:color w:val="1A1A1A"/>
          <w:sz w:val="22"/>
          <w:szCs w:val="22"/>
        </w:rPr>
        <w:t xml:space="preserve">BrowserRouter at app root wraps all routes</w:t>
      </w:r>
    </w:p>
    <w:p>
      <w:pPr>
        <w:pStyle w:val="ListParagraph"/>
        <w:numPr>
          <w:ilvl w:val="0"/>
          <w:numId w:val="2"/>
        </w:numPr>
        <w:spacing w:after="40" w:before="40"/>
      </w:pPr>
      <w:r>
        <w:rPr>
          <w:rFonts w:ascii="Calibri" w:cs="Calibri" w:eastAsia="Calibri" w:hAnsi="Calibri"/>
          <w:color w:val="1A1A1A"/>
          <w:sz w:val="22"/>
          <w:szCs w:val="22"/>
        </w:rPr>
        <w:t xml:space="preserve">Route definitions for each module: /customers, /accounts, /transactions, /dashboard, etc.</w:t>
      </w:r>
    </w:p>
    <w:p>
      <w:pPr>
        <w:pStyle w:val="ListParagraph"/>
        <w:numPr>
          <w:ilvl w:val="0"/>
          <w:numId w:val="2"/>
        </w:numPr>
        <w:spacing w:after="40" w:before="40"/>
      </w:pPr>
      <w:r>
        <w:rPr>
          <w:rFonts w:ascii="Calibri" w:cs="Calibri" w:eastAsia="Calibri" w:hAnsi="Calibri"/>
          <w:color w:val="1A1A1A"/>
          <w:sz w:val="22"/>
          <w:szCs w:val="22"/>
        </w:rPr>
        <w:t xml:space="preserve">useNavigate() for redirects after form submission or login</w:t>
      </w:r>
    </w:p>
    <w:p>
      <w:pPr>
        <w:pStyle w:val="ListParagraph"/>
        <w:numPr>
          <w:ilvl w:val="0"/>
          <w:numId w:val="2"/>
        </w:numPr>
        <w:spacing w:after="40" w:before="40"/>
      </w:pPr>
      <w:r>
        <w:rPr>
          <w:rFonts w:ascii="Calibri" w:cs="Calibri" w:eastAsia="Calibri" w:hAnsi="Calibri"/>
          <w:color w:val="1A1A1A"/>
          <w:sz w:val="22"/>
          <w:szCs w:val="22"/>
        </w:rPr>
        <w:t xml:space="preserve">Protected routes check AuthContext and redirect unauthenticated users to /login</w:t>
      </w:r>
    </w:p>
    <w:p>
      <w:pPr>
        <w:pStyle w:val="Heading2"/>
        <w:spacing w:after="120" w:before="240"/>
      </w:pPr>
      <w:r>
        <w:rPr>
          <w:rFonts w:ascii="Calibri" w:cs="Calibri" w:eastAsia="Calibri" w:hAnsi="Calibri"/>
          <w:b/>
          <w:bCs/>
          <w:color w:val="2C4F7A"/>
          <w:sz w:val="26"/>
          <w:szCs w:val="26"/>
        </w:rPr>
        <w:t xml:space="preserve">4.5  Axios</w:t>
      </w:r>
    </w:p>
    <w:p>
      <w:pPr>
        <w:spacing w:after="100" w:before="60"/>
      </w:pPr>
      <w:r>
        <w:rPr>
          <w:rFonts w:ascii="Calibri" w:cs="Calibri" w:eastAsia="Calibri" w:hAnsi="Calibri"/>
          <w:color w:val="1A1A1A"/>
          <w:sz w:val="22"/>
          <w:szCs w:val="22"/>
        </w:rPr>
        <w:t xml:space="preserve">HTTP client configured with interceptors for seamless JWT authentication:</w:t>
      </w:r>
    </w:p>
    <w:p>
      <w:pPr>
        <w:pStyle w:val="ListParagraph"/>
        <w:numPr>
          <w:ilvl w:val="0"/>
          <w:numId w:val="2"/>
        </w:numPr>
        <w:spacing w:after="40" w:before="40"/>
      </w:pPr>
      <w:r>
        <w:rPr>
          <w:rFonts w:ascii="Calibri" w:cs="Calibri" w:eastAsia="Calibri" w:hAnsi="Calibri"/>
          <w:color w:val="1A1A1A"/>
          <w:sz w:val="22"/>
          <w:szCs w:val="22"/>
        </w:rPr>
        <w:t xml:space="preserve">Request interceptor automatically adds Authorization: Bearer &lt;token&gt; header to every request</w:t>
      </w:r>
    </w:p>
    <w:p>
      <w:pPr>
        <w:pStyle w:val="ListParagraph"/>
        <w:numPr>
          <w:ilvl w:val="0"/>
          <w:numId w:val="2"/>
        </w:numPr>
        <w:spacing w:after="40" w:before="40"/>
      </w:pPr>
      <w:r>
        <w:rPr>
          <w:rFonts w:ascii="Calibri" w:cs="Calibri" w:eastAsia="Calibri" w:hAnsi="Calibri"/>
          <w:color w:val="1A1A1A"/>
          <w:sz w:val="22"/>
          <w:szCs w:val="22"/>
        </w:rPr>
        <w:t xml:space="preserve">Response interceptor catches 401 Unauthorized responses and redirects to /login</w:t>
      </w:r>
    </w:p>
    <w:p>
      <w:pPr>
        <w:pStyle w:val="ListParagraph"/>
        <w:numPr>
          <w:ilvl w:val="0"/>
          <w:numId w:val="2"/>
        </w:numPr>
        <w:spacing w:after="40" w:before="40"/>
      </w:pPr>
      <w:r>
        <w:rPr>
          <w:rFonts w:ascii="Calibri" w:cs="Calibri" w:eastAsia="Calibri" w:hAnsi="Calibri"/>
          <w:color w:val="1A1A1A"/>
          <w:sz w:val="22"/>
          <w:szCs w:val="22"/>
        </w:rPr>
        <w:t xml:space="preserve">Base URL configured to /api (proxied by Vite to API Gateway at localhost:9090)</w:t>
      </w:r>
    </w:p>
    <w:p>
      <w:pPr>
        <w:pStyle w:val="Heading2"/>
        <w:spacing w:after="120" w:before="240"/>
      </w:pPr>
      <w:r>
        <w:rPr>
          <w:rFonts w:ascii="Calibri" w:cs="Calibri" w:eastAsia="Calibri" w:hAnsi="Calibri"/>
          <w:b/>
          <w:bCs/>
          <w:color w:val="2C4F7A"/>
          <w:sz w:val="26"/>
          <w:szCs w:val="26"/>
        </w:rPr>
        <w:t xml:space="preserve">4.6  Supporting Libraries</w:t>
      </w:r>
    </w:p>
    <w:p>
      <w:pPr>
        <w:pStyle w:val="ListParagraph"/>
        <w:numPr>
          <w:ilvl w:val="0"/>
          <w:numId w:val="2"/>
        </w:numPr>
        <w:spacing w:after="40" w:before="40"/>
      </w:pPr>
      <w:r>
        <w:rPr>
          <w:rFonts w:ascii="Calibri" w:cs="Calibri" w:eastAsia="Calibri" w:hAnsi="Calibri"/>
          <w:color w:val="1A1A1A"/>
          <w:sz w:val="22"/>
          <w:szCs w:val="22"/>
        </w:rPr>
        <w:t xml:space="preserve">React Hot Toast — success/error toast notifications for all API operations with gold theme</w:t>
      </w:r>
    </w:p>
    <w:p>
      <w:pPr>
        <w:pStyle w:val="ListParagraph"/>
        <w:numPr>
          <w:ilvl w:val="0"/>
          <w:numId w:val="2"/>
        </w:numPr>
        <w:spacing w:after="40" w:before="40"/>
      </w:pPr>
      <w:r>
        <w:rPr>
          <w:rFonts w:ascii="Calibri" w:cs="Calibri" w:eastAsia="Calibri" w:hAnsi="Calibri"/>
          <w:color w:val="1A1A1A"/>
          <w:sz w:val="22"/>
          <w:szCs w:val="22"/>
        </w:rPr>
        <w:t xml:space="preserve">React Icons (Material Design) — 400+ Material Design icons for consistent UI iconography</w:t>
      </w:r>
    </w:p>
    <w:p>
      <w:pPr>
        <w:pStyle w:val="ListParagraph"/>
        <w:numPr>
          <w:ilvl w:val="0"/>
          <w:numId w:val="2"/>
        </w:numPr>
        <w:spacing w:after="40" w:before="40"/>
      </w:pPr>
      <w:r>
        <w:rPr>
          <w:rFonts w:ascii="Calibri" w:cs="Calibri" w:eastAsia="Calibri" w:hAnsi="Calibri"/>
          <w:color w:val="1A1A1A"/>
          <w:sz w:val="22"/>
          <w:szCs w:val="22"/>
        </w:rPr>
        <w:t xml:space="preserve">AuthContext (custom) — global state with login(), logout(), updateProfile(), hasRole() methods</w:t>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5.  Database Design</w:t>
      </w:r>
    </w:p>
    <w:p>
      <w:pPr>
        <w:pStyle w:val="Heading2"/>
        <w:spacing w:after="120" w:before="240"/>
      </w:pPr>
      <w:r>
        <w:rPr>
          <w:rFonts w:ascii="Calibri" w:cs="Calibri" w:eastAsia="Calibri" w:hAnsi="Calibri"/>
          <w:b/>
          <w:bCs/>
          <w:color w:val="2C4F7A"/>
          <w:sz w:val="26"/>
          <w:szCs w:val="26"/>
        </w:rPr>
        <w:t xml:space="preserve">5.1  Database-per-Service Pattern</w:t>
      </w:r>
    </w:p>
    <w:p>
      <w:pPr>
        <w:spacing w:after="100" w:before="60"/>
      </w:pPr>
      <w:r>
        <w:rPr>
          <w:rFonts w:ascii="Calibri" w:cs="Calibri" w:eastAsia="Calibri" w:hAnsi="Calibri"/>
          <w:color w:val="1A1A1A"/>
          <w:sz w:val="22"/>
          <w:szCs w:val="22"/>
        </w:rPr>
        <w:t xml:space="preserve">Each microservice owns its own MySQL database, ensuring complete data isolation and independent schema evolution. Services cannot query each other's databases directly — all cross-service data access must go through REST APIs.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Microservice</w:t>
            </w:r>
          </w:p>
        </w:tc>
        <w:tc>
          <w:tcPr>
            <w:tcW w:type="dxa" w:w="46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Database Name</w:t>
            </w:r>
          </w:p>
        </w:tc>
      </w:tr>
      <w:tr>
        <w:tc>
          <w:tcPr>
            <w:tcW w:type="dxa" w:w="468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Auth Service</w:t>
            </w:r>
          </w:p>
        </w:tc>
        <w:tc>
          <w:tcPr>
            <w:tcW w:type="dxa" w:w="468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depositcorex_auth</w:t>
            </w:r>
          </w:p>
        </w:tc>
      </w:tr>
      <w:tr>
        <w:tc>
          <w:tcPr>
            <w:tcW w:type="dxa" w:w="468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Onboarding Service</w:t>
            </w:r>
          </w:p>
        </w:tc>
        <w:tc>
          <w:tcPr>
            <w:tcW w:type="dxa" w:w="468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depositcorex_onboarding</w:t>
            </w:r>
          </w:p>
        </w:tc>
      </w:tr>
      <w:tr>
        <w:tc>
          <w:tcPr>
            <w:tcW w:type="dxa" w:w="468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Account Service</w:t>
            </w:r>
          </w:p>
        </w:tc>
        <w:tc>
          <w:tcPr>
            <w:tcW w:type="dxa" w:w="468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depositcorex_accounts</w:t>
            </w:r>
          </w:p>
        </w:tc>
      </w:tr>
      <w:tr>
        <w:tc>
          <w:tcPr>
            <w:tcW w:type="dxa" w:w="468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Product Service</w:t>
            </w:r>
          </w:p>
        </w:tc>
        <w:tc>
          <w:tcPr>
            <w:tcW w:type="dxa" w:w="468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depositcorex_products</w:t>
            </w:r>
          </w:p>
        </w:tc>
      </w:tr>
      <w:tr>
        <w:tc>
          <w:tcPr>
            <w:tcW w:type="dxa" w:w="468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Transaction Service</w:t>
            </w:r>
          </w:p>
        </w:tc>
        <w:tc>
          <w:tcPr>
            <w:tcW w:type="dxa" w:w="468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depositcorex_transactions</w:t>
            </w:r>
          </w:p>
        </w:tc>
      </w:tr>
      <w:tr>
        <w:tc>
          <w:tcPr>
            <w:tcW w:type="dxa" w:w="468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Interest Service</w:t>
            </w:r>
          </w:p>
        </w:tc>
        <w:tc>
          <w:tcPr>
            <w:tcW w:type="dxa" w:w="468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depositcorex_interest</w:t>
            </w:r>
          </w:p>
        </w:tc>
      </w:tr>
      <w:tr>
        <w:tc>
          <w:tcPr>
            <w:tcW w:type="dxa" w:w="468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Reporting Service</w:t>
            </w:r>
          </w:p>
        </w:tc>
        <w:tc>
          <w:tcPr>
            <w:tcW w:type="dxa" w:w="468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depositcorex_reporting</w:t>
            </w:r>
          </w:p>
        </w:tc>
      </w:tr>
      <w:tr>
        <w:tc>
          <w:tcPr>
            <w:tcW w:type="dxa" w:w="468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Notification Service</w:t>
            </w:r>
          </w:p>
        </w:tc>
        <w:tc>
          <w:tcPr>
            <w:tcW w:type="dxa" w:w="468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depositcorex_notifications</w:t>
            </w:r>
          </w:p>
        </w:tc>
      </w:tr>
    </w:tbl>
    <w:p>
      <w:pPr>
        <w:spacing w:after="0" w:before="0"/>
      </w:pPr>
      <w:r>
        <w:t xml:space="preserve"/>
      </w:r>
    </w:p>
    <w:p>
      <w:pPr>
        <w:pStyle w:val="Heading2"/>
        <w:spacing w:after="120" w:before="240"/>
      </w:pPr>
      <w:r>
        <w:rPr>
          <w:rFonts w:ascii="Calibri" w:cs="Calibri" w:eastAsia="Calibri" w:hAnsi="Calibri"/>
          <w:b/>
          <w:bCs/>
          <w:color w:val="2C4F7A"/>
          <w:sz w:val="26"/>
          <w:szCs w:val="26"/>
        </w:rPr>
        <w:t xml:space="preserve">5.2  Schema Management</w:t>
      </w:r>
    </w:p>
    <w:p>
      <w:pPr>
        <w:spacing w:after="100" w:before="60"/>
      </w:pPr>
      <w:r>
        <w:rPr>
          <w:rFonts w:ascii="Calibri" w:cs="Calibri" w:eastAsia="Calibri" w:hAnsi="Calibri"/>
          <w:color w:val="1A1A1A"/>
          <w:sz w:val="22"/>
          <w:szCs w:val="22"/>
        </w:rPr>
        <w:t xml:space="preserve">Hibernate's ddl-auto: update setting provides automatic schema management:</w:t>
      </w:r>
    </w:p>
    <w:p>
      <w:pPr>
        <w:pStyle w:val="ListParagraph"/>
        <w:numPr>
          <w:ilvl w:val="0"/>
          <w:numId w:val="2"/>
        </w:numPr>
        <w:spacing w:after="40" w:before="40"/>
      </w:pPr>
      <w:r>
        <w:rPr>
          <w:rFonts w:ascii="Calibri" w:cs="Calibri" w:eastAsia="Calibri" w:hAnsi="Calibri"/>
          <w:color w:val="1A1A1A"/>
          <w:sz w:val="22"/>
          <w:szCs w:val="22"/>
        </w:rPr>
        <w:t xml:space="preserve">Creates all tables on first run if they do not exist</w:t>
      </w:r>
    </w:p>
    <w:p>
      <w:pPr>
        <w:pStyle w:val="ListParagraph"/>
        <w:numPr>
          <w:ilvl w:val="0"/>
          <w:numId w:val="2"/>
        </w:numPr>
        <w:spacing w:after="40" w:before="40"/>
      </w:pPr>
      <w:r>
        <w:rPr>
          <w:rFonts w:ascii="Calibri" w:cs="Calibri" w:eastAsia="Calibri" w:hAnsi="Calibri"/>
          <w:color w:val="1A1A1A"/>
          <w:sz w:val="22"/>
          <w:szCs w:val="22"/>
        </w:rPr>
        <w:t xml:space="preserve">Adds new columns when new @Column fields are added to @Entity classes (e.g., profileImage was added without manual migration)</w:t>
      </w:r>
    </w:p>
    <w:p>
      <w:pPr>
        <w:pStyle w:val="ListParagraph"/>
        <w:numPr>
          <w:ilvl w:val="0"/>
          <w:numId w:val="2"/>
        </w:numPr>
        <w:spacing w:after="40" w:before="40"/>
      </w:pPr>
      <w:r>
        <w:rPr>
          <w:rFonts w:ascii="Calibri" w:cs="Calibri" w:eastAsia="Calibri" w:hAnsi="Calibri"/>
          <w:color w:val="1A1A1A"/>
          <w:sz w:val="22"/>
          <w:szCs w:val="22"/>
        </w:rPr>
        <w:t xml:space="preserve">Preserves all existing data on subsequent service restarts</w:t>
      </w:r>
    </w:p>
    <w:p>
      <w:pPr>
        <w:pStyle w:val="ListParagraph"/>
        <w:numPr>
          <w:ilvl w:val="0"/>
          <w:numId w:val="2"/>
        </w:numPr>
        <w:spacing w:after="40" w:before="40"/>
      </w:pPr>
      <w:r>
        <w:rPr>
          <w:rFonts w:ascii="Calibri" w:cs="Calibri" w:eastAsia="Calibri" w:hAnsi="Calibri"/>
          <w:color w:val="1A1A1A"/>
          <w:sz w:val="22"/>
          <w:szCs w:val="22"/>
        </w:rPr>
        <w:t xml:space="preserve">Does not remove columns or rename tables — safe for production data</w:t>
      </w:r>
    </w:p>
    <w:p>
      <w:pPr>
        <w:pStyle w:val="Heading2"/>
        <w:spacing w:after="120" w:before="240"/>
      </w:pPr>
      <w:r>
        <w:rPr>
          <w:rFonts w:ascii="Calibri" w:cs="Calibri" w:eastAsia="Calibri" w:hAnsi="Calibri"/>
          <w:b/>
          <w:bCs/>
          <w:color w:val="2C4F7A"/>
          <w:sz w:val="26"/>
          <w:szCs w:val="26"/>
        </w:rPr>
        <w:t xml:space="preserve">5.3  Key Entity Definitions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Entity</w:t>
            </w:r>
          </w:p>
        </w:tc>
        <w:tc>
          <w:tcPr>
            <w:tcW w:type="dxa" w:w="73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Key Fields</w:t>
            </w:r>
          </w:p>
        </w:tc>
      </w:tr>
      <w:tr>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User</w:t>
            </w:r>
          </w:p>
        </w:tc>
        <w:tc>
          <w:tcPr>
            <w:tcW w:type="dxa" w:w="73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id, name, email, password (BCrypt), role (Enum), phone, active, profileImage (LONGTEXT), createdAt</w:t>
            </w:r>
          </w:p>
        </w:tc>
      </w:tr>
      <w:tr>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Customer</w:t>
            </w:r>
          </w:p>
        </w:tc>
        <w:tc>
          <w:tcPr>
            <w:tcW w:type="dxa" w:w="73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id, cifNumber, fullName, email, phone, address, segment, kycStatus, status, verified</w:t>
            </w:r>
          </w:p>
        </w:tc>
      </w:tr>
      <w:tr>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Account</w:t>
            </w:r>
          </w:p>
        </w:tc>
        <w:tc>
          <w:tcPr>
            <w:tcW w:type="dxa" w:w="73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id, accountNumber, customerId, accountType, balance, status, branch, currency, createdAt</w:t>
            </w:r>
          </w:p>
        </w:tc>
      </w:tr>
      <w:tr>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Transaction</w:t>
            </w:r>
          </w:p>
        </w:tc>
        <w:tc>
          <w:tcPr>
            <w:tcW w:type="dxa" w:w="73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id, accountId, type, amount, description, reference, transactionDate, glCode</w:t>
            </w:r>
          </w:p>
        </w:tc>
      </w:tr>
      <w:tr>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AuditLog</w:t>
            </w:r>
          </w:p>
        </w:tc>
        <w:tc>
          <w:tcPr>
            <w:tcW w:type="dxa" w:w="73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id, userId, action, resource, metadata, timestamp</w:t>
            </w:r>
          </w:p>
        </w:tc>
      </w:tr>
      <w:tr>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Notification</w:t>
            </w:r>
          </w:p>
        </w:tc>
        <w:tc>
          <w:tcPr>
            <w:tcW w:type="dxa" w:w="73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id, userId, message, type, read, createdAt</w:t>
            </w:r>
          </w:p>
        </w:tc>
      </w:tr>
    </w:tbl>
    <w:p>
      <w:pPr>
        <w:spacing w:after="0" w:before="0"/>
      </w:pPr>
      <w:r>
        <w:t xml:space="preserve"/>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6.  Security Architecture</w:t>
      </w:r>
    </w:p>
    <w:p>
      <w:pPr>
        <w:pStyle w:val="Heading2"/>
        <w:spacing w:after="120" w:before="240"/>
      </w:pPr>
      <w:r>
        <w:rPr>
          <w:rFonts w:ascii="Calibri" w:cs="Calibri" w:eastAsia="Calibri" w:hAnsi="Calibri"/>
          <w:b/>
          <w:bCs/>
          <w:color w:val="2C4F7A"/>
          <w:sz w:val="26"/>
          <w:szCs w:val="26"/>
        </w:rPr>
        <w:t xml:space="preserve">6.1  JWT Authentication Flow</w:t>
      </w:r>
    </w:p>
    <w:p>
      <w:pPr>
        <w:spacing w:after="100" w:before="60"/>
      </w:pPr>
      <w:r>
        <w:rPr>
          <w:rFonts w:ascii="Calibri" w:cs="Calibri" w:eastAsia="Calibri" w:hAnsi="Calibri"/>
          <w:color w:val="1A1A1A"/>
          <w:sz w:val="22"/>
          <w:szCs w:val="22"/>
        </w:rPr>
        <w:t xml:space="preserve">The platform uses stateless JWT authentication — no server-side sessions are maintained:</w:t>
      </w:r>
    </w:p>
    <w:p>
      <w:pPr>
        <w:pStyle w:val="ListParagraph"/>
        <w:numPr>
          <w:ilvl w:val="0"/>
          <w:numId w:val="2"/>
        </w:numPr>
        <w:spacing w:after="40" w:before="40"/>
      </w:pPr>
      <w:r>
        <w:rPr>
          <w:rFonts w:ascii="Calibri" w:cs="Calibri" w:eastAsia="Calibri" w:hAnsi="Calibri"/>
          <w:color w:val="1A1A1A"/>
          <w:sz w:val="22"/>
          <w:szCs w:val="22"/>
        </w:rPr>
        <w:t xml:space="preserve">Step 1: User POSTs credentials (email + password) to POST /auth/login</w:t>
      </w:r>
    </w:p>
    <w:p>
      <w:pPr>
        <w:pStyle w:val="ListParagraph"/>
        <w:numPr>
          <w:ilvl w:val="0"/>
          <w:numId w:val="2"/>
        </w:numPr>
        <w:spacing w:after="40" w:before="40"/>
      </w:pPr>
      <w:r>
        <w:rPr>
          <w:rFonts w:ascii="Calibri" w:cs="Calibri" w:eastAsia="Calibri" w:hAnsi="Calibri"/>
          <w:color w:val="1A1A1A"/>
          <w:sz w:val="22"/>
          <w:szCs w:val="22"/>
        </w:rPr>
        <w:t xml:space="preserve">Step 2: Auth Service validates password using BCrypt.matches()</w:t>
      </w:r>
    </w:p>
    <w:p>
      <w:pPr>
        <w:pStyle w:val="ListParagraph"/>
        <w:numPr>
          <w:ilvl w:val="0"/>
          <w:numId w:val="2"/>
        </w:numPr>
        <w:spacing w:after="40" w:before="40"/>
      </w:pPr>
      <w:r>
        <w:rPr>
          <w:rFonts w:ascii="Calibri" w:cs="Calibri" w:eastAsia="Calibri" w:hAnsi="Calibri"/>
          <w:color w:val="1A1A1A"/>
          <w:sz w:val="22"/>
          <w:szCs w:val="22"/>
        </w:rPr>
        <w:t xml:space="preserve">Step 3: JWT generated with HS512 algorithm — payload: { sub: email, role: ROLE_X, exp: 24h }</w:t>
      </w:r>
    </w:p>
    <w:p>
      <w:pPr>
        <w:pStyle w:val="ListParagraph"/>
        <w:numPr>
          <w:ilvl w:val="0"/>
          <w:numId w:val="2"/>
        </w:numPr>
        <w:spacing w:after="40" w:before="40"/>
      </w:pPr>
      <w:r>
        <w:rPr>
          <w:rFonts w:ascii="Calibri" w:cs="Calibri" w:eastAsia="Calibri" w:hAnsi="Calibri"/>
          <w:color w:val="1A1A1A"/>
          <w:sz w:val="22"/>
          <w:szCs w:val="22"/>
        </w:rPr>
        <w:t xml:space="preserve">Step 4: Token returned in response body, stored in browser localStorage</w:t>
      </w:r>
    </w:p>
    <w:p>
      <w:pPr>
        <w:pStyle w:val="ListParagraph"/>
        <w:numPr>
          <w:ilvl w:val="0"/>
          <w:numId w:val="2"/>
        </w:numPr>
        <w:spacing w:after="40" w:before="40"/>
      </w:pPr>
      <w:r>
        <w:rPr>
          <w:rFonts w:ascii="Calibri" w:cs="Calibri" w:eastAsia="Calibri" w:hAnsi="Calibri"/>
          <w:color w:val="1A1A1A"/>
          <w:sz w:val="22"/>
          <w:szCs w:val="22"/>
        </w:rPr>
        <w:t xml:space="preserve">Step 5: Axios request interceptor adds Authorization: Bearer &lt;token&gt; to every API call</w:t>
      </w:r>
    </w:p>
    <w:p>
      <w:pPr>
        <w:pStyle w:val="ListParagraph"/>
        <w:numPr>
          <w:ilvl w:val="0"/>
          <w:numId w:val="2"/>
        </w:numPr>
        <w:spacing w:after="40" w:before="40"/>
      </w:pPr>
      <w:r>
        <w:rPr>
          <w:rFonts w:ascii="Calibri" w:cs="Calibri" w:eastAsia="Calibri" w:hAnsi="Calibri"/>
          <w:color w:val="1A1A1A"/>
          <w:sz w:val="22"/>
          <w:szCs w:val="22"/>
        </w:rPr>
        <w:t xml:space="preserve">Step 6: Each service's JwtAuthFilter validates the token locally using the shared secret</w:t>
      </w:r>
    </w:p>
    <w:p>
      <w:pPr>
        <w:pStyle w:val="ListParagraph"/>
        <w:numPr>
          <w:ilvl w:val="0"/>
          <w:numId w:val="2"/>
        </w:numPr>
        <w:spacing w:after="40" w:before="40"/>
      </w:pPr>
      <w:r>
        <w:rPr>
          <w:rFonts w:ascii="Calibri" w:cs="Calibri" w:eastAsia="Calibri" w:hAnsi="Calibri"/>
          <w:color w:val="1A1A1A"/>
          <w:sz w:val="22"/>
          <w:szCs w:val="22"/>
        </w:rPr>
        <w:t xml:space="preserve">Step 7: SecurityContextHolder populated with the authenticated user's email and role</w:t>
      </w:r>
    </w:p>
    <w:p>
      <w:pPr>
        <w:pStyle w:val="Heading2"/>
        <w:spacing w:after="120" w:before="240"/>
      </w:pPr>
      <w:r>
        <w:rPr>
          <w:rFonts w:ascii="Calibri" w:cs="Calibri" w:eastAsia="Calibri" w:hAnsi="Calibri"/>
          <w:b/>
          <w:bCs/>
          <w:color w:val="2C4F7A"/>
          <w:sz w:val="26"/>
          <w:szCs w:val="26"/>
        </w:rPr>
        <w:t xml:space="preserve">6.2  Role-Based Access Control (RBAC)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Role</w:t>
            </w:r>
          </w:p>
        </w:tc>
        <w:tc>
          <w:tcPr>
            <w:tcW w:type="dxa" w:w="69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Access Level</w:t>
            </w:r>
          </w:p>
        </w:tc>
      </w:tr>
      <w:tr>
        <w:tc>
          <w:tcPr>
            <w:tcW w:type="dxa" w:w="24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CORE_ADMIN</w:t>
            </w:r>
          </w:p>
        </w:tc>
        <w:tc>
          <w:tcPr>
            <w:tcW w:type="dxa" w:w="69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Full access — all modules, user management, audit logs, system settings</w:t>
            </w:r>
          </w:p>
        </w:tc>
      </w:tr>
      <w:tr>
        <w:tc>
          <w:tcPr>
            <w:tcW w:type="dxa" w:w="24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BRANCH_OFFICER</w:t>
            </w:r>
          </w:p>
        </w:tc>
        <w:tc>
          <w:tcPr>
            <w:tcW w:type="dxa" w:w="69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Customer management (KYC, CIF), account opening and management</w:t>
            </w:r>
          </w:p>
        </w:tc>
      </w:tr>
      <w:tr>
        <w:tc>
          <w:tcPr>
            <w:tcW w:type="dxa" w:w="24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OPERATIONS_OFFICER</w:t>
            </w:r>
          </w:p>
        </w:tc>
        <w:tc>
          <w:tcPr>
            <w:tcW w:type="dxa" w:w="69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Transaction processing, account operations, holds and standing instructions</w:t>
            </w:r>
          </w:p>
        </w:tc>
      </w:tr>
      <w:tr>
        <w:tc>
          <w:tcPr>
            <w:tcW w:type="dxa" w:w="24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FINANCE_ANALYST</w:t>
            </w:r>
          </w:p>
        </w:tc>
        <w:tc>
          <w:tcPr>
            <w:tcW w:type="dxa" w:w="69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Read-only — interest reports, account statements, financial data</w:t>
            </w:r>
          </w:p>
        </w:tc>
      </w:tr>
      <w:tr>
        <w:tc>
          <w:tcPr>
            <w:tcW w:type="dxa" w:w="24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CUSTOMER</w:t>
            </w:r>
          </w:p>
        </w:tc>
        <w:tc>
          <w:tcPr>
            <w:tcW w:type="dxa" w:w="69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Self-service — view own accounts, transactions, chatbot access only</w:t>
            </w:r>
          </w:p>
        </w:tc>
      </w:tr>
    </w:tbl>
    <w:p>
      <w:pPr>
        <w:spacing w:after="0" w:before="0"/>
      </w:pPr>
      <w:r>
        <w:t xml:space="preserve"/>
      </w:r>
    </w:p>
    <w:p>
      <w:pPr>
        <w:pStyle w:val="Heading2"/>
        <w:spacing w:after="120" w:before="240"/>
      </w:pPr>
      <w:r>
        <w:rPr>
          <w:rFonts w:ascii="Calibri" w:cs="Calibri" w:eastAsia="Calibri" w:hAnsi="Calibri"/>
          <w:b/>
          <w:bCs/>
          <w:color w:val="2C4F7A"/>
          <w:sz w:val="26"/>
          <w:szCs w:val="26"/>
        </w:rPr>
        <w:t xml:space="preserve">6.3  CORS Configuration</w:t>
      </w:r>
    </w:p>
    <w:p>
      <w:pPr>
        <w:spacing w:after="100" w:before="60"/>
      </w:pPr>
      <w:r>
        <w:rPr>
          <w:rFonts w:ascii="Calibri" w:cs="Calibri" w:eastAsia="Calibri" w:hAnsi="Calibri"/>
          <w:color w:val="1A1A1A"/>
          <w:sz w:val="22"/>
          <w:szCs w:val="22"/>
        </w:rPr>
        <w:t xml:space="preserve">Every microservice includes a CorsConfigurationSource Spring bean:</w:t>
      </w:r>
    </w:p>
    <w:p>
      <w:pPr>
        <w:pStyle w:val="ListParagraph"/>
        <w:numPr>
          <w:ilvl w:val="0"/>
          <w:numId w:val="2"/>
        </w:numPr>
        <w:spacing w:after="40" w:before="40"/>
      </w:pPr>
      <w:r>
        <w:rPr>
          <w:rFonts w:ascii="Calibri" w:cs="Calibri" w:eastAsia="Calibri" w:hAnsi="Calibri"/>
          <w:color w:val="1A1A1A"/>
          <w:sz w:val="22"/>
          <w:szCs w:val="22"/>
        </w:rPr>
        <w:t xml:space="preserve">Allowed origins: http://localhost:* — covers all development ports</w:t>
      </w:r>
    </w:p>
    <w:p>
      <w:pPr>
        <w:pStyle w:val="ListParagraph"/>
        <w:numPr>
          <w:ilvl w:val="0"/>
          <w:numId w:val="2"/>
        </w:numPr>
        <w:spacing w:after="40" w:before="40"/>
      </w:pPr>
      <w:r>
        <w:rPr>
          <w:rFonts w:ascii="Calibri" w:cs="Calibri" w:eastAsia="Calibri" w:hAnsi="Calibri"/>
          <w:color w:val="1A1A1A"/>
          <w:sz w:val="22"/>
          <w:szCs w:val="22"/>
        </w:rPr>
        <w:t xml:space="preserve">Allowed methods: GET, POST, PUT, PATCH, DELETE, OPTIONS — all HTTP verbs</w:t>
      </w:r>
    </w:p>
    <w:p>
      <w:pPr>
        <w:pStyle w:val="ListParagraph"/>
        <w:numPr>
          <w:ilvl w:val="0"/>
          <w:numId w:val="2"/>
        </w:numPr>
        <w:spacing w:after="40" w:before="40"/>
      </w:pPr>
      <w:r>
        <w:rPr>
          <w:rFonts w:ascii="Calibri" w:cs="Calibri" w:eastAsia="Calibri" w:hAnsi="Calibri"/>
          <w:color w:val="1A1A1A"/>
          <w:sz w:val="22"/>
          <w:szCs w:val="22"/>
        </w:rPr>
        <w:t xml:space="preserve">Allowed headers: * — all request headers permitted</w:t>
      </w:r>
    </w:p>
    <w:p>
      <w:pPr>
        <w:pStyle w:val="ListParagraph"/>
        <w:numPr>
          <w:ilvl w:val="0"/>
          <w:numId w:val="2"/>
        </w:numPr>
        <w:spacing w:after="40" w:before="40"/>
      </w:pPr>
      <w:r>
        <w:rPr>
          <w:rFonts w:ascii="Calibri" w:cs="Calibri" w:eastAsia="Calibri" w:hAnsi="Calibri"/>
          <w:color w:val="1A1A1A"/>
          <w:sz w:val="22"/>
          <w:szCs w:val="22"/>
        </w:rPr>
        <w:t xml:space="preserve">Allow credentials: true — supports cookie-based auth if needed</w:t>
      </w:r>
    </w:p>
    <w:p>
      <w:pPr>
        <w:spacing w:after="100" w:before="60"/>
      </w:pPr>
      <w:r>
        <w:rPr>
          <w:rFonts w:ascii="Calibri" w:cs="Calibri" w:eastAsia="Calibri" w:hAnsi="Calibri"/>
          <w:color w:val="1A1A1A"/>
          <w:sz w:val="22"/>
          <w:szCs w:val="22"/>
        </w:rPr>
        <w:t xml:space="preserve">The API Gateway additionally configures globalcors in application.yml to handle browser preflight OPTIONS requests before they reach the downstream services.</w:t>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7.  Microservices Breakdown</w:t>
      </w:r>
    </w:p>
    <w:p>
      <w:pPr>
        <w:spacing w:after="100" w:before="60"/>
      </w:pPr>
      <w:r>
        <w:rPr>
          <w:rFonts w:ascii="Calibri" w:cs="Calibri" w:eastAsia="Calibri" w:hAnsi="Calibri"/>
          <w:color w:val="1A1A1A"/>
          <w:sz w:val="22"/>
          <w:szCs w:val="22"/>
        </w:rPr>
        <w:t xml:space="preserve">The following table provides a complete reference for all 10 services in the DepositCoreX platform: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000"/>
        <w:gridCol w:w="4560"/>
      </w:tblGrid>
      <w:tr>
        <w:trPr>
          <w:tblHeader/>
        </w:trPr>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Service</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Port</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Technology</w:t>
            </w:r>
          </w:p>
        </w:tc>
        <w:tc>
          <w:tcPr>
            <w:tcW w:type="dxa" w:w="45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Key Endpoints</w:t>
            </w:r>
          </w:p>
        </w:tc>
      </w:tr>
      <w:tr>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Eureka Server</w:t>
            </w:r>
          </w:p>
        </w:tc>
        <w:tc>
          <w:tcPr>
            <w:tcW w:type="dxa" w:w="8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8761</w:t>
            </w:r>
          </w:p>
        </w:tc>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Spring Cloud Netflix</w:t>
            </w:r>
          </w:p>
        </w:tc>
        <w:tc>
          <w:tcPr>
            <w:tcW w:type="dxa" w:w="45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/eureka (dashboard), /eureka/apps</w:t>
            </w:r>
          </w:p>
        </w:tc>
      </w:tr>
      <w:tr>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API Gateway</w:t>
            </w:r>
          </w:p>
        </w:tc>
        <w:tc>
          <w:tcPr>
            <w:tcW w:type="dxa" w:w="8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9090</w:t>
            </w:r>
          </w:p>
        </w:tc>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Spring Cloud Gateway</w:t>
            </w:r>
          </w:p>
        </w:tc>
        <w:tc>
          <w:tcPr>
            <w:tcW w:type="dxa" w:w="45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Routes all /auth/**, /customers/**, /accounts/**...</w:t>
            </w:r>
          </w:p>
        </w:tc>
      </w:tr>
      <w:tr>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Auth Service</w:t>
            </w:r>
          </w:p>
        </w:tc>
        <w:tc>
          <w:tcPr>
            <w:tcW w:type="dxa" w:w="8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9001</w:t>
            </w:r>
          </w:p>
        </w:tc>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Spring Security + JWT</w:t>
            </w:r>
          </w:p>
        </w:tc>
        <w:tc>
          <w:tcPr>
            <w:tcW w:type="dxa" w:w="45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/auth/login, /auth/register, /auth/users, /auth/audit-logs</w:t>
            </w:r>
          </w:p>
        </w:tc>
      </w:tr>
      <w:tr>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Onboarding Service</w:t>
            </w:r>
          </w:p>
        </w:tc>
        <w:tc>
          <w:tcPr>
            <w:tcW w:type="dxa" w:w="8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9002</w:t>
            </w:r>
          </w:p>
        </w:tc>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Spring Boot + JPA</w:t>
            </w:r>
          </w:p>
        </w:tc>
        <w:tc>
          <w:tcPr>
            <w:tcW w:type="dxa" w:w="45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/customers, /customers/{id}, /customers/by-email</w:t>
            </w:r>
          </w:p>
        </w:tc>
      </w:tr>
      <w:tr>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Account Service</w:t>
            </w:r>
          </w:p>
        </w:tc>
        <w:tc>
          <w:tcPr>
            <w:tcW w:type="dxa" w:w="8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9003</w:t>
            </w:r>
          </w:p>
        </w:tc>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Spring Boot + JPA</w:t>
            </w:r>
          </w:p>
        </w:tc>
        <w:tc>
          <w:tcPr>
            <w:tcW w:type="dxa" w:w="45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/accounts, /accounts/customer/{id}, /accounts/{id}/balance</w:t>
            </w:r>
          </w:p>
        </w:tc>
      </w:tr>
      <w:tr>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Product Service</w:t>
            </w:r>
          </w:p>
        </w:tc>
        <w:tc>
          <w:tcPr>
            <w:tcW w:type="dxa" w:w="8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9004</w:t>
            </w:r>
          </w:p>
        </w:tc>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Spring Boot + JPA</w:t>
            </w:r>
          </w:p>
        </w:tc>
        <w:tc>
          <w:tcPr>
            <w:tcW w:type="dxa" w:w="45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/products, /products/{id}</w:t>
            </w:r>
          </w:p>
        </w:tc>
      </w:tr>
      <w:tr>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Transaction Service</w:t>
            </w:r>
          </w:p>
        </w:tc>
        <w:tc>
          <w:tcPr>
            <w:tcW w:type="dxa" w:w="8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9005</w:t>
            </w:r>
          </w:p>
        </w:tc>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Spring Boot + JPA</w:t>
            </w:r>
          </w:p>
        </w:tc>
        <w:tc>
          <w:tcPr>
            <w:tcW w:type="dxa" w:w="45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/transactions, /transactions/account/{id}</w:t>
            </w:r>
          </w:p>
        </w:tc>
      </w:tr>
      <w:tr>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Interest Service</w:t>
            </w:r>
          </w:p>
        </w:tc>
        <w:tc>
          <w:tcPr>
            <w:tcW w:type="dxa" w:w="8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9006</w:t>
            </w:r>
          </w:p>
        </w:tc>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Spring Boot + JPA</w:t>
            </w:r>
          </w:p>
        </w:tc>
        <w:tc>
          <w:tcPr>
            <w:tcW w:type="dxa" w:w="45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/interest, /interest/calculate</w:t>
            </w:r>
          </w:p>
        </w:tc>
      </w:tr>
      <w:tr>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Reporting Service</w:t>
            </w:r>
          </w:p>
        </w:tc>
        <w:tc>
          <w:tcPr>
            <w:tcW w:type="dxa" w:w="8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9007</w:t>
            </w:r>
          </w:p>
        </w:tc>
        <w:tc>
          <w:tcPr>
            <w:tcW w:type="dxa" w:w="20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Spring Boot + JPA</w:t>
            </w:r>
          </w:p>
        </w:tc>
        <w:tc>
          <w:tcPr>
            <w:tcW w:type="dxa" w:w="45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/reports, /statements</w:t>
            </w:r>
          </w:p>
        </w:tc>
      </w:tr>
      <w:tr>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Notification Service</w:t>
            </w:r>
          </w:p>
        </w:tc>
        <w:tc>
          <w:tcPr>
            <w:tcW w:type="dxa" w:w="8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9008</w:t>
            </w:r>
          </w:p>
        </w:tc>
        <w:tc>
          <w:tcPr>
            <w:tcW w:type="dxa" w:w="20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Spring Boot + JPA</w:t>
            </w:r>
          </w:p>
        </w:tc>
        <w:tc>
          <w:tcPr>
            <w:tcW w:type="dxa" w:w="45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/notifications/user/{id}, /notifications/{id}/read</w:t>
            </w:r>
          </w:p>
        </w:tc>
      </w:tr>
    </w:tbl>
    <w:p>
      <w:pPr>
        <w:spacing w:after="0" w:before="0"/>
      </w:pPr>
      <w:r>
        <w:t xml:space="preserve"/>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8.  Key Features</w:t>
      </w:r>
    </w:p>
    <w:p>
      <w:pPr>
        <w:pStyle w:val="Heading2"/>
        <w:spacing w:after="120" w:before="240"/>
      </w:pPr>
      <w:r>
        <w:rPr>
          <w:rFonts w:ascii="Calibri" w:cs="Calibri" w:eastAsia="Calibri" w:hAnsi="Calibri"/>
          <w:b/>
          <w:bCs/>
          <w:color w:val="2C4F7A"/>
          <w:sz w:val="26"/>
          <w:szCs w:val="26"/>
        </w:rPr>
        <w:t xml:space="preserve">8.1  Multi-Role Dashboard</w:t>
      </w:r>
    </w:p>
    <w:p>
      <w:pPr>
        <w:spacing w:after="100" w:before="60"/>
      </w:pPr>
      <w:r>
        <w:rPr>
          <w:rFonts w:ascii="Calibri" w:cs="Calibri" w:eastAsia="Calibri" w:hAnsi="Calibri"/>
          <w:color w:val="1A1A1A"/>
          <w:sz w:val="22"/>
          <w:szCs w:val="22"/>
        </w:rPr>
        <w:t xml:space="preserve">Staff users (Admin, Branch, Operations, Finance) see a KPI dashboard with four live stat cards: Total Customers, Total Accounts, Transactions, and Unread Alerts — all fetched from real APIs via Promise.allSettled(). A microservice health panel shows each service's port and status. Customer users see a completely different personal banking portal.</w:t>
      </w:r>
    </w:p>
    <w:p>
      <w:pPr>
        <w:pStyle w:val="Heading2"/>
        <w:spacing w:after="120" w:before="240"/>
      </w:pPr>
      <w:r>
        <w:rPr>
          <w:rFonts w:ascii="Calibri" w:cs="Calibri" w:eastAsia="Calibri" w:hAnsi="Calibri"/>
          <w:b/>
          <w:bCs/>
          <w:color w:val="2C4F7A"/>
          <w:sz w:val="26"/>
          <w:szCs w:val="26"/>
        </w:rPr>
        <w:t xml:space="preserve">8.2  Customer Banking Portal</w:t>
      </w:r>
    </w:p>
    <w:p>
      <w:pPr>
        <w:pStyle w:val="ListParagraph"/>
        <w:numPr>
          <w:ilvl w:val="0"/>
          <w:numId w:val="2"/>
        </w:numPr>
        <w:spacing w:after="40" w:before="40"/>
      </w:pPr>
      <w:r>
        <w:rPr>
          <w:rFonts w:ascii="Calibri" w:cs="Calibri" w:eastAsia="Calibri" w:hAnsi="Calibri"/>
          <w:color w:val="1A1A1A"/>
          <w:sz w:val="22"/>
          <w:szCs w:val="22"/>
        </w:rPr>
        <w:t xml:space="preserve">Bank card carousel — animated dark-gradient cards (similar to Apple Wallet) for each linked account</w:t>
      </w:r>
    </w:p>
    <w:p>
      <w:pPr>
        <w:pStyle w:val="ListParagraph"/>
        <w:numPr>
          <w:ilvl w:val="0"/>
          <w:numId w:val="2"/>
        </w:numPr>
        <w:spacing w:after="40" w:before="40"/>
      </w:pPr>
      <w:r>
        <w:rPr>
          <w:rFonts w:ascii="Calibri" w:cs="Calibri" w:eastAsia="Calibri" w:hAnsi="Calibri"/>
          <w:color w:val="1A1A1A"/>
          <w:sz w:val="22"/>
          <w:szCs w:val="22"/>
        </w:rPr>
        <w:t xml:space="preserve">Net worth panel — total balance aggregated across all accounts</w:t>
      </w:r>
    </w:p>
    <w:p>
      <w:pPr>
        <w:pStyle w:val="ListParagraph"/>
        <w:numPr>
          <w:ilvl w:val="0"/>
          <w:numId w:val="2"/>
        </w:numPr>
        <w:spacing w:after="40" w:before="40"/>
      </w:pPr>
      <w:r>
        <w:rPr>
          <w:rFonts w:ascii="Calibri" w:cs="Calibri" w:eastAsia="Calibri" w:hAnsi="Calibri"/>
          <w:color w:val="1A1A1A"/>
          <w:sz w:val="22"/>
          <w:szCs w:val="22"/>
        </w:rPr>
        <w:t xml:space="preserve">Account switcher tabs — select account to view specific transaction history</w:t>
      </w:r>
    </w:p>
    <w:p>
      <w:pPr>
        <w:pStyle w:val="ListParagraph"/>
        <w:numPr>
          <w:ilvl w:val="0"/>
          <w:numId w:val="2"/>
        </w:numPr>
        <w:spacing w:after="40" w:before="40"/>
      </w:pPr>
      <w:r>
        <w:rPr>
          <w:rFonts w:ascii="Calibri" w:cs="Calibri" w:eastAsia="Calibri" w:hAnsi="Calibri"/>
          <w:color w:val="1A1A1A"/>
          <w:sz w:val="22"/>
          <w:szCs w:val="22"/>
        </w:rPr>
        <w:t xml:space="preserve">Real-time transaction list — last 10 transactions fetched on account selection</w:t>
      </w:r>
    </w:p>
    <w:p>
      <w:pPr>
        <w:pStyle w:val="ListParagraph"/>
        <w:numPr>
          <w:ilvl w:val="0"/>
          <w:numId w:val="2"/>
        </w:numPr>
        <w:spacing w:after="40" w:before="40"/>
      </w:pPr>
      <w:r>
        <w:rPr>
          <w:rFonts w:ascii="Calibri" w:cs="Calibri" w:eastAsia="Calibri" w:hAnsi="Calibri"/>
          <w:color w:val="1A1A1A"/>
          <w:sz w:val="22"/>
          <w:szCs w:val="22"/>
        </w:rPr>
        <w:t xml:space="preserve">Profile strip — shows customer name, CIF number, and KYC verification status</w:t>
      </w:r>
    </w:p>
    <w:p>
      <w:pPr>
        <w:pStyle w:val="Heading2"/>
        <w:spacing w:after="120" w:before="240"/>
      </w:pPr>
      <w:r>
        <w:rPr>
          <w:rFonts w:ascii="Calibri" w:cs="Calibri" w:eastAsia="Calibri" w:hAnsi="Calibri"/>
          <w:b/>
          <w:bCs/>
          <w:color w:val="2C4F7A"/>
          <w:sz w:val="26"/>
          <w:szCs w:val="26"/>
        </w:rPr>
        <w:t xml:space="preserve">8.3  Peacock AI Chatbot</w:t>
      </w:r>
    </w:p>
    <w:p>
      <w:pPr>
        <w:spacing w:after="100" w:before="60"/>
      </w:pPr>
      <w:r>
        <w:rPr>
          <w:rFonts w:ascii="Calibri" w:cs="Calibri" w:eastAsia="Calibri" w:hAnsi="Calibri"/>
          <w:color w:val="1A1A1A"/>
          <w:sz w:val="22"/>
          <w:szCs w:val="22"/>
        </w:rPr>
        <w:t xml:space="preserve">An intent-detection AI assistant embedded as a floating chatbot. The detectIntent() function uses regex pattern matching to classify user queries into 12+ categories:</w:t>
      </w:r>
    </w:p>
    <w:p>
      <w:pPr>
        <w:pStyle w:val="ListParagraph"/>
        <w:numPr>
          <w:ilvl w:val="0"/>
          <w:numId w:val="2"/>
        </w:numPr>
        <w:spacing w:after="40" w:before="40"/>
      </w:pPr>
      <w:r>
        <w:rPr>
          <w:rFonts w:ascii="Calibri" w:cs="Calibri" w:eastAsia="Calibri" w:hAnsi="Calibri"/>
          <w:color w:val="1A1A1A"/>
          <w:sz w:val="22"/>
          <w:szCs w:val="22"/>
        </w:rPr>
        <w:t xml:space="preserve">BALANCE — fetches live account balances from the Account Service</w:t>
      </w:r>
    </w:p>
    <w:p>
      <w:pPr>
        <w:pStyle w:val="ListParagraph"/>
        <w:numPr>
          <w:ilvl w:val="0"/>
          <w:numId w:val="2"/>
        </w:numPr>
        <w:spacing w:after="40" w:before="40"/>
      </w:pPr>
      <w:r>
        <w:rPr>
          <w:rFonts w:ascii="Calibri" w:cs="Calibri" w:eastAsia="Calibri" w:hAnsi="Calibri"/>
          <w:color w:val="1A1A1A"/>
          <w:sz w:val="22"/>
          <w:szCs w:val="22"/>
        </w:rPr>
        <w:t xml:space="preserve">ACCOUNTS — lists all customer accounts with type, balance, and status</w:t>
      </w:r>
    </w:p>
    <w:p>
      <w:pPr>
        <w:pStyle w:val="ListParagraph"/>
        <w:numPr>
          <w:ilvl w:val="0"/>
          <w:numId w:val="2"/>
        </w:numPr>
        <w:spacing w:after="40" w:before="40"/>
      </w:pPr>
      <w:r>
        <w:rPr>
          <w:rFonts w:ascii="Calibri" w:cs="Calibri" w:eastAsia="Calibri" w:hAnsi="Calibri"/>
          <w:color w:val="1A1A1A"/>
          <w:sz w:val="22"/>
          <w:szCs w:val="22"/>
        </w:rPr>
        <w:t xml:space="preserve">TRANSACTIONS — retrieves last 5 transactions for the primary account</w:t>
      </w:r>
    </w:p>
    <w:p>
      <w:pPr>
        <w:pStyle w:val="ListParagraph"/>
        <w:numPr>
          <w:ilvl w:val="0"/>
          <w:numId w:val="2"/>
        </w:numPr>
        <w:spacing w:after="40" w:before="40"/>
      </w:pPr>
      <w:r>
        <w:rPr>
          <w:rFonts w:ascii="Calibri" w:cs="Calibri" w:eastAsia="Calibri" w:hAnsi="Calibri"/>
          <w:color w:val="1A1A1A"/>
          <w:sz w:val="22"/>
          <w:szCs w:val="22"/>
        </w:rPr>
        <w:t xml:space="preserve">DEPOSITS — shows Term Deposit / FD details with maturity dates</w:t>
      </w:r>
    </w:p>
    <w:p>
      <w:pPr>
        <w:pStyle w:val="ListParagraph"/>
        <w:numPr>
          <w:ilvl w:val="0"/>
          <w:numId w:val="2"/>
        </w:numPr>
        <w:spacing w:after="40" w:before="40"/>
      </w:pPr>
      <w:r>
        <w:rPr>
          <w:rFonts w:ascii="Calibri" w:cs="Calibri" w:eastAsia="Calibri" w:hAnsi="Calibri"/>
          <w:color w:val="1A1A1A"/>
          <w:sz w:val="22"/>
          <w:szCs w:val="22"/>
        </w:rPr>
        <w:t xml:space="preserve">CONTACT — displays customer care numbers with clickable tel: links (1800-123-4567)</w:t>
      </w:r>
    </w:p>
    <w:p>
      <w:pPr>
        <w:pStyle w:val="ListParagraph"/>
        <w:numPr>
          <w:ilvl w:val="0"/>
          <w:numId w:val="2"/>
        </w:numPr>
        <w:spacing w:after="40" w:before="40"/>
      </w:pPr>
      <w:r>
        <w:rPr>
          <w:rFonts w:ascii="Calibri" w:cs="Calibri" w:eastAsia="Calibri" w:hAnsi="Calibri"/>
          <w:color w:val="1A1A1A"/>
          <w:sz w:val="22"/>
          <w:szCs w:val="22"/>
        </w:rPr>
        <w:t xml:space="preserve">TRANSFER, INTEREST, LOAN, STATEMENT, HOLDS — contextual guidance responses</w:t>
      </w:r>
    </w:p>
    <w:p>
      <w:pPr>
        <w:spacing w:after="100" w:before="60"/>
      </w:pPr>
      <w:r>
        <w:rPr>
          <w:rFonts w:ascii="Calibri" w:cs="Calibri" w:eastAsia="Calibri" w:hAnsi="Calibri"/>
          <w:color w:val="1A1A1A"/>
          <w:sz w:val="22"/>
          <w:szCs w:val="22"/>
        </w:rPr>
        <w:t xml:space="preserve">The chatbot includes typing indicators (animated dots), quick-reply suggestion chips, and HTML-rich responses rendered via dangerouslySetInnerHTML in isolated bot message bubbles.</w:t>
      </w:r>
    </w:p>
    <w:p>
      <w:pPr>
        <w:pStyle w:val="Heading2"/>
        <w:spacing w:after="120" w:before="240"/>
      </w:pPr>
      <w:r>
        <w:rPr>
          <w:rFonts w:ascii="Calibri" w:cs="Calibri" w:eastAsia="Calibri" w:hAnsi="Calibri"/>
          <w:b/>
          <w:bCs/>
          <w:color w:val="2C4F7A"/>
          <w:sz w:val="26"/>
          <w:szCs w:val="26"/>
        </w:rPr>
        <w:t xml:space="preserve">8.4  Profile Photo Upload</w:t>
      </w:r>
    </w:p>
    <w:p>
      <w:pPr>
        <w:spacing w:after="100" w:before="60"/>
      </w:pPr>
      <w:r>
        <w:rPr>
          <w:rFonts w:ascii="Calibri" w:cs="Calibri" w:eastAsia="Calibri" w:hAnsi="Calibri"/>
          <w:color w:val="1A1A1A"/>
          <w:sz w:val="22"/>
          <w:szCs w:val="22"/>
        </w:rPr>
        <w:t xml:space="preserve">Users click the avatar in the navbar to upload a profile photo. The FileReader API reads the selected image as a Base64 data URL, which is sent via PUT /auth/users/{id}/profile-image to the Auth Service, stored in the MySQL LONGTEXT column, and immediately reflected in the navbar avatar and localStorage.</w:t>
      </w:r>
    </w:p>
    <w:p>
      <w:pPr>
        <w:pStyle w:val="Heading2"/>
        <w:spacing w:after="120" w:before="240"/>
      </w:pPr>
      <w:r>
        <w:rPr>
          <w:rFonts w:ascii="Calibri" w:cs="Calibri" w:eastAsia="Calibri" w:hAnsi="Calibri"/>
          <w:b/>
          <w:bCs/>
          <w:color w:val="2C4F7A"/>
          <w:sz w:val="26"/>
          <w:szCs w:val="26"/>
        </w:rPr>
        <w:t xml:space="preserve">8.5  Audit Trail</w:t>
      </w:r>
    </w:p>
    <w:p>
      <w:pPr>
        <w:spacing w:after="100" w:before="60"/>
      </w:pPr>
      <w:r>
        <w:rPr>
          <w:rFonts w:ascii="Calibri" w:cs="Calibri" w:eastAsia="Calibri" w:hAnsi="Calibri"/>
          <w:color w:val="1A1A1A"/>
          <w:sz w:val="22"/>
          <w:szCs w:val="22"/>
        </w:rPr>
        <w:t xml:space="preserve">Every significant user action is persisted in the AuditLog table: user registration, login events, account activations, deactivations, and role changes — all logged with userId, action type, resource name, metadata context, and an ISO timestamp.</w:t>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9.  Challenges &amp; Solutions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Challenge</w:t>
            </w:r>
          </w:p>
        </w:tc>
        <w:tc>
          <w:tcPr>
            <w:tcW w:type="dxa" w:w="5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Solution</w:t>
            </w:r>
          </w:p>
        </w:tc>
      </w:tr>
      <w:tr>
        <w:tc>
          <w:tcPr>
            <w:tcW w:type="dxa" w:w="42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JWT Validation at Scale — calling Auth Service per request creates a bottleneck</w:t>
            </w:r>
          </w:p>
        </w:tc>
        <w:tc>
          <w:tcPr>
            <w:tcW w:type="dxa" w:w="51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Shared JWT secret in each service's application.yml. JwtAuthFilter validates locally — zero network overhead per request.</w:t>
            </w:r>
          </w:p>
        </w:tc>
      </w:tr>
      <w:tr>
        <w:tc>
          <w:tcPr>
            <w:tcW w:type="dxa" w:w="42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Customer–Account Data Linking — Auth userId != Customer entity ID</w:t>
            </w:r>
          </w:p>
        </w:tc>
        <w:tc>
          <w:tcPr>
            <w:tcW w:type="dxa" w:w="51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Added /customers/by-email?email= endpoint in Onboarding Service. Frontend uses user.email from AuthContext to bridge Auth user to Customer profile to linked accounts.</w:t>
            </w:r>
          </w:p>
        </w:tc>
      </w:tr>
      <w:tr>
        <w:tc>
          <w:tcPr>
            <w:tcW w:type="dxa" w:w="42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CORS at Microservices Scale — browser preflight goes to service, not gateway. PATCH method was missing from 5 services.</w:t>
            </w:r>
          </w:p>
        </w:tc>
        <w:tc>
          <w:tcPr>
            <w:tcW w:type="dxa" w:w="51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Added PATCH to all affected services' CorsConfigurationSource. Gateway globalcors handles all preflight independently.</w:t>
            </w:r>
          </w:p>
        </w:tc>
      </w:tr>
      <w:tr>
        <w:tc>
          <w:tcPr>
            <w:tcW w:type="dxa" w:w="42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Profile Image Without Object Storage — no S3/MinIO available</w:t>
            </w:r>
          </w:p>
        </w:tc>
        <w:tc>
          <w:tcPr>
            <w:tcW w:type="dxa" w:w="51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Base64 encode + MySQL LONGTEXT column. No external file server dependency. Trade-off: larger DB row size.</w:t>
            </w:r>
          </w:p>
        </w:tc>
      </w:tr>
      <w:tr>
        <w:tc>
          <w:tcPr>
            <w:tcW w:type="dxa" w:w="42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Service Startup Ordering — services fail if Eureka is not ready</w:t>
            </w:r>
          </w:p>
        </w:tc>
        <w:tc>
          <w:tcPr>
            <w:tcW w:type="dxa" w:w="51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start-backend.bat launches Eureka first with a 28-second wait, then services sequentially with timed gaps to ensure Eureka registration completes before the gateway starts.</w:t>
            </w:r>
          </w:p>
        </w:tc>
      </w:tr>
    </w:tbl>
    <w:p>
      <w:pPr>
        <w:spacing w:after="0" w:before="0"/>
      </w:pPr>
      <w:r>
        <w:t xml:space="preserve"/>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10.  Development Tools &amp; Workflow</w:t>
      </w:r>
    </w:p>
    <w:p>
      <w:pPr>
        <w:pStyle w:val="Heading2"/>
        <w:spacing w:after="120" w:before="240"/>
      </w:pPr>
      <w:r>
        <w:rPr>
          <w:rFonts w:ascii="Calibri" w:cs="Calibri" w:eastAsia="Calibri" w:hAnsi="Calibri"/>
          <w:b/>
          <w:bCs/>
          <w:color w:val="2C4F7A"/>
          <w:sz w:val="26"/>
          <w:szCs w:val="26"/>
        </w:rPr>
        <w:t xml:space="preserve">10.1  Development Environment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Tool</w:t>
            </w:r>
          </w:p>
        </w:tc>
        <w:tc>
          <w:tcPr>
            <w:tcW w:type="dxa" w:w="65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Purpose</w:t>
            </w:r>
          </w:p>
        </w:tc>
      </w:tr>
      <w:tr>
        <w:tc>
          <w:tcPr>
            <w:tcW w:type="dxa" w:w="28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IntelliJ IDEA Ultimate</w:t>
            </w:r>
          </w:p>
        </w:tc>
        <w:tc>
          <w:tcPr>
            <w:tcW w:type="dxa" w:w="65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Primary Java IDE — Spring Boot run configs, debugger, database tools, built-in HTTP client</w:t>
            </w:r>
          </w:p>
        </w:tc>
      </w:tr>
      <w:tr>
        <w:tc>
          <w:tcPr>
            <w:tcW w:type="dxa" w:w="28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Postman</w:t>
            </w:r>
          </w:p>
        </w:tc>
        <w:tc>
          <w:tcPr>
            <w:tcW w:type="dxa" w:w="65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API testing — DepositCoreX environment with base_url and token variables, collection of all endpoints</w:t>
            </w:r>
          </w:p>
        </w:tc>
      </w:tr>
      <w:tr>
        <w:tc>
          <w:tcPr>
            <w:tcW w:type="dxa" w:w="28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MySQL Workbench</w:t>
            </w:r>
          </w:p>
        </w:tc>
        <w:tc>
          <w:tcPr>
            <w:tcW w:type="dxa" w:w="65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Database management — schema inspection, query execution, ER diagrams for all 8 databases</w:t>
            </w:r>
          </w:p>
        </w:tc>
      </w:tr>
      <w:tr>
        <w:tc>
          <w:tcPr>
            <w:tcW w:type="dxa" w:w="28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Git</w:t>
            </w:r>
          </w:p>
        </w:tc>
        <w:tc>
          <w:tcPr>
            <w:tcW w:type="dxa" w:w="65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Version control — branching strategy, commit history, collaborative development</w:t>
            </w:r>
          </w:p>
        </w:tc>
      </w:tr>
      <w:tr>
        <w:tc>
          <w:tcPr>
            <w:tcW w:type="dxa" w:w="28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VS Code</w:t>
            </w:r>
          </w:p>
        </w:tc>
        <w:tc>
          <w:tcPr>
            <w:tcW w:type="dxa" w:w="65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Frontend development alternative — Tailwind IntelliSense, React snippets, Vite integration</w:t>
            </w:r>
          </w:p>
        </w:tc>
      </w:tr>
    </w:tbl>
    <w:p>
      <w:pPr>
        <w:spacing w:after="0" w:before="0"/>
      </w:pPr>
      <w:r>
        <w:t xml:space="preserve"/>
      </w:r>
    </w:p>
    <w:p>
      <w:pPr>
        <w:pStyle w:val="Heading2"/>
        <w:spacing w:after="120" w:before="240"/>
      </w:pPr>
      <w:r>
        <w:rPr>
          <w:rFonts w:ascii="Calibri" w:cs="Calibri" w:eastAsia="Calibri" w:hAnsi="Calibri"/>
          <w:b/>
          <w:bCs/>
          <w:color w:val="2C4F7A"/>
          <w:sz w:val="26"/>
          <w:szCs w:val="26"/>
        </w:rPr>
        <w:t xml:space="preserve">10.2  Build &amp; Run Scripts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Script</w:t>
            </w:r>
          </w:p>
        </w:tc>
        <w:tc>
          <w:tcPr>
            <w:tcW w:type="dxa" w:w="67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Action</w:t>
            </w:r>
          </w:p>
        </w:tc>
      </w:tr>
      <w:tr>
        <w:tc>
          <w:tcPr>
            <w:tcW w:type="dxa" w:w="26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start-backend.bat</w:t>
            </w:r>
          </w:p>
        </w:tc>
        <w:tc>
          <w:tcPr>
            <w:tcW w:type="dxa" w:w="67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Launches all 10 backend services in color-coded terminal windows with timed startup sequence</w:t>
            </w:r>
          </w:p>
        </w:tc>
      </w:tr>
      <w:tr>
        <w:tc>
          <w:tcPr>
            <w:tcW w:type="dxa" w:w="26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start-all.bat</w:t>
            </w:r>
          </w:p>
        </w:tc>
        <w:tc>
          <w:tcPr>
            <w:tcW w:type="dxa" w:w="67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Full-stack launcher — opens all 11 processes and auto-opens browser at http://localhost:5173</w:t>
            </w:r>
          </w:p>
        </w:tc>
      </w:tr>
      <w:tr>
        <w:tc>
          <w:tcPr>
            <w:tcW w:type="dxa" w:w="260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mvn-install-all.bat</w:t>
            </w:r>
          </w:p>
        </w:tc>
        <w:tc>
          <w:tcPr>
            <w:tcW w:type="dxa" w:w="6760"/>
            <w:tcBorders>
              <w:top w:val="single" w:color="C8D8E8" w:sz="4"/>
              <w:left w:val="single" w:color="C8D8E8" w:sz="4"/>
              <w:bottom w:val="single" w:color="C8D8E8" w:sz="4"/>
              <w:right w:val="single" w:color="C8D8E8" w:sz="4"/>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Runs mvn clean install -DskipTests across all 10 services for initial build</w:t>
            </w:r>
          </w:p>
        </w:tc>
      </w:tr>
      <w:tr>
        <w:tc>
          <w:tcPr>
            <w:tcW w:type="dxa" w:w="260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npm run dev</w:t>
            </w:r>
          </w:p>
        </w:tc>
        <w:tc>
          <w:tcPr>
            <w:tcW w:type="dxa" w:w="6760"/>
            <w:tcBorders>
              <w:top w:val="single" w:color="C8D8E8" w:sz="4"/>
              <w:left w:val="single" w:color="C8D8E8" w:sz="4"/>
              <w:bottom w:val="single" w:color="C8D8E8" w:sz="4"/>
              <w:right w:val="single" w:color="C8D8E8" w:sz="4"/>
            </w:tcBorders>
            <w:shd w:fill="EEF2F7" w:val="clear"/>
            <w:tcMar>
              <w:top w:type="dxa" w:w="80"/>
              <w:left w:type="dxa" w:w="140"/>
              <w:bottom w:type="dxa" w:w="80"/>
              <w:right w:type="dxa" w:w="140"/>
            </w:tcMar>
          </w:tcPr>
          <w:p>
            <w:r>
              <w:rPr>
                <w:rFonts w:ascii="Calibri" w:cs="Calibri" w:eastAsia="Calibri" w:hAnsi="Calibri"/>
                <w:color w:val="1A1A1A"/>
                <w:sz w:val="20"/>
                <w:szCs w:val="20"/>
              </w:rPr>
              <w:t xml:space="preserve">Starts Vite dev server at :5173 with HMR — proxy configured to API Gateway at :9090</w:t>
            </w:r>
          </w:p>
        </w:tc>
      </w:tr>
    </w:tbl>
    <w:p>
      <w:pPr>
        <w:spacing w:after="0" w:before="0"/>
      </w:pPr>
      <w:r>
        <w:t xml:space="preserve"/>
      </w:r>
    </w:p>
    <w:p>
      <w:pPr>
        <w:pBdr>
          <w:bottom w:val="single" w:color="C8A86E" w:sz="4" w:space="1"/>
        </w:pBdr>
        <w:spacing w:after="120" w:before="120"/>
      </w:pPr>
      <w:r>
        <w:t xml:space="preserve"/>
      </w:r>
    </w:p>
    <w:p>
      <w:r>
        <w:br w:type="page"/>
      </w:r>
    </w:p>
    <w:p>
      <w:pPr>
        <w:pStyle w:val="Heading1"/>
        <w:spacing w:after="120" w:before="480"/>
      </w:pPr>
      <w:r>
        <w:rPr>
          <w:rFonts w:ascii="Calibri" w:cs="Calibri" w:eastAsia="Calibri" w:hAnsi="Calibri"/>
          <w:b/>
          <w:bCs/>
          <w:color w:val="1E3A5F"/>
          <w:sz w:val="32"/>
          <w:szCs w:val="32"/>
        </w:rPr>
        <w:t xml:space="preserve">11.  Conclusion</w:t>
      </w:r>
    </w:p>
    <w:p>
      <w:pPr>
        <w:spacing w:after="100" w:before="60"/>
      </w:pPr>
      <w:r>
        <w:rPr>
          <w:rFonts w:ascii="Calibri" w:cs="Calibri" w:eastAsia="Calibri" w:hAnsi="Calibri"/>
          <w:color w:val="1A1A1A"/>
          <w:sz w:val="22"/>
          <w:szCs w:val="22"/>
        </w:rPr>
        <w:t xml:space="preserve">DepositCoreX demonstrates a production-grade banking platform built on industry-standard technologies and proven architectural patterns. The microservices approach ensures each component — from customer onboarding to transaction processing — can be developed, deployed, and scaled independently without impacting other services.</w:t>
      </w:r>
    </w:p>
    <w:p>
      <w:pPr>
        <w:spacing w:after="100" w:before="60"/>
      </w:pPr>
      <w:r>
        <w:rPr>
          <w:rFonts w:ascii="Calibri" w:cs="Calibri" w:eastAsia="Calibri" w:hAnsi="Calibri"/>
          <w:color w:val="1A1A1A"/>
          <w:sz w:val="22"/>
          <w:szCs w:val="22"/>
        </w:rPr>
        <w:t xml:space="preserve">Spring Cloud provides robust service discovery and routing without configuration complexity: Eureka eliminates hardcoded service addresses, while the API Gateway provides a single, secure entry point with global CORS handling. The JWT-based stateless authentication model scales horizontally without session affinity requirements.</w:t>
      </w:r>
    </w:p>
    <w:p>
      <w:pPr>
        <w:spacing w:after="100" w:before="60"/>
      </w:pPr>
      <w:r>
        <w:rPr>
          <w:rFonts w:ascii="Calibri" w:cs="Calibri" w:eastAsia="Calibri" w:hAnsi="Calibri"/>
          <w:color w:val="1A1A1A"/>
          <w:sz w:val="22"/>
          <w:szCs w:val="22"/>
        </w:rPr>
        <w:t xml:space="preserve">The React 18 + Vite 5 frontend delivers a modern, responsive user experience with the White Peacock design system — gold, navy, and white — creating a premium banking aesthetic. The Peacock AI chatbot, profile photo upload, and role-specific dashboards demonstrate a complete end-to-end feature set.</w:t>
      </w:r>
    </w:p>
    <w:p>
      <w:pPr>
        <w:spacing w:after="80" w:before="200"/>
      </w:pPr>
      <w:r>
        <w:rPr>
          <w:rFonts w:ascii="Calibri" w:cs="Calibri" w:eastAsia="Calibri" w:hAnsi="Calibri"/>
          <w:b/>
          <w:bCs/>
          <w:color w:val="1E3A5F"/>
          <w:sz w:val="24"/>
          <w:szCs w:val="24"/>
        </w:rPr>
        <w:t xml:space="preserve">Future Roadmap</w:t>
      </w:r>
    </w:p>
    <w:p>
      <w:pPr>
        <w:pStyle w:val="ListParagraph"/>
        <w:numPr>
          <w:ilvl w:val="0"/>
          <w:numId w:val="2"/>
        </w:numPr>
        <w:spacing w:after="40" w:before="40"/>
      </w:pPr>
      <w:r>
        <w:rPr>
          <w:rFonts w:ascii="Calibri" w:cs="Calibri" w:eastAsia="Calibri" w:hAnsi="Calibri"/>
          <w:color w:val="1A1A1A"/>
          <w:sz w:val="22"/>
          <w:szCs w:val="22"/>
        </w:rPr>
        <w:t xml:space="preserve">Docker containerization — each microservice packaged as a Docker image</w:t>
      </w:r>
    </w:p>
    <w:p>
      <w:pPr>
        <w:pStyle w:val="ListParagraph"/>
        <w:numPr>
          <w:ilvl w:val="0"/>
          <w:numId w:val="2"/>
        </w:numPr>
        <w:spacing w:after="40" w:before="40"/>
      </w:pPr>
      <w:r>
        <w:rPr>
          <w:rFonts w:ascii="Calibri" w:cs="Calibri" w:eastAsia="Calibri" w:hAnsi="Calibri"/>
          <w:color w:val="1A1A1A"/>
          <w:sz w:val="22"/>
          <w:szCs w:val="22"/>
        </w:rPr>
        <w:t xml:space="preserve">Kubernetes orchestration — pod scaling, rolling updates, health probes</w:t>
      </w:r>
    </w:p>
    <w:p>
      <w:pPr>
        <w:pStyle w:val="ListParagraph"/>
        <w:numPr>
          <w:ilvl w:val="0"/>
          <w:numId w:val="2"/>
        </w:numPr>
        <w:spacing w:after="40" w:before="40"/>
      </w:pPr>
      <w:r>
        <w:rPr>
          <w:rFonts w:ascii="Calibri" w:cs="Calibri" w:eastAsia="Calibri" w:hAnsi="Calibri"/>
          <w:color w:val="1A1A1A"/>
          <w:sz w:val="22"/>
          <w:szCs w:val="22"/>
        </w:rPr>
        <w:t xml:space="preserve">Cloud deployment — AWS EKS or Azure AKS for production</w:t>
      </w:r>
    </w:p>
    <w:p>
      <w:pPr>
        <w:pStyle w:val="ListParagraph"/>
        <w:numPr>
          <w:ilvl w:val="0"/>
          <w:numId w:val="2"/>
        </w:numPr>
        <w:spacing w:after="40" w:before="40"/>
      </w:pPr>
      <w:r>
        <w:rPr>
          <w:rFonts w:ascii="Calibri" w:cs="Calibri" w:eastAsia="Calibri" w:hAnsi="Calibri"/>
          <w:color w:val="1A1A1A"/>
          <w:sz w:val="22"/>
          <w:szCs w:val="22"/>
        </w:rPr>
        <w:t xml:space="preserve">Kafka event streaming — replace synchronous REST calls with async events</w:t>
      </w:r>
    </w:p>
    <w:p>
      <w:pPr>
        <w:pStyle w:val="ListParagraph"/>
        <w:numPr>
          <w:ilvl w:val="0"/>
          <w:numId w:val="2"/>
        </w:numPr>
        <w:spacing w:after="40" w:before="40"/>
      </w:pPr>
      <w:r>
        <w:rPr>
          <w:rFonts w:ascii="Calibri" w:cs="Calibri" w:eastAsia="Calibri" w:hAnsi="Calibri"/>
          <w:color w:val="1A1A1A"/>
          <w:sz w:val="22"/>
          <w:szCs w:val="22"/>
        </w:rPr>
        <w:t xml:space="preserve">Redis caching — token blacklisting, session cache, rate limiting</w:t>
      </w:r>
    </w:p>
    <w:p>
      <w:pPr>
        <w:pStyle w:val="ListParagraph"/>
        <w:numPr>
          <w:ilvl w:val="0"/>
          <w:numId w:val="2"/>
        </w:numPr>
        <w:spacing w:after="40" w:before="40"/>
      </w:pPr>
      <w:r>
        <w:rPr>
          <w:rFonts w:ascii="Calibri" w:cs="Calibri" w:eastAsia="Calibri" w:hAnsi="Calibri"/>
          <w:color w:val="1A1A1A"/>
          <w:sz w:val="22"/>
          <w:szCs w:val="22"/>
        </w:rPr>
        <w:t xml:space="preserve">OAuth2 / OpenID Connect — external identity provider integration</w:t>
      </w:r>
    </w:p>
    <w:p>
      <w:pPr>
        <w:pStyle w:val="ListParagraph"/>
        <w:numPr>
          <w:ilvl w:val="0"/>
          <w:numId w:val="2"/>
        </w:numPr>
        <w:spacing w:after="40" w:before="40"/>
      </w:pPr>
      <w:r>
        <w:rPr>
          <w:rFonts w:ascii="Calibri" w:cs="Calibri" w:eastAsia="Calibri" w:hAnsi="Calibri"/>
          <w:color w:val="1A1A1A"/>
          <w:sz w:val="22"/>
          <w:szCs w:val="22"/>
        </w:rPr>
        <w:t xml:space="preserve">API versioning — /api/v2 endpoints for backward compatibility</w:t>
      </w:r>
    </w:p>
    <w:p>
      <w:pPr>
        <w:spacing w:after="0" w:before="0"/>
      </w:pPr>
      <w:r>
        <w:t xml:space="preserve"/>
      </w:r>
    </w:p>
    <w:p>
      <w:pPr>
        <w:spacing w:after="0" w:before="0"/>
      </w:pPr>
      <w:r>
        <w:t xml:space="preserve"/>
      </w:r>
    </w:p>
    <w:p>
      <w:pPr>
        <w:pBdr>
          <w:bottom w:val="single" w:color="C8A86E" w:sz="4" w:space="1"/>
        </w:pBdr>
        <w:spacing w:after="120" w:before="120"/>
      </w:pPr>
      <w:r>
        <w:t xml:space="preserve"/>
      </w:r>
    </w:p>
    <w:p>
      <w:pPr>
        <w:spacing w:after="0" w:before="0"/>
      </w:pPr>
      <w:r>
        <w:t xml:space="preserve"/>
      </w:r>
    </w:p>
    <w:p>
      <w:pPr>
        <w:jc w:val="center"/>
      </w:pPr>
      <w:r>
        <w:rPr>
          <w:rFonts w:ascii="Calibri" w:cs="Calibri" w:eastAsia="Calibri" w:hAnsi="Calibri"/>
          <w:color w:val="475569"/>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6E" w:sz="4" w:space="1"/>
      </w:pBdr>
    </w:pPr>
    <w:r>
      <w:rPr>
        <w:rFonts w:ascii="Calibri" w:cs="Calibri" w:eastAsia="Calibri" w:hAnsi="Calibri"/>
        <w:color w:val="475569"/>
        <w:sz w:val="16"/>
        <w:szCs w:val="16"/>
      </w:rPr>
      <w:t xml:space="preserve">DepositCoreX Banking Platform — Technology Report | Version 1.0</w:t>
    </w:r>
    <w:r>
      <w:rPr>
        <w:rFonts w:ascii="Calibri" w:cs="Calibri" w:eastAsia="Calibri" w:hAnsi="Calibri"/>
        <w:color w:val="475569"/>
        <w:sz w:val="16"/>
        <w:szCs w:val="16"/>
      </w:rPr>
      <w:t xml:space="preserve">   Page </w:t>
    </w:r>
    <w:r>
      <w:rPr>
        <w:rFonts w:ascii="Calibri" w:cs="Calibri" w:eastAsia="Calibri" w:hAnsi="Calibri"/>
        <w:color w:val="1E3A5F"/>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color w:val="1E3A5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6E" w:sz="4" w:space="1"/>
      </w:pBdr>
      <w:tabs>
        <w:tab w:val="right" w:pos="8360"/>
      </w:tabs>
    </w:pPr>
    <w:r>
      <w:rPr>
        <w:rFonts w:ascii="Calibri" w:cs="Calibri" w:eastAsia="Calibri" w:hAnsi="Calibri"/>
        <w:color w:val="475569"/>
        <w:sz w:val="18"/>
        <w:szCs w:val="18"/>
      </w:rPr>
      <w:t xml:space="preserve">DepositCoreX Banking Platform  ·  Technology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C4F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2026-05-27T08:39:54.465Z</dcterms:created>
  <dcterms:modified xsi:type="dcterms:W3CDTF">2026-05-27T08:39:54.468Z</dcterms:modified>
</cp:coreProperties>
</file>

<file path=docProps/custom.xml><?xml version="1.0" encoding="utf-8"?>
<Properties xmlns="http://schemas.openxmlformats.org/officeDocument/2006/custom-properties" xmlns:vt="http://schemas.openxmlformats.org/officeDocument/2006/docPropsVTypes"/>
</file>