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Sarvaex API Definitions and Corrections</w:t>
      </w:r>
    </w:p>
    <w:p>
      <w:pPr>
        <w:pStyle w:val="Subtitle"/>
      </w:pPr>
      <w:r>
        <w:t>Binary and futures trading</w:t>
      </w:r>
    </w:p>
    <w:p>
      <w:r>
        <w:t>26 September 2026   |   Version 1.0   |   Proposed specification</w:t>
      </w:r>
    </w:p>
    <w:p>
      <w:r>
        <w:t>We need consistent definitions across order entry, matching, portfolio accounting, market data and client recovery. This document sets out eight corrections to the current API contract, explains the trading consequences, and specifies the behavior the backend team should confirm or implement.</w:t>
      </w:r>
    </w:p>
    <w:p>
      <w:r>
        <w:t>The binary examples include our single-book convention and the distinction between selling an existing NO position and selling NO to open YES exposure. Futures retain their own price units, contract multipliers and risk rules.</w:t>
      </w:r>
    </w:p>
    <w:p>
      <w:pPr>
        <w:pStyle w:val="Heading2"/>
      </w:pPr>
      <w:r>
        <w:t>How to use this document</w:t>
      </w:r>
    </w:p>
    <w:p>
      <w:r>
        <w:t>“Documented” refers to the current API.md. “Proposed” identifies a recommended definition, field or behavior. Acceptance criteria describe tests the backend team should execute; they are not reports of completed backend testing. A documentation ambiguity does not establish a backend defect.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936"/>
        <w:gridCol w:w="4464"/>
        <w:gridCol w:w="4594"/>
      </w:tblGrid>
      <w:tr>
        <w:trPr>
          <w:cantSplit/>
          <w:tblHeader/>
        </w:trPr>
        <w:tc>
          <w:tcPr>
            <w:tcW w:type="dxa" w:w="936"/>
            <w:vAlign w:val="center"/>
            <w:shd w:fill="333333"/>
          </w:tcPr>
          <w:p>
            <w:pPr>
              <w:spacing w:before="0" w:after="0" w:line="252" w:lineRule="auto"/>
              <w:jc w:val="center"/>
            </w:pPr>
            <w:r>
              <w:rPr>
                <w:rFonts w:ascii="Arial" w:hAnsi="Arial"/>
                <w:b/>
                <w:color w:val="FFFFFF"/>
                <w:sz w:val="20"/>
              </w:rPr>
              <w:t>Issue</w:t>
            </w:r>
          </w:p>
        </w:tc>
        <w:tc>
          <w:tcPr>
            <w:tcW w:type="dxa" w:w="4464"/>
            <w:vAlign w:val="center"/>
            <w:shd w:fill="333333"/>
          </w:tcPr>
          <w:p>
            <w:pPr>
              <w:spacing w:before="0" w:after="0" w:line="252" w:lineRule="auto"/>
              <w:jc w:val="left"/>
            </w:pPr>
            <w:r>
              <w:rPr>
                <w:rFonts w:ascii="Arial" w:hAnsi="Arial"/>
                <w:b/>
                <w:color w:val="FFFFFF"/>
                <w:sz w:val="20"/>
              </w:rPr>
              <w:t>Definition to settle</w:t>
            </w:r>
          </w:p>
        </w:tc>
        <w:tc>
          <w:tcPr>
            <w:tcW w:type="dxa" w:w="4594"/>
            <w:vAlign w:val="center"/>
            <w:shd w:fill="333333"/>
          </w:tcPr>
          <w:p>
            <w:pPr>
              <w:spacing w:before="0" w:after="0" w:line="252" w:lineRule="auto"/>
              <w:jc w:val="left"/>
            </w:pPr>
            <w:r>
              <w:rPr>
                <w:rFonts w:ascii="Arial" w:hAnsi="Arial"/>
                <w:b/>
                <w:color w:val="FFFFFF"/>
                <w:sz w:val="20"/>
              </w:rPr>
              <w:t>Primary consequence</w:t>
            </w:r>
          </w:p>
        </w:tc>
      </w:tr>
      <w:tr>
        <w:trPr>
          <w:cantSplit/>
        </w:trPr>
        <w:tc>
          <w:tcPr>
            <w:tcW w:type="dxa" w:w="936"/>
            <w:vAlign w:val="center"/>
            <w:shd w:fill="FFFFFF"/>
          </w:tcPr>
          <w:p>
            <w:pPr>
              <w:spacing w:before="0" w:after="0" w:line="252" w:lineRule="auto"/>
              <w:jc w:val="center"/>
            </w:pPr>
            <w:r>
              <w:rPr>
                <w:rFonts w:ascii="Arial" w:hAnsi="Arial"/>
                <w:b w:val="0"/>
                <w:color w:val="000000"/>
                <w:sz w:val="20"/>
              </w:rPr>
              <w:t>1</w:t>
            </w:r>
          </w:p>
        </w:tc>
        <w:tc>
          <w:tcPr>
            <w:tcW w:type="dxa" w:w="4464"/>
            <w:vAlign w:val="center"/>
            <w:shd w:fill="FFFFFF"/>
          </w:tcPr>
          <w:p>
            <w:pPr>
              <w:spacing w:before="0" w:after="0" w:line="252" w:lineRule="auto"/>
              <w:jc w:val="left"/>
            </w:pPr>
            <w:r>
              <w:rPr>
                <w:rFonts w:ascii="Arial" w:hAnsi="Arial"/>
                <w:b w:val="0"/>
                <w:color w:val="000000"/>
                <w:sz w:val="20"/>
              </w:rPr>
              <w:t>Binary direction and price convention</w:t>
            </w:r>
          </w:p>
        </w:tc>
        <w:tc>
          <w:tcPr>
            <w:tcW w:type="dxa" w:w="4594"/>
            <w:vAlign w:val="center"/>
            <w:shd w:fill="FFFFFF"/>
          </w:tcPr>
          <w:p>
            <w:pPr>
              <w:spacing w:before="0" w:after="0" w:line="252" w:lineRule="auto"/>
              <w:jc w:val="left"/>
            </w:pPr>
            <w:r>
              <w:rPr>
                <w:rFonts w:ascii="Arial" w:hAnsi="Arial"/>
                <w:b w:val="0"/>
                <w:color w:val="000000"/>
                <w:sz w:val="20"/>
              </w:rPr>
              <w:t>Correct matching, positions and collateral</w:t>
            </w:r>
          </w:p>
        </w:tc>
      </w:tr>
      <w:tr>
        <w:trPr>
          <w:cantSplit/>
        </w:trPr>
        <w:tc>
          <w:tcPr>
            <w:tcW w:type="dxa" w:w="936"/>
            <w:vAlign w:val="center"/>
            <w:shd w:fill="F4F5F6"/>
          </w:tcPr>
          <w:p>
            <w:pPr>
              <w:spacing w:before="0" w:after="0" w:line="252" w:lineRule="auto"/>
              <w:jc w:val="center"/>
            </w:pPr>
            <w:r>
              <w:rPr>
                <w:rFonts w:ascii="Arial" w:hAnsi="Arial"/>
                <w:b w:val="0"/>
                <w:color w:val="000000"/>
                <w:sz w:val="20"/>
              </w:rPr>
              <w:t>2</w:t>
            </w:r>
          </w:p>
        </w:tc>
        <w:tc>
          <w:tcPr>
            <w:tcW w:type="dxa" w:w="4464"/>
            <w:vAlign w:val="center"/>
            <w:shd w:fill="F4F5F6"/>
          </w:tcPr>
          <w:p>
            <w:pPr>
              <w:spacing w:before="0" w:after="0" w:line="252" w:lineRule="auto"/>
              <w:jc w:val="left"/>
            </w:pPr>
            <w:r>
              <w:rPr>
                <w:rFonts w:ascii="Arial" w:hAnsi="Arial"/>
                <w:b w:val="0"/>
                <w:color w:val="000000"/>
                <w:sz w:val="20"/>
              </w:rPr>
              <w:t>Order quantities after cancellation</w:t>
            </w:r>
          </w:p>
        </w:tc>
        <w:tc>
          <w:tcPr>
            <w:tcW w:type="dxa" w:w="4594"/>
            <w:vAlign w:val="center"/>
            <w:shd w:fill="F4F5F6"/>
          </w:tcPr>
          <w:p>
            <w:pPr>
              <w:spacing w:before="0" w:after="0" w:line="252" w:lineRule="auto"/>
              <w:jc w:val="left"/>
            </w:pPr>
            <w:r>
              <w:rPr>
                <w:rFonts w:ascii="Arial" w:hAnsi="Arial"/>
                <w:b w:val="0"/>
                <w:color w:val="000000"/>
                <w:sz w:val="20"/>
              </w:rPr>
              <w:t>Reliable executable quantity and cash release</w:t>
            </w:r>
          </w:p>
        </w:tc>
      </w:tr>
      <w:tr>
        <w:trPr>
          <w:cantSplit/>
        </w:trPr>
        <w:tc>
          <w:tcPr>
            <w:tcW w:type="dxa" w:w="936"/>
            <w:vAlign w:val="center"/>
            <w:shd w:fill="FFFFFF"/>
          </w:tcPr>
          <w:p>
            <w:pPr>
              <w:spacing w:before="0" w:after="0" w:line="252" w:lineRule="auto"/>
              <w:jc w:val="center"/>
            </w:pPr>
            <w:r>
              <w:rPr>
                <w:rFonts w:ascii="Arial" w:hAnsi="Arial"/>
                <w:b w:val="0"/>
                <w:color w:val="000000"/>
                <w:sz w:val="20"/>
              </w:rPr>
              <w:t>3</w:t>
            </w:r>
          </w:p>
        </w:tc>
        <w:tc>
          <w:tcPr>
            <w:tcW w:type="dxa" w:w="4464"/>
            <w:vAlign w:val="center"/>
            <w:shd w:fill="FFFFFF"/>
          </w:tcPr>
          <w:p>
            <w:pPr>
              <w:spacing w:before="0" w:after="0" w:line="252" w:lineRule="auto"/>
              <w:jc w:val="left"/>
            </w:pPr>
            <w:r>
              <w:rPr>
                <w:rFonts w:ascii="Arial" w:hAnsi="Arial"/>
                <w:b w:val="0"/>
                <w:color w:val="000000"/>
                <w:sz w:val="20"/>
              </w:rPr>
              <w:t>Open interest counting</w:t>
            </w:r>
          </w:p>
        </w:tc>
        <w:tc>
          <w:tcPr>
            <w:tcW w:type="dxa" w:w="4594"/>
            <w:vAlign w:val="center"/>
            <w:shd w:fill="FFFFFF"/>
          </w:tcPr>
          <w:p>
            <w:pPr>
              <w:spacing w:before="0" w:after="0" w:line="252" w:lineRule="auto"/>
              <w:jc w:val="left"/>
            </w:pPr>
            <w:r>
              <w:rPr>
                <w:rFonts w:ascii="Arial" w:hAnsi="Arial"/>
                <w:b w:val="0"/>
                <w:color w:val="000000"/>
                <w:sz w:val="20"/>
              </w:rPr>
              <w:t>Consistent market statistics</w:t>
            </w:r>
          </w:p>
        </w:tc>
      </w:tr>
      <w:tr>
        <w:trPr>
          <w:cantSplit/>
        </w:trPr>
        <w:tc>
          <w:tcPr>
            <w:tcW w:type="dxa" w:w="936"/>
            <w:vAlign w:val="center"/>
            <w:shd w:fill="F4F5F6"/>
          </w:tcPr>
          <w:p>
            <w:pPr>
              <w:spacing w:before="0" w:after="0" w:line="252" w:lineRule="auto"/>
              <w:jc w:val="center"/>
            </w:pPr>
            <w:r>
              <w:rPr>
                <w:rFonts w:ascii="Arial" w:hAnsi="Arial"/>
                <w:b w:val="0"/>
                <w:color w:val="000000"/>
                <w:sz w:val="20"/>
              </w:rPr>
              <w:t>4</w:t>
            </w:r>
          </w:p>
        </w:tc>
        <w:tc>
          <w:tcPr>
            <w:tcW w:type="dxa" w:w="4464"/>
            <w:vAlign w:val="center"/>
            <w:shd w:fill="F4F5F6"/>
          </w:tcPr>
          <w:p>
            <w:pPr>
              <w:spacing w:before="0" w:after="0" w:line="252" w:lineRule="auto"/>
              <w:jc w:val="left"/>
            </w:pPr>
            <w:r>
              <w:rPr>
                <w:rFonts w:ascii="Arial" w:hAnsi="Arial"/>
                <w:b w:val="0"/>
                <w:color w:val="000000"/>
                <w:sz w:val="20"/>
              </w:rPr>
              <w:t>Position filtering and closed positions</w:t>
            </w:r>
          </w:p>
        </w:tc>
        <w:tc>
          <w:tcPr>
            <w:tcW w:type="dxa" w:w="4594"/>
            <w:vAlign w:val="center"/>
            <w:shd w:fill="F4F5F6"/>
          </w:tcPr>
          <w:p>
            <w:pPr>
              <w:spacing w:before="0" w:after="0" w:line="252" w:lineRule="auto"/>
              <w:jc w:val="left"/>
            </w:pPr>
            <w:r>
              <w:rPr>
                <w:rFonts w:ascii="Arial" w:hAnsi="Arial"/>
                <w:b w:val="0"/>
                <w:color w:val="000000"/>
                <w:sz w:val="20"/>
              </w:rPr>
              <w:t>Accurate portfolio visibility</w:t>
            </w:r>
          </w:p>
        </w:tc>
      </w:tr>
      <w:tr>
        <w:trPr>
          <w:cantSplit/>
        </w:trPr>
        <w:tc>
          <w:tcPr>
            <w:tcW w:type="dxa" w:w="936"/>
            <w:vAlign w:val="center"/>
            <w:shd w:fill="FFFFFF"/>
          </w:tcPr>
          <w:p>
            <w:pPr>
              <w:spacing w:before="0" w:after="0" w:line="252" w:lineRule="auto"/>
              <w:jc w:val="center"/>
            </w:pPr>
            <w:r>
              <w:rPr>
                <w:rFonts w:ascii="Arial" w:hAnsi="Arial"/>
                <w:b w:val="0"/>
                <w:color w:val="000000"/>
                <w:sz w:val="20"/>
              </w:rPr>
              <w:t>5</w:t>
            </w:r>
          </w:p>
        </w:tc>
        <w:tc>
          <w:tcPr>
            <w:tcW w:type="dxa" w:w="4464"/>
            <w:vAlign w:val="center"/>
            <w:shd w:fill="FFFFFF"/>
          </w:tcPr>
          <w:p>
            <w:pPr>
              <w:spacing w:before="0" w:after="0" w:line="252" w:lineRule="auto"/>
              <w:jc w:val="left"/>
            </w:pPr>
            <w:r>
              <w:rPr>
                <w:rFonts w:ascii="Arial" w:hAnsi="Arial"/>
                <w:b w:val="0"/>
                <w:color w:val="000000"/>
                <w:sz w:val="20"/>
              </w:rPr>
              <w:t>WebSocket sequencing and recovery</w:t>
            </w:r>
          </w:p>
        </w:tc>
        <w:tc>
          <w:tcPr>
            <w:tcW w:type="dxa" w:w="4594"/>
            <w:vAlign w:val="center"/>
            <w:shd w:fill="FFFFFF"/>
          </w:tcPr>
          <w:p>
            <w:pPr>
              <w:spacing w:before="0" w:after="0" w:line="252" w:lineRule="auto"/>
              <w:jc w:val="left"/>
            </w:pPr>
            <w:r>
              <w:rPr>
                <w:rFonts w:ascii="Arial" w:hAnsi="Arial"/>
                <w:b w:val="0"/>
                <w:color w:val="000000"/>
                <w:sz w:val="20"/>
              </w:rPr>
              <w:t>A reconstructable local order book</w:t>
            </w:r>
          </w:p>
        </w:tc>
      </w:tr>
      <w:tr>
        <w:trPr>
          <w:cantSplit/>
        </w:trPr>
        <w:tc>
          <w:tcPr>
            <w:tcW w:type="dxa" w:w="936"/>
            <w:vAlign w:val="center"/>
            <w:shd w:fill="F4F5F6"/>
          </w:tcPr>
          <w:p>
            <w:pPr>
              <w:spacing w:before="0" w:after="0" w:line="252" w:lineRule="auto"/>
              <w:jc w:val="center"/>
            </w:pPr>
            <w:r>
              <w:rPr>
                <w:rFonts w:ascii="Arial" w:hAnsi="Arial"/>
                <w:b w:val="0"/>
                <w:color w:val="000000"/>
                <w:sz w:val="20"/>
              </w:rPr>
              <w:t>6</w:t>
            </w:r>
          </w:p>
        </w:tc>
        <w:tc>
          <w:tcPr>
            <w:tcW w:type="dxa" w:w="4464"/>
            <w:vAlign w:val="center"/>
            <w:shd w:fill="F4F5F6"/>
          </w:tcPr>
          <w:p>
            <w:pPr>
              <w:spacing w:before="0" w:after="0" w:line="252" w:lineRule="auto"/>
              <w:jc w:val="left"/>
            </w:pPr>
            <w:r>
              <w:rPr>
                <w:rFonts w:ascii="Arial" w:hAnsi="Arial"/>
                <w:b w:val="0"/>
                <w:color w:val="000000"/>
                <w:sz w:val="20"/>
              </w:rPr>
              <w:t>Idempotency under retries and failures</w:t>
            </w:r>
          </w:p>
        </w:tc>
        <w:tc>
          <w:tcPr>
            <w:tcW w:type="dxa" w:w="4594"/>
            <w:vAlign w:val="center"/>
            <w:shd w:fill="F4F5F6"/>
          </w:tcPr>
          <w:p>
            <w:pPr>
              <w:spacing w:before="0" w:after="0" w:line="252" w:lineRule="auto"/>
              <w:jc w:val="left"/>
            </w:pPr>
            <w:r>
              <w:rPr>
                <w:rFonts w:ascii="Arial" w:hAnsi="Arial"/>
                <w:b w:val="0"/>
                <w:color w:val="000000"/>
                <w:sz w:val="20"/>
              </w:rPr>
              <w:t>No duplicate orders or financial effects</w:t>
            </w:r>
          </w:p>
        </w:tc>
      </w:tr>
      <w:tr>
        <w:trPr>
          <w:cantSplit/>
        </w:trPr>
        <w:tc>
          <w:tcPr>
            <w:tcW w:type="dxa" w:w="936"/>
            <w:vAlign w:val="center"/>
            <w:shd w:fill="FFFFFF"/>
          </w:tcPr>
          <w:p>
            <w:pPr>
              <w:spacing w:before="0" w:after="0" w:line="252" w:lineRule="auto"/>
              <w:jc w:val="center"/>
            </w:pPr>
            <w:r>
              <w:rPr>
                <w:rFonts w:ascii="Arial" w:hAnsi="Arial"/>
                <w:b w:val="0"/>
                <w:color w:val="000000"/>
                <w:sz w:val="20"/>
              </w:rPr>
              <w:t>7</w:t>
            </w:r>
          </w:p>
        </w:tc>
        <w:tc>
          <w:tcPr>
            <w:tcW w:type="dxa" w:w="4464"/>
            <w:vAlign w:val="center"/>
            <w:shd w:fill="FFFFFF"/>
          </w:tcPr>
          <w:p>
            <w:pPr>
              <w:spacing w:before="0" w:after="0" w:line="252" w:lineRule="auto"/>
              <w:jc w:val="left"/>
            </w:pPr>
            <w:r>
              <w:rPr>
                <w:rFonts w:ascii="Arial" w:hAnsi="Arial"/>
                <w:b w:val="0"/>
                <w:color w:val="000000"/>
                <w:sz w:val="20"/>
              </w:rPr>
              <w:t>Execution flags and their interactions</w:t>
            </w:r>
          </w:p>
        </w:tc>
        <w:tc>
          <w:tcPr>
            <w:tcW w:type="dxa" w:w="4594"/>
            <w:vAlign w:val="center"/>
            <w:shd w:fill="FFFFFF"/>
          </w:tcPr>
          <w:p>
            <w:pPr>
              <w:spacing w:before="0" w:after="0" w:line="252" w:lineRule="auto"/>
              <w:jc w:val="left"/>
            </w:pPr>
            <w:r>
              <w:rPr>
                <w:rFonts w:ascii="Arial" w:hAnsi="Arial"/>
                <w:b w:val="0"/>
                <w:color w:val="000000"/>
                <w:sz w:val="20"/>
              </w:rPr>
              <w:t>Predictable matching and risk enforcement</w:t>
            </w:r>
          </w:p>
        </w:tc>
      </w:tr>
      <w:tr>
        <w:trPr>
          <w:cantSplit/>
        </w:trPr>
        <w:tc>
          <w:tcPr>
            <w:tcW w:type="dxa" w:w="936"/>
            <w:vAlign w:val="center"/>
            <w:shd w:fill="F4F5F6"/>
          </w:tcPr>
          <w:p>
            <w:pPr>
              <w:spacing w:before="0" w:after="0" w:line="252" w:lineRule="auto"/>
              <w:jc w:val="center"/>
            </w:pPr>
            <w:r>
              <w:rPr>
                <w:rFonts w:ascii="Arial" w:hAnsi="Arial"/>
                <w:b w:val="0"/>
                <w:color w:val="000000"/>
                <w:sz w:val="20"/>
              </w:rPr>
              <w:t>8</w:t>
            </w:r>
          </w:p>
        </w:tc>
        <w:tc>
          <w:tcPr>
            <w:tcW w:type="dxa" w:w="4464"/>
            <w:vAlign w:val="center"/>
            <w:shd w:fill="F4F5F6"/>
          </w:tcPr>
          <w:p>
            <w:pPr>
              <w:spacing w:before="0" w:after="0" w:line="252" w:lineRule="auto"/>
              <w:jc w:val="left"/>
            </w:pPr>
            <w:r>
              <w:rPr>
                <w:rFonts w:ascii="Arial" w:hAnsi="Arial"/>
                <w:b w:val="0"/>
                <w:color w:val="000000"/>
                <w:sz w:val="20"/>
              </w:rPr>
              <w:t>Product-specific price validation</w:t>
            </w:r>
          </w:p>
        </w:tc>
        <w:tc>
          <w:tcPr>
            <w:tcW w:type="dxa" w:w="4594"/>
            <w:vAlign w:val="center"/>
            <w:shd w:fill="F4F5F6"/>
          </w:tcPr>
          <w:p>
            <w:pPr>
              <w:spacing w:before="0" w:after="0" w:line="252" w:lineRule="auto"/>
              <w:jc w:val="left"/>
            </w:pPr>
            <w:r>
              <w:rPr>
                <w:rFonts w:ascii="Arial" w:hAnsi="Arial"/>
                <w:b w:val="0"/>
                <w:color w:val="000000"/>
                <w:sz w:val="20"/>
              </w:rPr>
              <w:t>Correct binary and futures order acceptance</w:t>
            </w:r>
          </w:p>
        </w:tc>
      </w:tr>
    </w:tbl>
    <w:p>
      <w:pPr>
        <w:spacing w:after="0" w:before="0" w:line="240" w:lineRule="auto"/>
      </w:pPr>
      <w:r>
        <w:rPr>
          <w:sz w:val="6"/>
        </w:rPr>
      </w:r>
    </w:p>
    <w:p>
      <w:r>
        <w:t>Backend work should start with direction and price normalization, quantity lifecycle, recovery sequencing, and idempotency. These definitions are dependencies for execution flags and client reconciliation. Reporting corrections can proceed alongside them.</w:t>
      </w:r>
    </w:p>
    <w:p>
      <w:r>
        <w:t>Sources are identified as [1] to [9] and listed at the end. JSON excerpts marked proposed illustrate the intended contract; they do not advertise currently available fields or endpoints.</w:t>
      </w:r>
    </w:p>
    <w:p>
      <w:pPr>
        <w:pStyle w:val="Heading1"/>
        <w:pageBreakBefore/>
      </w:pPr>
      <w:r>
        <w:t>1 Binary order direction and prices</w:t>
      </w:r>
    </w:p>
    <w:p>
      <w:r>
        <w:t>Documented behavior. POST /v1/orders accepts side YES or NO and action BUY or SELL. The book returns bids and asks, while the price explanation says binary prices normally represent cents. It does not explicitly state one price basis for every book, fill and order response. [1]</w:t>
      </w:r>
    </w:p>
    <w:p>
      <w:pPr>
        <w:pStyle w:val="Heading2"/>
      </w:pPr>
      <w:r>
        <w:t>Use one YES price scale for the matching book</w:t>
      </w:r>
    </w:p>
    <w:p>
      <w:r>
        <w:t>Proposed definition. Every binary book level is quoted in YES price units. YES-direction orders are bids; NO-direction orders are asks. Selling reverses the direction of the named outcome. The following instructions use a $1 payout, represented by 100 price units. Kalshi documents the same directional equivalence and quotes its V2 event orders from the YES side. [2,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3600"/>
        <w:gridCol w:w="3168"/>
        <w:gridCol w:w="3226"/>
      </w:tblGrid>
      <w:tr>
        <w:trPr>
          <w:cantSplit/>
          <w:tblHeader/>
        </w:trPr>
        <w:tc>
          <w:tcPr>
            <w:tcW w:type="dxa" w:w="3600"/>
            <w:vAlign w:val="center"/>
            <w:shd w:fill="333333"/>
          </w:tcPr>
          <w:p>
            <w:pPr>
              <w:spacing w:before="0" w:after="0" w:line="252" w:lineRule="auto"/>
              <w:jc w:val="left"/>
            </w:pPr>
            <w:r>
              <w:rPr>
                <w:rFonts w:ascii="Arial" w:hAnsi="Arial"/>
                <w:b/>
                <w:color w:val="FFFFFF"/>
                <w:sz w:val="20"/>
              </w:rPr>
              <w:t>Submitted instruction</w:t>
            </w:r>
          </w:p>
        </w:tc>
        <w:tc>
          <w:tcPr>
            <w:tcW w:type="dxa" w:w="3168"/>
            <w:vAlign w:val="center"/>
            <w:shd w:fill="333333"/>
          </w:tcPr>
          <w:p>
            <w:pPr>
              <w:spacing w:before="0" w:after="0" w:line="252" w:lineRule="auto"/>
              <w:jc w:val="left"/>
            </w:pPr>
            <w:r>
              <w:rPr>
                <w:rFonts w:ascii="Arial" w:hAnsi="Arial"/>
                <w:b/>
                <w:color w:val="FFFFFF"/>
                <w:sz w:val="20"/>
              </w:rPr>
              <w:t>Canonical book order</w:t>
            </w:r>
          </w:p>
        </w:tc>
        <w:tc>
          <w:tcPr>
            <w:tcW w:type="dxa" w:w="3226"/>
            <w:vAlign w:val="center"/>
            <w:shd w:fill="333333"/>
          </w:tcPr>
          <w:p>
            <w:pPr>
              <w:spacing w:before="0" w:after="0" w:line="252" w:lineRule="auto"/>
              <w:jc w:val="center"/>
            </w:pPr>
            <w:r>
              <w:rPr>
                <w:rFonts w:ascii="Arial" w:hAnsi="Arial"/>
                <w:b/>
                <w:color w:val="FFFFFF"/>
                <w:sz w:val="20"/>
              </w:rPr>
              <w:t>Signed position change</w:t>
            </w:r>
          </w:p>
        </w:tc>
      </w:tr>
      <w:tr>
        <w:trPr>
          <w:cantSplit/>
        </w:trPr>
        <w:tc>
          <w:tcPr>
            <w:tcW w:type="dxa" w:w="3600"/>
            <w:vAlign w:val="center"/>
            <w:shd w:fill="FFFFFF"/>
          </w:tcPr>
          <w:p>
            <w:pPr>
              <w:spacing w:before="0" w:after="0" w:line="252" w:lineRule="auto"/>
              <w:jc w:val="left"/>
            </w:pPr>
            <w:r>
              <w:rPr>
                <w:rFonts w:ascii="Arial" w:hAnsi="Arial"/>
                <w:b w:val="0"/>
                <w:color w:val="000000"/>
                <w:sz w:val="20"/>
              </w:rPr>
              <w:t>BUY YES at 60</w:t>
            </w:r>
          </w:p>
        </w:tc>
        <w:tc>
          <w:tcPr>
            <w:tcW w:type="dxa" w:w="3168"/>
            <w:vAlign w:val="center"/>
            <w:shd w:fill="FFFFFF"/>
          </w:tcPr>
          <w:p>
            <w:pPr>
              <w:spacing w:before="0" w:after="0" w:line="252" w:lineRule="auto"/>
              <w:jc w:val="left"/>
            </w:pPr>
            <w:r>
              <w:rPr>
                <w:rFonts w:ascii="Arial" w:hAnsi="Arial"/>
                <w:b w:val="0"/>
                <w:color w:val="000000"/>
                <w:sz w:val="20"/>
              </w:rPr>
              <w:t>BID at 60</w:t>
            </w:r>
          </w:p>
        </w:tc>
        <w:tc>
          <w:tcPr>
            <w:tcW w:type="dxa" w:w="3226"/>
            <w:vAlign w:val="center"/>
            <w:shd w:fill="FFFFFF"/>
          </w:tcPr>
          <w:p>
            <w:pPr>
              <w:spacing w:before="0" w:after="0" w:line="252" w:lineRule="auto"/>
              <w:jc w:val="center"/>
            </w:pPr>
            <w:r>
              <w:rPr>
                <w:rFonts w:ascii="Arial" w:hAnsi="Arial"/>
                <w:b w:val="0"/>
                <w:color w:val="000000"/>
                <w:sz w:val="20"/>
              </w:rPr>
              <w:t>+ quantity</w:t>
            </w:r>
          </w:p>
        </w:tc>
      </w:tr>
      <w:tr>
        <w:trPr>
          <w:cantSplit/>
        </w:trPr>
        <w:tc>
          <w:tcPr>
            <w:tcW w:type="dxa" w:w="3600"/>
            <w:vAlign w:val="center"/>
            <w:shd w:fill="F4F5F6"/>
          </w:tcPr>
          <w:p>
            <w:pPr>
              <w:spacing w:before="0" w:after="0" w:line="252" w:lineRule="auto"/>
              <w:jc w:val="left"/>
            </w:pPr>
            <w:r>
              <w:rPr>
                <w:rFonts w:ascii="Arial" w:hAnsi="Arial"/>
                <w:b w:val="0"/>
                <w:color w:val="000000"/>
                <w:sz w:val="20"/>
              </w:rPr>
              <w:t>SELL NO at 40</w:t>
            </w:r>
          </w:p>
        </w:tc>
        <w:tc>
          <w:tcPr>
            <w:tcW w:type="dxa" w:w="3168"/>
            <w:vAlign w:val="center"/>
            <w:shd w:fill="F4F5F6"/>
          </w:tcPr>
          <w:p>
            <w:pPr>
              <w:spacing w:before="0" w:after="0" w:line="252" w:lineRule="auto"/>
              <w:jc w:val="left"/>
            </w:pPr>
            <w:r>
              <w:rPr>
                <w:rFonts w:ascii="Arial" w:hAnsi="Arial"/>
                <w:b w:val="0"/>
                <w:color w:val="000000"/>
                <w:sz w:val="20"/>
              </w:rPr>
              <w:t>BID at 60</w:t>
            </w:r>
          </w:p>
        </w:tc>
        <w:tc>
          <w:tcPr>
            <w:tcW w:type="dxa" w:w="3226"/>
            <w:vAlign w:val="center"/>
            <w:shd w:fill="F4F5F6"/>
          </w:tcPr>
          <w:p>
            <w:pPr>
              <w:spacing w:before="0" w:after="0" w:line="252" w:lineRule="auto"/>
              <w:jc w:val="center"/>
            </w:pPr>
            <w:r>
              <w:rPr>
                <w:rFonts w:ascii="Arial" w:hAnsi="Arial"/>
                <w:b w:val="0"/>
                <w:color w:val="000000"/>
                <w:sz w:val="20"/>
              </w:rPr>
              <w:t>+ quantity</w:t>
            </w:r>
          </w:p>
        </w:tc>
      </w:tr>
      <w:tr>
        <w:trPr>
          <w:cantSplit/>
        </w:trPr>
        <w:tc>
          <w:tcPr>
            <w:tcW w:type="dxa" w:w="3600"/>
            <w:vAlign w:val="center"/>
            <w:shd w:fill="FFFFFF"/>
          </w:tcPr>
          <w:p>
            <w:pPr>
              <w:spacing w:before="0" w:after="0" w:line="252" w:lineRule="auto"/>
              <w:jc w:val="left"/>
            </w:pPr>
            <w:r>
              <w:rPr>
                <w:rFonts w:ascii="Arial" w:hAnsi="Arial"/>
                <w:b w:val="0"/>
                <w:color w:val="000000"/>
                <w:sz w:val="20"/>
              </w:rPr>
              <w:t>BUY NO at 40</w:t>
            </w:r>
          </w:p>
        </w:tc>
        <w:tc>
          <w:tcPr>
            <w:tcW w:type="dxa" w:w="3168"/>
            <w:vAlign w:val="center"/>
            <w:shd w:fill="FFFFFF"/>
          </w:tcPr>
          <w:p>
            <w:pPr>
              <w:spacing w:before="0" w:after="0" w:line="252" w:lineRule="auto"/>
              <w:jc w:val="left"/>
            </w:pPr>
            <w:r>
              <w:rPr>
                <w:rFonts w:ascii="Arial" w:hAnsi="Arial"/>
                <w:b w:val="0"/>
                <w:color w:val="000000"/>
                <w:sz w:val="20"/>
              </w:rPr>
              <w:t>ASK at 60</w:t>
            </w:r>
          </w:p>
        </w:tc>
        <w:tc>
          <w:tcPr>
            <w:tcW w:type="dxa" w:w="3226"/>
            <w:vAlign w:val="center"/>
            <w:shd w:fill="FFFFFF"/>
          </w:tcPr>
          <w:p>
            <w:pPr>
              <w:spacing w:before="0" w:after="0" w:line="252" w:lineRule="auto"/>
              <w:jc w:val="center"/>
            </w:pPr>
            <w:r>
              <w:rPr>
                <w:rFonts w:ascii="Arial" w:hAnsi="Arial"/>
                <w:b w:val="0"/>
                <w:color w:val="000000"/>
                <w:sz w:val="20"/>
              </w:rPr>
              <w:t>− quantity</w:t>
            </w:r>
          </w:p>
        </w:tc>
      </w:tr>
      <w:tr>
        <w:trPr>
          <w:cantSplit/>
        </w:trPr>
        <w:tc>
          <w:tcPr>
            <w:tcW w:type="dxa" w:w="3600"/>
            <w:vAlign w:val="center"/>
            <w:shd w:fill="F4F5F6"/>
          </w:tcPr>
          <w:p>
            <w:pPr>
              <w:spacing w:before="0" w:after="0" w:line="252" w:lineRule="auto"/>
              <w:jc w:val="left"/>
            </w:pPr>
            <w:r>
              <w:rPr>
                <w:rFonts w:ascii="Arial" w:hAnsi="Arial"/>
                <w:b w:val="0"/>
                <w:color w:val="000000"/>
                <w:sz w:val="20"/>
              </w:rPr>
              <w:t>SELL YES at 60</w:t>
            </w:r>
          </w:p>
        </w:tc>
        <w:tc>
          <w:tcPr>
            <w:tcW w:type="dxa" w:w="3168"/>
            <w:vAlign w:val="center"/>
            <w:shd w:fill="F4F5F6"/>
          </w:tcPr>
          <w:p>
            <w:pPr>
              <w:spacing w:before="0" w:after="0" w:line="252" w:lineRule="auto"/>
              <w:jc w:val="left"/>
            </w:pPr>
            <w:r>
              <w:rPr>
                <w:rFonts w:ascii="Arial" w:hAnsi="Arial"/>
                <w:b w:val="0"/>
                <w:color w:val="000000"/>
                <w:sz w:val="20"/>
              </w:rPr>
              <w:t>ASK at 60</w:t>
            </w:r>
          </w:p>
        </w:tc>
        <w:tc>
          <w:tcPr>
            <w:tcW w:type="dxa" w:w="3226"/>
            <w:vAlign w:val="center"/>
            <w:shd w:fill="F4F5F6"/>
          </w:tcPr>
          <w:p>
            <w:pPr>
              <w:spacing w:before="0" w:after="0" w:line="252" w:lineRule="auto"/>
              <w:jc w:val="center"/>
            </w:pPr>
            <w:r>
              <w:rPr>
                <w:rFonts w:ascii="Arial" w:hAnsi="Arial"/>
                <w:b w:val="0"/>
                <w:color w:val="000000"/>
                <w:sz w:val="20"/>
              </w:rPr>
              <w:t>− quantity</w:t>
            </w:r>
          </w:p>
        </w:tc>
      </w:tr>
    </w:tbl>
    <w:p>
      <w:pPr>
        <w:spacing w:after="0" w:before="0" w:line="240" w:lineRule="auto"/>
      </w:pPr>
      <w:r>
        <w:rPr>
          <w:sz w:val="6"/>
        </w:rPr>
      </w:r>
    </w:p>
    <w:p>
      <w:r>
        <w:t>A SELL NO limit of 40 means the user will accept 40 or more for NO. It becomes a YES limit bid at 60, executable at 60 or lower. It can match BUY NO at 40 or SELL YES at 60. A resting YES ask at 55 would provide a better NO sale price of 45. Match on the canonical price and apply the exchange’s documented priority rules.</w:t>
      </w:r>
    </w:p>
    <w:p>
      <w:pPr>
        <w:pStyle w:val="Heading2"/>
      </w:pPr>
      <w:r>
        <w:t>Distinguish complementary prices from two purchase quotes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160"/>
        <w:gridCol w:w="3917"/>
        <w:gridCol w:w="3917"/>
      </w:tblGrid>
      <w:tr>
        <w:trPr>
          <w:cantSplit/>
          <w:tblHeader/>
        </w:trPr>
        <w:tc>
          <w:tcPr>
            <w:tcW w:type="dxa" w:w="2160"/>
            <w:vAlign w:val="center"/>
            <w:shd w:fill="333333"/>
          </w:tcPr>
          <w:p>
            <w:pPr>
              <w:spacing w:before="0" w:after="0" w:line="252" w:lineRule="auto"/>
              <w:jc w:val="left"/>
            </w:pPr>
            <w:r>
              <w:rPr>
                <w:rFonts w:ascii="Arial" w:hAnsi="Arial"/>
                <w:b/>
                <w:color w:val="FFFFFF"/>
                <w:sz w:val="20"/>
              </w:rPr>
              <w:t>Outcome</w:t>
            </w:r>
          </w:p>
        </w:tc>
        <w:tc>
          <w:tcPr>
            <w:tcW w:type="dxa" w:w="3917"/>
            <w:vAlign w:val="center"/>
            <w:shd w:fill="333333"/>
          </w:tcPr>
          <w:p>
            <w:pPr>
              <w:spacing w:before="0" w:after="0" w:line="252" w:lineRule="auto"/>
              <w:jc w:val="center"/>
            </w:pPr>
            <w:r>
              <w:rPr>
                <w:rFonts w:ascii="Arial" w:hAnsi="Arial"/>
                <w:b/>
                <w:color w:val="FFFFFF"/>
                <w:sz w:val="20"/>
              </w:rPr>
              <w:t>Immediate sell price</w:t>
            </w:r>
          </w:p>
        </w:tc>
        <w:tc>
          <w:tcPr>
            <w:tcW w:type="dxa" w:w="3917"/>
            <w:vAlign w:val="center"/>
            <w:shd w:fill="333333"/>
          </w:tcPr>
          <w:p>
            <w:pPr>
              <w:spacing w:before="0" w:after="0" w:line="252" w:lineRule="auto"/>
              <w:jc w:val="center"/>
            </w:pPr>
            <w:r>
              <w:rPr>
                <w:rFonts w:ascii="Arial" w:hAnsi="Arial"/>
                <w:b/>
                <w:color w:val="FFFFFF"/>
                <w:sz w:val="20"/>
              </w:rPr>
              <w:t>Immediate buy price</w:t>
            </w:r>
          </w:p>
        </w:tc>
      </w:tr>
      <w:tr>
        <w:trPr>
          <w:cantSplit/>
        </w:trPr>
        <w:tc>
          <w:tcPr>
            <w:tcW w:type="dxa" w:w="2160"/>
            <w:vAlign w:val="center"/>
            <w:shd w:fill="FFFFFF"/>
          </w:tcPr>
          <w:p>
            <w:pPr>
              <w:spacing w:before="0" w:after="0" w:line="252" w:lineRule="auto"/>
              <w:jc w:val="left"/>
            </w:pPr>
            <w:r>
              <w:rPr>
                <w:rFonts w:ascii="Arial" w:hAnsi="Arial"/>
                <w:b w:val="0"/>
                <w:color w:val="000000"/>
                <w:sz w:val="20"/>
              </w:rPr>
              <w:t>YES</w:t>
            </w:r>
          </w:p>
        </w:tc>
        <w:tc>
          <w:tcPr>
            <w:tcW w:type="dxa" w:w="3917"/>
            <w:vAlign w:val="center"/>
            <w:shd w:fill="FFFFFF"/>
          </w:tcPr>
          <w:p>
            <w:pPr>
              <w:spacing w:before="0" w:after="0" w:line="252" w:lineRule="auto"/>
              <w:jc w:val="center"/>
            </w:pPr>
            <w:r>
              <w:rPr>
                <w:rFonts w:ascii="Arial" w:hAnsi="Arial"/>
                <w:b w:val="0"/>
                <w:color w:val="000000"/>
                <w:sz w:val="20"/>
              </w:rPr>
              <w:t>58 cents</w:t>
            </w:r>
          </w:p>
        </w:tc>
        <w:tc>
          <w:tcPr>
            <w:tcW w:type="dxa" w:w="3917"/>
            <w:vAlign w:val="center"/>
            <w:shd w:fill="FFFFFF"/>
          </w:tcPr>
          <w:p>
            <w:pPr>
              <w:spacing w:before="0" w:after="0" w:line="252" w:lineRule="auto"/>
              <w:jc w:val="center"/>
            </w:pPr>
            <w:r>
              <w:rPr>
                <w:rFonts w:ascii="Arial" w:hAnsi="Arial"/>
                <w:b w:val="0"/>
                <w:color w:val="000000"/>
                <w:sz w:val="20"/>
              </w:rPr>
              <w:t>60 cents</w:t>
            </w:r>
          </w:p>
        </w:tc>
      </w:tr>
      <w:tr>
        <w:trPr>
          <w:cantSplit/>
        </w:trPr>
        <w:tc>
          <w:tcPr>
            <w:tcW w:type="dxa" w:w="2160"/>
            <w:vAlign w:val="center"/>
            <w:shd w:fill="F4F5F6"/>
          </w:tcPr>
          <w:p>
            <w:pPr>
              <w:spacing w:before="0" w:after="0" w:line="252" w:lineRule="auto"/>
              <w:jc w:val="left"/>
            </w:pPr>
            <w:r>
              <w:rPr>
                <w:rFonts w:ascii="Arial" w:hAnsi="Arial"/>
                <w:b w:val="0"/>
                <w:color w:val="000000"/>
                <w:sz w:val="20"/>
              </w:rPr>
              <w:t>NO</w:t>
            </w:r>
          </w:p>
        </w:tc>
        <w:tc>
          <w:tcPr>
            <w:tcW w:type="dxa" w:w="3917"/>
            <w:vAlign w:val="center"/>
            <w:shd w:fill="F4F5F6"/>
          </w:tcPr>
          <w:p>
            <w:pPr>
              <w:spacing w:before="0" w:after="0" w:line="252" w:lineRule="auto"/>
              <w:jc w:val="center"/>
            </w:pPr>
            <w:r>
              <w:rPr>
                <w:rFonts w:ascii="Arial" w:hAnsi="Arial"/>
                <w:b w:val="0"/>
                <w:color w:val="000000"/>
                <w:sz w:val="20"/>
              </w:rPr>
              <w:t>40 cents</w:t>
            </w:r>
          </w:p>
        </w:tc>
        <w:tc>
          <w:tcPr>
            <w:tcW w:type="dxa" w:w="3917"/>
            <w:vAlign w:val="center"/>
            <w:shd w:fill="F4F5F6"/>
          </w:tcPr>
          <w:p>
            <w:pPr>
              <w:spacing w:before="0" w:after="0" w:line="252" w:lineRule="auto"/>
              <w:jc w:val="center"/>
            </w:pPr>
            <w:r>
              <w:rPr>
                <w:rFonts w:ascii="Arial" w:hAnsi="Arial"/>
                <w:b w:val="0"/>
                <w:color w:val="000000"/>
                <w:sz w:val="20"/>
              </w:rPr>
              <w:t>42 cents</w:t>
            </w:r>
          </w:p>
        </w:tc>
      </w:tr>
    </w:tbl>
    <w:p>
      <w:pPr>
        <w:spacing w:after="0" w:before="0" w:line="240" w:lineRule="auto"/>
      </w:pPr>
      <w:r>
        <w:rPr>
          <w:sz w:val="6"/>
        </w:rPr>
      </w:r>
    </w:p>
    <w:p>
      <w:r>
        <w:t>In this illustrative book, buying YES at 60 and selling NO at 40 are complementary. Buying both outcomes costs 102, while selling both receives 98. The 2-unit difference is the spread. Complementary bid and ask prices sum to 100; two purchase quotes need not. Kalshi’s order-book guide describes this relationship. [4]</w:t>
      </w:r>
    </w:p>
    <w:p>
      <w:pPr>
        <w:pStyle w:val="Heading2"/>
      </w:pPr>
      <w:r>
        <w:t>Preserve price meaning across APIs</w:t>
      </w:r>
    </w:p>
    <w:p>
      <w:r>
        <w:t>For v1 compatibility, keep side, action and submitted price together in order history. Add explicit book_side and book_price_ticks if clients need the normalized view. Define public trade prices on the YES scale. Label a private outcome price separately. Specify whether avg_fill_price_ticks uses the submitted outcome or the YES scale; never switch silently between the two.</w:t>
      </w:r>
    </w:p>
    <w:p>
      <w:r>
        <w:t>The public fill example with aggressor_side NO and price_ticks 51 is ambiguous. State explicitly whether the canonical YES price is 51 or the NO execution price is 51. Do not derive one from the aggressor label without a documented price basis.</w:t>
      </w:r>
    </w:p>
    <w:p>
      <w:pPr>
        <w:pStyle w:val="Heading1"/>
        <w:pageBreakBefore/>
      </w:pPr>
      <w:r>
        <w:t>1 Portfolio and collateral consequences</w:t>
      </w:r>
    </w:p>
    <w:p>
      <w:r>
        <w:t>A trader’s instruction and the resulting holding are different records. With signed YES quantity, positive means YES, negative means NO, and zero means flat. SELL NO increases that quantity. The starting position determines whether the fill closes NO or opens YES. Kalshi documents the transition when a sale exceeds existing holdings as flip selling.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160"/>
        <w:gridCol w:w="4824"/>
        <w:gridCol w:w="3010"/>
      </w:tblGrid>
      <w:tr>
        <w:trPr>
          <w:cantSplit/>
          <w:tblHeader/>
        </w:trPr>
        <w:tc>
          <w:tcPr>
            <w:tcW w:type="dxa" w:w="2160"/>
            <w:vAlign w:val="center"/>
            <w:shd w:fill="333333"/>
          </w:tcPr>
          <w:p>
            <w:pPr>
              <w:spacing w:before="0" w:after="0" w:line="252" w:lineRule="auto"/>
              <w:jc w:val="left"/>
            </w:pPr>
            <w:r>
              <w:rPr>
                <w:rFonts w:ascii="Arial" w:hAnsi="Arial"/>
                <w:b/>
                <w:color w:val="FFFFFF"/>
                <w:sz w:val="20"/>
              </w:rPr>
              <w:t>Starting position</w:t>
            </w:r>
          </w:p>
        </w:tc>
        <w:tc>
          <w:tcPr>
            <w:tcW w:type="dxa" w:w="4824"/>
            <w:vAlign w:val="center"/>
            <w:shd w:fill="333333"/>
          </w:tcPr>
          <w:p>
            <w:pPr>
              <w:spacing w:before="0" w:after="0" w:line="252" w:lineRule="auto"/>
              <w:jc w:val="left"/>
            </w:pPr>
            <w:r>
              <w:rPr>
                <w:rFonts w:ascii="Arial" w:hAnsi="Arial"/>
                <w:b/>
                <w:color w:val="FFFFFF"/>
                <w:sz w:val="20"/>
              </w:rPr>
              <w:t>Sell 100 NO at 40 cents</w:t>
            </w:r>
          </w:p>
        </w:tc>
        <w:tc>
          <w:tcPr>
            <w:tcW w:type="dxa" w:w="3010"/>
            <w:vAlign w:val="center"/>
            <w:shd w:fill="333333"/>
          </w:tcPr>
          <w:p>
            <w:pPr>
              <w:spacing w:before="0" w:after="0" w:line="252" w:lineRule="auto"/>
              <w:jc w:val="left"/>
            </w:pPr>
            <w:r>
              <w:rPr>
                <w:rFonts w:ascii="Arial" w:hAnsi="Arial"/>
                <w:b/>
                <w:color w:val="FFFFFF"/>
                <w:sz w:val="20"/>
              </w:rPr>
              <w:t>Cash change</w:t>
            </w:r>
          </w:p>
        </w:tc>
      </w:tr>
      <w:tr>
        <w:trPr>
          <w:cantSplit/>
        </w:trPr>
        <w:tc>
          <w:tcPr>
            <w:tcW w:type="dxa" w:w="2160"/>
            <w:vAlign w:val="center"/>
            <w:shd w:fill="FFFFFF"/>
          </w:tcPr>
          <w:p>
            <w:pPr>
              <w:spacing w:before="0" w:after="0" w:line="252" w:lineRule="auto"/>
              <w:jc w:val="left"/>
            </w:pPr>
            <w:r>
              <w:rPr>
                <w:rFonts w:ascii="Arial" w:hAnsi="Arial"/>
                <w:b w:val="0"/>
                <w:color w:val="000000"/>
                <w:sz w:val="20"/>
              </w:rPr>
              <w:t>Flat</w:t>
            </w:r>
          </w:p>
        </w:tc>
        <w:tc>
          <w:tcPr>
            <w:tcW w:type="dxa" w:w="4824"/>
            <w:vAlign w:val="center"/>
            <w:shd w:fill="FFFFFF"/>
          </w:tcPr>
          <w:p>
            <w:pPr>
              <w:spacing w:before="0" w:after="0" w:line="252" w:lineRule="auto"/>
              <w:jc w:val="left"/>
            </w:pPr>
            <w:r>
              <w:rPr>
                <w:rFonts w:ascii="Arial" w:hAnsi="Arial"/>
                <w:b w:val="0"/>
                <w:color w:val="000000"/>
                <w:sz w:val="20"/>
              </w:rPr>
              <w:t>Open 100 YES at 60 cents</w:t>
            </w:r>
          </w:p>
        </w:tc>
        <w:tc>
          <w:tcPr>
            <w:tcW w:type="dxa" w:w="3010"/>
            <w:vAlign w:val="center"/>
            <w:shd w:fill="FFFFFF"/>
          </w:tcPr>
          <w:p>
            <w:pPr>
              <w:spacing w:before="0" w:after="0" w:line="252" w:lineRule="auto"/>
              <w:jc w:val="left"/>
            </w:pPr>
            <w:r>
              <w:rPr>
                <w:rFonts w:ascii="Arial" w:hAnsi="Arial"/>
                <w:b w:val="0"/>
                <w:color w:val="000000"/>
                <w:sz w:val="20"/>
              </w:rPr>
              <w:t>−$60</w:t>
            </w:r>
          </w:p>
        </w:tc>
      </w:tr>
      <w:tr>
        <w:trPr>
          <w:cantSplit/>
        </w:trPr>
        <w:tc>
          <w:tcPr>
            <w:tcW w:type="dxa" w:w="2160"/>
            <w:vAlign w:val="center"/>
            <w:shd w:fill="F4F5F6"/>
          </w:tcPr>
          <w:p>
            <w:pPr>
              <w:spacing w:before="0" w:after="0" w:line="252" w:lineRule="auto"/>
              <w:jc w:val="left"/>
            </w:pPr>
            <w:r>
              <w:rPr>
                <w:rFonts w:ascii="Arial" w:hAnsi="Arial"/>
                <w:b w:val="0"/>
                <w:color w:val="000000"/>
                <w:sz w:val="20"/>
              </w:rPr>
              <w:t>100 NO</w:t>
            </w:r>
          </w:p>
        </w:tc>
        <w:tc>
          <w:tcPr>
            <w:tcW w:type="dxa" w:w="4824"/>
            <w:vAlign w:val="center"/>
            <w:shd w:fill="F4F5F6"/>
          </w:tcPr>
          <w:p>
            <w:pPr>
              <w:spacing w:before="0" w:after="0" w:line="252" w:lineRule="auto"/>
              <w:jc w:val="left"/>
            </w:pPr>
            <w:r>
              <w:rPr>
                <w:rFonts w:ascii="Arial" w:hAnsi="Arial"/>
                <w:b w:val="0"/>
                <w:color w:val="000000"/>
                <w:sz w:val="20"/>
              </w:rPr>
              <w:t>Close all 100 NO; finish flat</w:t>
            </w:r>
          </w:p>
        </w:tc>
        <w:tc>
          <w:tcPr>
            <w:tcW w:type="dxa" w:w="3010"/>
            <w:vAlign w:val="center"/>
            <w:shd w:fill="F4F5F6"/>
          </w:tcPr>
          <w:p>
            <w:pPr>
              <w:spacing w:before="0" w:after="0" w:line="252" w:lineRule="auto"/>
              <w:jc w:val="left"/>
            </w:pPr>
            <w:r>
              <w:rPr>
                <w:rFonts w:ascii="Arial" w:hAnsi="Arial"/>
                <w:b w:val="0"/>
                <w:color w:val="000000"/>
                <w:sz w:val="20"/>
              </w:rPr>
              <w:t>+$40</w:t>
            </w:r>
          </w:p>
        </w:tc>
      </w:tr>
      <w:tr>
        <w:trPr>
          <w:cantSplit/>
        </w:trPr>
        <w:tc>
          <w:tcPr>
            <w:tcW w:type="dxa" w:w="2160"/>
            <w:vAlign w:val="center"/>
            <w:shd w:fill="FFFFFF"/>
          </w:tcPr>
          <w:p>
            <w:pPr>
              <w:spacing w:before="0" w:after="0" w:line="252" w:lineRule="auto"/>
              <w:jc w:val="left"/>
            </w:pPr>
            <w:r>
              <w:rPr>
                <w:rFonts w:ascii="Arial" w:hAnsi="Arial"/>
                <w:b w:val="0"/>
                <w:color w:val="000000"/>
                <w:sz w:val="20"/>
              </w:rPr>
              <w:t>40 NO</w:t>
            </w:r>
          </w:p>
        </w:tc>
        <w:tc>
          <w:tcPr>
            <w:tcW w:type="dxa" w:w="4824"/>
            <w:vAlign w:val="center"/>
            <w:shd w:fill="FFFFFF"/>
          </w:tcPr>
          <w:p>
            <w:pPr>
              <w:spacing w:before="0" w:after="0" w:line="252" w:lineRule="auto"/>
              <w:jc w:val="left"/>
            </w:pPr>
            <w:r>
              <w:rPr>
                <w:rFonts w:ascii="Arial" w:hAnsi="Arial"/>
                <w:b w:val="0"/>
                <w:color w:val="000000"/>
                <w:sz w:val="20"/>
              </w:rPr>
              <w:t>Close 40 NO; open 60 YES</w:t>
            </w:r>
          </w:p>
        </w:tc>
        <w:tc>
          <w:tcPr>
            <w:tcW w:type="dxa" w:w="3010"/>
            <w:vAlign w:val="center"/>
            <w:shd w:fill="FFFFFF"/>
          </w:tcPr>
          <w:p>
            <w:pPr>
              <w:spacing w:before="0" w:after="0" w:line="252" w:lineRule="auto"/>
              <w:jc w:val="left"/>
            </w:pPr>
            <w:r>
              <w:rPr>
                <w:rFonts w:ascii="Arial" w:hAnsi="Arial"/>
                <w:b w:val="0"/>
                <w:color w:val="000000"/>
                <w:sz w:val="20"/>
              </w:rPr>
              <w:t>+$16 − $36 = −$20</w:t>
            </w:r>
          </w:p>
        </w:tc>
      </w:tr>
    </w:tbl>
    <w:p>
      <w:pPr>
        <w:spacing w:after="0" w:before="0" w:line="240" w:lineRule="auto"/>
      </w:pPr>
      <w:r>
        <w:rPr>
          <w:sz w:val="6"/>
        </w:rPr>
      </w:r>
    </w:p>
    <w:p>
      <w:r>
        <w:t>These are proposed Sarvaex examples for a fully funded, premium-paid binary model, before fees and without cross-market offsets. Cash changes exclude the earlier purchase cost of any existing holding. Realized P&amp;L on a closure depends on that cost.</w:t>
      </w:r>
    </w:p>
    <w:p>
      <w:pPr>
        <w:pStyle w:val="Heading2"/>
      </w:pPr>
      <w:r>
        <w:t>Show one resulting position</w:t>
      </w:r>
    </w:p>
    <w:p>
      <w:r>
        <w:t>For a trader starting flat, show YES, quantity 100, average entry 60 cents, invested cost $60, and maximum settlement payout $100. Activity history may show the original instruction “Sold 100 NO at 40 cents.” Do not display the equivalent short NO and long YES as two independent positions.</w:t>
      </w:r>
    </w:p>
    <w:p>
      <w:r>
        <w:t>Proposed order excerpt with explicit normalization:</w:t>
      </w:r>
    </w:p>
    <w:p>
      <w:pPr>
        <w:spacing w:after="0" w:line="240" w:lineRule="auto"/>
        <w:ind w:left="173"/>
      </w:pPr>
      <w:r>
        <w:rPr>
          <w:rFonts w:ascii="Courier New" w:hAnsi="Courier New"/>
          <w:sz w:val="19"/>
        </w:rPr>
        <w:t>{</w:t>
      </w:r>
    </w:p>
    <w:p>
      <w:pPr>
        <w:spacing w:after="0" w:line="240" w:lineRule="auto"/>
        <w:ind w:left="173"/>
      </w:pPr>
      <w:r>
        <w:rPr>
          <w:rFonts w:ascii="Courier New" w:hAnsi="Courier New"/>
          <w:sz w:val="19"/>
        </w:rPr>
        <w:t xml:space="preserve">  "side": "NO",</w:t>
      </w:r>
    </w:p>
    <w:p>
      <w:pPr>
        <w:spacing w:after="0" w:line="240" w:lineRule="auto"/>
        <w:ind w:left="173"/>
      </w:pPr>
      <w:r>
        <w:rPr>
          <w:rFonts w:ascii="Courier New" w:hAnsi="Courier New"/>
          <w:sz w:val="19"/>
        </w:rPr>
        <w:t xml:space="preserve">  "action": "SELL",</w:t>
      </w:r>
    </w:p>
    <w:p>
      <w:pPr>
        <w:spacing w:after="0" w:line="240" w:lineRule="auto"/>
        <w:ind w:left="173"/>
      </w:pPr>
      <w:r>
        <w:rPr>
          <w:rFonts w:ascii="Courier New" w:hAnsi="Courier New"/>
          <w:sz w:val="19"/>
        </w:rPr>
        <w:t xml:space="preserve">  "price_ticks": 40,</w:t>
      </w:r>
    </w:p>
    <w:p>
      <w:pPr>
        <w:spacing w:after="0" w:line="240" w:lineRule="auto"/>
        <w:ind w:left="173"/>
      </w:pPr>
      <w:r>
        <w:rPr>
          <w:rFonts w:ascii="Courier New" w:hAnsi="Courier New"/>
          <w:sz w:val="19"/>
        </w:rPr>
        <w:t xml:space="preserve">  "book_side": "BID",</w:t>
      </w:r>
    </w:p>
    <w:p>
      <w:pPr>
        <w:spacing w:after="0" w:line="240" w:lineRule="auto"/>
        <w:ind w:left="173"/>
      </w:pPr>
      <w:r>
        <w:rPr>
          <w:rFonts w:ascii="Courier New" w:hAnsi="Courier New"/>
          <w:sz w:val="19"/>
        </w:rPr>
        <w:t xml:space="preserve">  "book_price_ticks": 60,</w:t>
      </w:r>
    </w:p>
    <w:p>
      <w:pPr>
        <w:spacing w:after="0" w:line="240" w:lineRule="auto"/>
        <w:ind w:left="173"/>
      </w:pPr>
      <w:r>
        <w:rPr>
          <w:rFonts w:ascii="Courier New" w:hAnsi="Courier New"/>
          <w:sz w:val="19"/>
        </w:rPr>
        <w:t xml:space="preserve">  "count": 100</w:t>
      </w:r>
    </w:p>
    <w:p>
      <w:pPr>
        <w:spacing w:after="0" w:line="240" w:lineRule="auto"/>
        <w:ind w:left="173"/>
      </w:pPr>
      <w:r>
        <w:rPr>
          <w:rFonts w:ascii="Courier New" w:hAnsi="Courier New"/>
          <w:sz w:val="19"/>
        </w:rPr>
        <w:t>}</w:t>
      </w:r>
    </w:p>
    <w:p>
      <w:pPr>
        <w:spacing w:after="40"/>
      </w:pPr>
      <w:r>
        <w:rPr>
          <w:sz w:val="6"/>
        </w:rPr>
      </w:r>
    </w:p>
    <w:p>
      <w:pPr>
        <w:pStyle w:val="Heading2"/>
      </w:pPr>
      <w:r>
        <w:t>Separate an order hold from funded position cost</w:t>
      </w:r>
    </w:p>
    <w:p>
      <w:r>
        <w:t>Opening 100 YES at 60 requires $60; the opening NO counterparty contributes $40. The pair is backed by $100. [6] Reserve the opening order’s worst-case permitted cost while it rests. On execution, convert the filled portion into funded position cost and remove its order hold. Retain the hold for an unfilled resting remainder. Do not charge the cost and an additional identical margin requirement.</w:t>
      </w:r>
    </w:p>
    <w:p>
      <w:r>
        <w:t>The current balance response names cash, held and total but does not define whether cash excludes holds or whether total includes position value. Specify available cash, order holds, funded position cost, marked position value and equity separately, then map existing fields deliberately. Paid cost is not an additional asset to add on top of marked position value.</w:t>
      </w:r>
    </w:p>
    <w:p>
      <w:r>
        <w:t>For leveraged accounts, compute initial and maintenance margin from the resulting portfolio under a defined risk model. Equivalent orders from the same starting portfolio must have the same margin effect. The $60 maximum loss above is not automatically the initial margin for a leveraged product. Eligible cross-market collateral offsets also require separate rules. [9]</w:t>
      </w:r>
    </w:p>
    <w:p>
      <w:r>
        <w:t>Acceptance criteria. Verify all three rows above, partial fills across zero, YES and NO price improvement, fee allocation, and equal risk treatment for BUY YES and SELL NO. Preserve original order intent while returning an unambiguous net holding.</w:t>
      </w:r>
    </w:p>
    <w:p>
      <w:pPr>
        <w:pStyle w:val="Heading1"/>
        <w:pageBreakBefore/>
      </w:pPr>
      <w:r>
        <w:t>2 Cancellation and order quantities</w:t>
      </w:r>
    </w:p>
    <w:p>
      <w:r>
        <w:t>Documented behavior. The cancellation response can contain status CANCELLED and remaining_count 6. The same field also describes six executable contracts on a PARTIAL order. The cancellation body is ignored, and a terminal order can produce a router state error. [1]</w:t>
      </w:r>
    </w:p>
    <w:p>
      <w:pPr>
        <w:pStyle w:val="Heading2"/>
      </w:pPr>
      <w:r>
        <w:t>Define quantities by their lifecycle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376"/>
        <w:gridCol w:w="7618"/>
      </w:tblGrid>
      <w:tr>
        <w:trPr>
          <w:cantSplit/>
          <w:tblHeader/>
        </w:trPr>
        <w:tc>
          <w:tcPr>
            <w:tcW w:type="dxa" w:w="2376"/>
            <w:vAlign w:val="center"/>
            <w:shd w:fill="333333"/>
          </w:tcPr>
          <w:p>
            <w:pPr>
              <w:spacing w:before="0" w:after="0" w:line="252" w:lineRule="auto"/>
              <w:jc w:val="left"/>
            </w:pPr>
            <w:r>
              <w:rPr>
                <w:rFonts w:ascii="Arial" w:hAnsi="Arial"/>
                <w:b/>
                <w:color w:val="FFFFFF"/>
                <w:sz w:val="20"/>
              </w:rPr>
              <w:t>Field</w:t>
            </w:r>
          </w:p>
        </w:tc>
        <w:tc>
          <w:tcPr>
            <w:tcW w:type="dxa" w:w="7618"/>
            <w:vAlign w:val="center"/>
            <w:shd w:fill="333333"/>
          </w:tcPr>
          <w:p>
            <w:pPr>
              <w:spacing w:before="0" w:after="0" w:line="252" w:lineRule="auto"/>
              <w:jc w:val="left"/>
            </w:pPr>
            <w:r>
              <w:rPr>
                <w:rFonts w:ascii="Arial" w:hAnsi="Arial"/>
                <w:b/>
                <w:color w:val="FFFFFF"/>
                <w:sz w:val="20"/>
              </w:rPr>
              <w:t>Proposed meaning</w:t>
            </w:r>
          </w:p>
        </w:tc>
      </w:tr>
      <w:tr>
        <w:trPr>
          <w:cantSplit/>
        </w:trPr>
        <w:tc>
          <w:tcPr>
            <w:tcW w:type="dxa" w:w="2376"/>
            <w:vAlign w:val="center"/>
            <w:shd w:fill="FFFFFF"/>
          </w:tcPr>
          <w:p>
            <w:pPr>
              <w:spacing w:before="0" w:after="0" w:line="252" w:lineRule="auto"/>
              <w:jc w:val="left"/>
            </w:pPr>
            <w:r>
              <w:rPr>
                <w:rFonts w:ascii="Arial" w:hAnsi="Arial"/>
                <w:b w:val="0"/>
                <w:color w:val="000000"/>
                <w:sz w:val="20"/>
              </w:rPr>
              <w:t>count</w:t>
            </w:r>
          </w:p>
        </w:tc>
        <w:tc>
          <w:tcPr>
            <w:tcW w:type="dxa" w:w="7618"/>
            <w:vAlign w:val="center"/>
            <w:shd w:fill="FFFFFF"/>
          </w:tcPr>
          <w:p>
            <w:pPr>
              <w:spacing w:before="0" w:after="0" w:line="252" w:lineRule="auto"/>
              <w:jc w:val="left"/>
            </w:pPr>
            <w:r>
              <w:rPr>
                <w:rFonts w:ascii="Arial" w:hAnsi="Arial"/>
                <w:b w:val="0"/>
                <w:color w:val="000000"/>
                <w:sz w:val="20"/>
              </w:rPr>
              <w:t>Original requested quantity, unchanged by cancellation</w:t>
            </w:r>
          </w:p>
        </w:tc>
      </w:tr>
      <w:tr>
        <w:trPr>
          <w:cantSplit/>
        </w:trPr>
        <w:tc>
          <w:tcPr>
            <w:tcW w:type="dxa" w:w="2376"/>
            <w:vAlign w:val="center"/>
            <w:shd w:fill="F4F5F6"/>
          </w:tcPr>
          <w:p>
            <w:pPr>
              <w:spacing w:before="0" w:after="0" w:line="252" w:lineRule="auto"/>
              <w:jc w:val="left"/>
            </w:pPr>
            <w:r>
              <w:rPr>
                <w:rFonts w:ascii="Arial" w:hAnsi="Arial"/>
                <w:b w:val="0"/>
                <w:color w:val="000000"/>
                <w:sz w:val="20"/>
              </w:rPr>
              <w:t>filled_count</w:t>
            </w:r>
          </w:p>
        </w:tc>
        <w:tc>
          <w:tcPr>
            <w:tcW w:type="dxa" w:w="7618"/>
            <w:vAlign w:val="center"/>
            <w:shd w:fill="F4F5F6"/>
          </w:tcPr>
          <w:p>
            <w:pPr>
              <w:spacing w:before="0" w:after="0" w:line="252" w:lineRule="auto"/>
              <w:jc w:val="left"/>
            </w:pPr>
            <w:r>
              <w:rPr>
                <w:rFonts w:ascii="Arial" w:hAnsi="Arial"/>
                <w:b w:val="0"/>
                <w:color w:val="000000"/>
                <w:sz w:val="20"/>
              </w:rPr>
              <w:t>Cumulative quantity actually executed</w:t>
            </w:r>
          </w:p>
        </w:tc>
      </w:tr>
      <w:tr>
        <w:trPr>
          <w:cantSplit/>
        </w:trPr>
        <w:tc>
          <w:tcPr>
            <w:tcW w:type="dxa" w:w="2376"/>
            <w:vAlign w:val="center"/>
            <w:shd w:fill="FFFFFF"/>
          </w:tcPr>
          <w:p>
            <w:pPr>
              <w:spacing w:before="0" w:after="0" w:line="252" w:lineRule="auto"/>
              <w:jc w:val="left"/>
            </w:pPr>
            <w:r>
              <w:rPr>
                <w:rFonts w:ascii="Arial" w:hAnsi="Arial"/>
                <w:b w:val="0"/>
                <w:color w:val="000000"/>
                <w:sz w:val="20"/>
              </w:rPr>
              <w:t>remaining_count</w:t>
            </w:r>
          </w:p>
        </w:tc>
        <w:tc>
          <w:tcPr>
            <w:tcW w:type="dxa" w:w="7618"/>
            <w:vAlign w:val="center"/>
            <w:shd w:fill="FFFFFF"/>
          </w:tcPr>
          <w:p>
            <w:pPr>
              <w:spacing w:before="0" w:after="0" w:line="252" w:lineRule="auto"/>
              <w:jc w:val="left"/>
            </w:pPr>
            <w:r>
              <w:rPr>
                <w:rFonts w:ascii="Arial" w:hAnsi="Arial"/>
                <w:b w:val="0"/>
                <w:color w:val="000000"/>
                <w:sz w:val="20"/>
              </w:rPr>
              <w:t>Quantity still eligible for execution</w:t>
            </w:r>
          </w:p>
        </w:tc>
      </w:tr>
      <w:tr>
        <w:trPr>
          <w:cantSplit/>
        </w:trPr>
        <w:tc>
          <w:tcPr>
            <w:tcW w:type="dxa" w:w="2376"/>
            <w:vAlign w:val="center"/>
            <w:shd w:fill="F4F5F6"/>
          </w:tcPr>
          <w:p>
            <w:pPr>
              <w:spacing w:before="0" w:after="0" w:line="252" w:lineRule="auto"/>
              <w:jc w:val="left"/>
            </w:pPr>
            <w:r>
              <w:rPr>
                <w:rFonts w:ascii="Arial" w:hAnsi="Arial"/>
                <w:b w:val="0"/>
                <w:color w:val="000000"/>
                <w:sz w:val="20"/>
              </w:rPr>
              <w:t>cancelled_count</w:t>
            </w:r>
          </w:p>
        </w:tc>
        <w:tc>
          <w:tcPr>
            <w:tcW w:type="dxa" w:w="7618"/>
            <w:vAlign w:val="center"/>
            <w:shd w:fill="F4F5F6"/>
          </w:tcPr>
          <w:p>
            <w:pPr>
              <w:spacing w:before="0" w:after="0" w:line="252" w:lineRule="auto"/>
              <w:jc w:val="left"/>
            </w:pPr>
            <w:r>
              <w:rPr>
                <w:rFonts w:ascii="Arial" w:hAnsi="Arial"/>
                <w:b w:val="0"/>
                <w:color w:val="000000"/>
                <w:sz w:val="20"/>
              </w:rPr>
              <w:t>Accepted quantity removed by cancellation, including an IOC remainder</w:t>
            </w:r>
          </w:p>
        </w:tc>
      </w:tr>
      <w:tr>
        <w:trPr>
          <w:cantSplit/>
        </w:trPr>
        <w:tc>
          <w:tcPr>
            <w:tcW w:type="dxa" w:w="2376"/>
            <w:vAlign w:val="center"/>
            <w:shd w:fill="FFFFFF"/>
          </w:tcPr>
          <w:p>
            <w:pPr>
              <w:spacing w:before="0" w:after="0" w:line="252" w:lineRule="auto"/>
              <w:jc w:val="left"/>
            </w:pPr>
            <w:r>
              <w:rPr>
                <w:rFonts w:ascii="Arial" w:hAnsi="Arial"/>
                <w:b w:val="0"/>
                <w:color w:val="000000"/>
                <w:sz w:val="20"/>
              </w:rPr>
              <w:t>expired_count</w:t>
            </w:r>
          </w:p>
        </w:tc>
        <w:tc>
          <w:tcPr>
            <w:tcW w:type="dxa" w:w="7618"/>
            <w:vAlign w:val="center"/>
            <w:shd w:fill="FFFFFF"/>
          </w:tcPr>
          <w:p>
            <w:pPr>
              <w:spacing w:before="0" w:after="0" w:line="252" w:lineRule="auto"/>
              <w:jc w:val="left"/>
            </w:pPr>
            <w:r>
              <w:rPr>
                <w:rFonts w:ascii="Arial" w:hAnsi="Arial"/>
                <w:b w:val="0"/>
                <w:color w:val="000000"/>
                <w:sz w:val="20"/>
              </w:rPr>
              <w:t>Accepted quantity removed at expiry, if separately exposed</w:t>
            </w:r>
          </w:p>
        </w:tc>
      </w:tr>
    </w:tbl>
    <w:p>
      <w:pPr>
        <w:spacing w:after="0" w:before="0" w:line="240" w:lineRule="auto"/>
      </w:pPr>
      <w:r>
        <w:rPr>
          <w:sz w:val="6"/>
        </w:rPr>
      </w:r>
    </w:p>
    <w:p>
      <w:r>
        <w:t>For an accepted, unamended order, original quantity must reconcile to filled, executable and terminally removed quantities. If removal reasons are combined into one field, document that aggregation. A rejected submission has zero executable quantity; do not count a never-accepted request as filled or working.</w:t>
      </w:r>
    </w:p>
    <w:p>
      <w:r>
        <w:t>Proposed cancellation result after four fills from an order of ten:</w:t>
      </w:r>
    </w:p>
    <w:p>
      <w:pPr>
        <w:spacing w:after="0" w:line="240" w:lineRule="auto"/>
        <w:ind w:left="173"/>
      </w:pPr>
      <w:r>
        <w:rPr>
          <w:rFonts w:ascii="Courier New" w:hAnsi="Courier New"/>
          <w:sz w:val="19"/>
        </w:rPr>
        <w:t>{</w:t>
      </w:r>
    </w:p>
    <w:p>
      <w:pPr>
        <w:spacing w:after="0" w:line="240" w:lineRule="auto"/>
        <w:ind w:left="173"/>
      </w:pPr>
      <w:r>
        <w:rPr>
          <w:rFonts w:ascii="Courier New" w:hAnsi="Courier New"/>
          <w:sz w:val="19"/>
        </w:rPr>
        <w:t xml:space="preserve">  "order": {</w:t>
      </w:r>
    </w:p>
    <w:p>
      <w:pPr>
        <w:spacing w:after="0" w:line="240" w:lineRule="auto"/>
        <w:ind w:left="173"/>
      </w:pPr>
      <w:r>
        <w:rPr>
          <w:rFonts w:ascii="Courier New" w:hAnsi="Courier New"/>
          <w:sz w:val="19"/>
        </w:rPr>
        <w:t xml:space="preserve">    "order_id": "ord-123", "status": "CANCELLED",</w:t>
      </w:r>
    </w:p>
    <w:p>
      <w:pPr>
        <w:spacing w:after="0" w:line="240" w:lineRule="auto"/>
        <w:ind w:left="173"/>
      </w:pPr>
      <w:r>
        <w:rPr>
          <w:rFonts w:ascii="Courier New" w:hAnsi="Courier New"/>
          <w:sz w:val="19"/>
        </w:rPr>
        <w:t xml:space="preserve">    "count": 10, "filled_count": 4,</w:t>
      </w:r>
    </w:p>
    <w:p>
      <w:pPr>
        <w:spacing w:after="0" w:line="240" w:lineRule="auto"/>
        <w:ind w:left="173"/>
      </w:pPr>
      <w:r>
        <w:rPr>
          <w:rFonts w:ascii="Courier New" w:hAnsi="Courier New"/>
          <w:sz w:val="19"/>
        </w:rPr>
        <w:t xml:space="preserve">    "remaining_count": 0, "cancelled_count": 6</w:t>
      </w:r>
    </w:p>
    <w:p>
      <w:pPr>
        <w:spacing w:after="0" w:line="240" w:lineRule="auto"/>
        <w:ind w:left="173"/>
      </w:pPr>
      <w:r>
        <w:rPr>
          <w:rFonts w:ascii="Courier New" w:hAnsi="Courier New"/>
          <w:sz w:val="19"/>
        </w:rPr>
        <w:t xml:space="preserve">  },</w:t>
      </w:r>
    </w:p>
    <w:p>
      <w:pPr>
        <w:spacing w:after="0" w:line="240" w:lineRule="auto"/>
        <w:ind w:left="173"/>
      </w:pPr>
      <w:r>
        <w:rPr>
          <w:rFonts w:ascii="Courier New" w:hAnsi="Courier New"/>
          <w:sz w:val="19"/>
        </w:rPr>
        <w:t xml:space="preserve">  "reject_code": "", "reject_reason": ""</w:t>
      </w:r>
    </w:p>
    <w:p>
      <w:pPr>
        <w:spacing w:after="0" w:line="240" w:lineRule="auto"/>
        <w:ind w:left="173"/>
      </w:pPr>
      <w:r>
        <w:rPr>
          <w:rFonts w:ascii="Courier New" w:hAnsi="Courier New"/>
          <w:sz w:val="19"/>
        </w:rPr>
        <w:t>}</w:t>
      </w:r>
    </w:p>
    <w:p>
      <w:pPr>
        <w:spacing w:after="40"/>
      </w:pPr>
      <w:r>
        <w:rPr>
          <w:sz w:val="6"/>
        </w:rPr>
      </w:r>
    </w:p>
    <w:p>
      <w:pPr>
        <w:pStyle w:val="Heading2"/>
      </w:pPr>
      <w:r>
        <w:t>Define when cancellation becomes effective</w:t>
      </w:r>
    </w:p>
    <w:p>
      <w:r>
        <w:t>A completed cancellation response should mean the matching engine has made the order terminal. A gateway receipt alone is insufficient. Fills that win the race before engine cancellation remain valid. A delayed fill notification may arrive afterward, but it must carry an execution sequence from before the cancellation took effect.</w:t>
      </w:r>
    </w:p>
    <w:p>
      <w:r>
        <w:t>Release only the unused order reservation. Retain collateral required by executed positions. Document whether the ledger update is synchronous or can lag, and expose a reconciliation point if clients observe orders and balances at different stages.</w:t>
      </w:r>
    </w:p>
    <w:p>
      <w:r>
        <w:t>Same-key retries replay the original cancellation result. For a new cancellation request against an already cancelled, filled or expired order, publish one deterministic outcome and reason. A timeout leaves the result unresolved; clients must query the order or retry with the same key.</w:t>
      </w:r>
    </w:p>
    <w:p>
      <w:pPr>
        <w:pStyle w:val="Heading2"/>
      </w:pPr>
      <w:r>
        <w:t>Compatibility and acceptance criteria</w:t>
      </w:r>
    </w:p>
    <w:p>
      <w:r>
        <w:t>Changing remaining_count from unfilled quantity to executable quantity can break clients. If that is its current backend meaning, add working_count first or version the response. Test fill-four/cancel-six, a fill racing cancellation, duplicate cancellation, terminal-order cancellation, and ledger reconciliation. No execution may occur after the engine’s cancellation event.</w:t>
      </w:r>
    </w:p>
    <w:p>
      <w:pPr>
        <w:pStyle w:val="Heading1"/>
        <w:pageBreakBefore/>
      </w:pPr>
      <w:r>
        <w:t>3 Open interest counting</w:t>
      </w:r>
    </w:p>
    <w:p>
      <w:r>
        <w:t>Documented behavior. GET /v1/markets/{ticker}/open-interest returns total_open_long and total_open_short. Its example reports 120 longs and 115 shorts without explaining account coverage, timing or the unit of measurement. [1]</w:t>
      </w:r>
    </w:p>
    <w:p>
      <w:pPr>
        <w:pStyle w:val="Heading2"/>
      </w:pPr>
      <w:r>
        <w:t>Count outstanding contracts once</w:t>
      </w:r>
    </w:p>
    <w:p>
      <w:r>
        <w:t>For a conventional matched futures book covering all accounts at a common snapshot, total long quantity equals total short quantity. Open interest counts one side, so 120 longs against 120 shorts means open interest of 120, not 240. CME uses this one-sided definition. [7]</w:t>
      </w:r>
    </w:p>
    <w:p>
      <w:r>
        <w:t>Proposed definition. Compute the two totals from the same complete position snapshot. Include customer and internal counterparty accounts, or identify the response explicitly as a subset. Exclude resting orders, expired unmatched requests and cumulative traded volume. Publish the unit as contracts.</w:t>
      </w:r>
    </w:p>
    <w:p>
      <w:r>
        <w:t>Specify whether accounts are netted within a ticker. If the system permits separate long and short holdings in a hedging mode, state how those holdings affect the totals. Use the same clearing convention in the statistics and position services.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320"/>
        <w:gridCol w:w="3802"/>
        <w:gridCol w:w="1872"/>
      </w:tblGrid>
      <w:tr>
        <w:trPr>
          <w:cantSplit/>
          <w:tblHeader/>
        </w:trPr>
        <w:tc>
          <w:tcPr>
            <w:tcW w:type="dxa" w:w="4320"/>
            <w:vAlign w:val="center"/>
            <w:shd w:fill="333333"/>
          </w:tcPr>
          <w:p>
            <w:pPr>
              <w:spacing w:before="0" w:after="0" w:line="252" w:lineRule="auto"/>
              <w:jc w:val="left"/>
            </w:pPr>
            <w:r>
              <w:rPr>
                <w:rFonts w:ascii="Arial" w:hAnsi="Arial"/>
                <w:b/>
                <w:color w:val="FFFFFF"/>
                <w:sz w:val="20"/>
              </w:rPr>
              <w:t>Event</w:t>
            </w:r>
          </w:p>
        </w:tc>
        <w:tc>
          <w:tcPr>
            <w:tcW w:type="dxa" w:w="3802"/>
            <w:vAlign w:val="center"/>
            <w:shd w:fill="333333"/>
          </w:tcPr>
          <w:p>
            <w:pPr>
              <w:spacing w:before="0" w:after="0" w:line="252" w:lineRule="auto"/>
              <w:jc w:val="left"/>
            </w:pPr>
            <w:r>
              <w:rPr>
                <w:rFonts w:ascii="Arial" w:hAnsi="Arial"/>
                <w:b/>
                <w:color w:val="FFFFFF"/>
                <w:sz w:val="20"/>
              </w:rPr>
              <w:t>Positions afterward</w:t>
            </w:r>
          </w:p>
        </w:tc>
        <w:tc>
          <w:tcPr>
            <w:tcW w:type="dxa" w:w="1872"/>
            <w:vAlign w:val="center"/>
            <w:shd w:fill="333333"/>
          </w:tcPr>
          <w:p>
            <w:pPr>
              <w:spacing w:before="0" w:after="0" w:line="252" w:lineRule="auto"/>
              <w:jc w:val="center"/>
            </w:pPr>
            <w:r>
              <w:rPr>
                <w:rFonts w:ascii="Arial" w:hAnsi="Arial"/>
                <w:b/>
                <w:color w:val="FFFFFF"/>
                <w:sz w:val="20"/>
              </w:rPr>
              <w:t>Open interest</w:t>
            </w:r>
          </w:p>
        </w:tc>
      </w:tr>
      <w:tr>
        <w:trPr>
          <w:cantSplit/>
        </w:trPr>
        <w:tc>
          <w:tcPr>
            <w:tcW w:type="dxa" w:w="4320"/>
            <w:vAlign w:val="center"/>
            <w:shd w:fill="FFFFFF"/>
          </w:tcPr>
          <w:p>
            <w:pPr>
              <w:spacing w:before="0" w:after="0" w:line="252" w:lineRule="auto"/>
              <w:jc w:val="left"/>
            </w:pPr>
            <w:r>
              <w:rPr>
                <w:rFonts w:ascii="Arial" w:hAnsi="Arial"/>
                <w:b w:val="0"/>
                <w:color w:val="000000"/>
                <w:sz w:val="20"/>
              </w:rPr>
              <w:t>A buys 10 as B sells 10; both open</w:t>
            </w:r>
          </w:p>
        </w:tc>
        <w:tc>
          <w:tcPr>
            <w:tcW w:type="dxa" w:w="3802"/>
            <w:vAlign w:val="center"/>
            <w:shd w:fill="FFFFFF"/>
          </w:tcPr>
          <w:p>
            <w:pPr>
              <w:spacing w:before="0" w:after="0" w:line="252" w:lineRule="auto"/>
              <w:jc w:val="left"/>
            </w:pPr>
            <w:r>
              <w:rPr>
                <w:rFonts w:ascii="Arial" w:hAnsi="Arial"/>
                <w:b w:val="0"/>
                <w:color w:val="000000"/>
                <w:sz w:val="20"/>
              </w:rPr>
              <w:t>A +10, B −10</w:t>
            </w:r>
          </w:p>
        </w:tc>
        <w:tc>
          <w:tcPr>
            <w:tcW w:type="dxa" w:w="1872"/>
            <w:vAlign w:val="center"/>
            <w:shd w:fill="FFFFFF"/>
          </w:tcPr>
          <w:p>
            <w:pPr>
              <w:spacing w:before="0" w:after="0" w:line="252" w:lineRule="auto"/>
              <w:jc w:val="center"/>
            </w:pPr>
            <w:r>
              <w:rPr>
                <w:rFonts w:ascii="Arial" w:hAnsi="Arial"/>
                <w:b w:val="0"/>
                <w:color w:val="000000"/>
                <w:sz w:val="20"/>
              </w:rPr>
              <w:t>10</w:t>
            </w:r>
          </w:p>
        </w:tc>
      </w:tr>
      <w:tr>
        <w:trPr>
          <w:cantSplit/>
        </w:trPr>
        <w:tc>
          <w:tcPr>
            <w:tcW w:type="dxa" w:w="4320"/>
            <w:vAlign w:val="center"/>
            <w:shd w:fill="F4F5F6"/>
          </w:tcPr>
          <w:p>
            <w:pPr>
              <w:spacing w:before="0" w:after="0" w:line="252" w:lineRule="auto"/>
              <w:jc w:val="left"/>
            </w:pPr>
            <w:r>
              <w:rPr>
                <w:rFonts w:ascii="Arial" w:hAnsi="Arial"/>
                <w:b w:val="0"/>
                <w:color w:val="000000"/>
                <w:sz w:val="20"/>
              </w:rPr>
              <w:t>A sells 10 to C; A closes and C opens</w:t>
            </w:r>
          </w:p>
        </w:tc>
        <w:tc>
          <w:tcPr>
            <w:tcW w:type="dxa" w:w="3802"/>
            <w:vAlign w:val="center"/>
            <w:shd w:fill="F4F5F6"/>
          </w:tcPr>
          <w:p>
            <w:pPr>
              <w:spacing w:before="0" w:after="0" w:line="252" w:lineRule="auto"/>
              <w:jc w:val="left"/>
            </w:pPr>
            <w:r>
              <w:rPr>
                <w:rFonts w:ascii="Arial" w:hAnsi="Arial"/>
                <w:b w:val="0"/>
                <w:color w:val="000000"/>
                <w:sz w:val="20"/>
              </w:rPr>
              <w:t>A 0, B −10, C +10</w:t>
            </w:r>
          </w:p>
        </w:tc>
        <w:tc>
          <w:tcPr>
            <w:tcW w:type="dxa" w:w="1872"/>
            <w:vAlign w:val="center"/>
            <w:shd w:fill="F4F5F6"/>
          </w:tcPr>
          <w:p>
            <w:pPr>
              <w:spacing w:before="0" w:after="0" w:line="252" w:lineRule="auto"/>
              <w:jc w:val="center"/>
            </w:pPr>
            <w:r>
              <w:rPr>
                <w:rFonts w:ascii="Arial" w:hAnsi="Arial"/>
                <w:b w:val="0"/>
                <w:color w:val="000000"/>
                <w:sz w:val="20"/>
              </w:rPr>
              <w:t>10</w:t>
            </w:r>
          </w:p>
        </w:tc>
      </w:tr>
      <w:tr>
        <w:trPr>
          <w:cantSplit/>
        </w:trPr>
        <w:tc>
          <w:tcPr>
            <w:tcW w:type="dxa" w:w="4320"/>
            <w:vAlign w:val="center"/>
            <w:shd w:fill="FFFFFF"/>
          </w:tcPr>
          <w:p>
            <w:pPr>
              <w:spacing w:before="0" w:after="0" w:line="252" w:lineRule="auto"/>
              <w:jc w:val="left"/>
            </w:pPr>
            <w:r>
              <w:rPr>
                <w:rFonts w:ascii="Arial" w:hAnsi="Arial"/>
                <w:b w:val="0"/>
                <w:color w:val="000000"/>
                <w:sz w:val="20"/>
              </w:rPr>
              <w:t>B buys 10 from C; both close</w:t>
            </w:r>
          </w:p>
        </w:tc>
        <w:tc>
          <w:tcPr>
            <w:tcW w:type="dxa" w:w="3802"/>
            <w:vAlign w:val="center"/>
            <w:shd w:fill="FFFFFF"/>
          </w:tcPr>
          <w:p>
            <w:pPr>
              <w:spacing w:before="0" w:after="0" w:line="252" w:lineRule="auto"/>
              <w:jc w:val="left"/>
            </w:pPr>
            <w:r>
              <w:rPr>
                <w:rFonts w:ascii="Arial" w:hAnsi="Arial"/>
                <w:b w:val="0"/>
                <w:color w:val="000000"/>
                <w:sz w:val="20"/>
              </w:rPr>
              <w:t>A 0, B 0, C 0</w:t>
            </w:r>
          </w:p>
        </w:tc>
        <w:tc>
          <w:tcPr>
            <w:tcW w:type="dxa" w:w="1872"/>
            <w:vAlign w:val="center"/>
            <w:shd w:fill="FFFFFF"/>
          </w:tcPr>
          <w:p>
            <w:pPr>
              <w:spacing w:before="0" w:after="0" w:line="252" w:lineRule="auto"/>
              <w:jc w:val="center"/>
            </w:pPr>
            <w:r>
              <w:rPr>
                <w:rFonts w:ascii="Arial" w:hAnsi="Arial"/>
                <w:b w:val="0"/>
                <w:color w:val="000000"/>
                <w:sz w:val="20"/>
              </w:rPr>
              <w:t>0</w:t>
            </w:r>
          </w:p>
        </w:tc>
      </w:tr>
    </w:tbl>
    <w:p>
      <w:pPr>
        <w:spacing w:after="0" w:before="0" w:line="240" w:lineRule="auto"/>
      </w:pPr>
      <w:r>
        <w:rPr>
          <w:sz w:val="6"/>
        </w:rPr>
      </w:r>
    </w:p>
    <w:p>
      <w:r>
        <w:t>The unequal example could result from excluded accounts, different update times or an example error. Investigate which explanation applies before changing the published numbers. A reporting defect and a clearing imbalance require different fixes.</w:t>
      </w:r>
    </w:p>
    <w:p>
      <w:pPr>
        <w:pStyle w:val="Heading2"/>
      </w:pPr>
      <w:r>
        <w:t>Expose the snapshot used for the calculation</w:t>
      </w:r>
    </w:p>
    <w:p>
      <w:r>
        <w:t>Proposed response:</w:t>
      </w:r>
    </w:p>
    <w:p>
      <w:pPr>
        <w:spacing w:after="0" w:line="240" w:lineRule="auto"/>
        <w:ind w:left="173"/>
      </w:pPr>
      <w:r>
        <w:rPr>
          <w:rFonts w:ascii="Courier New" w:hAnsi="Courier New"/>
          <w:sz w:val="19"/>
        </w:rPr>
        <w:t>{</w:t>
      </w:r>
    </w:p>
    <w:p>
      <w:pPr>
        <w:spacing w:after="0" w:line="240" w:lineRule="auto"/>
        <w:ind w:left="173"/>
      </w:pPr>
      <w:r>
        <w:rPr>
          <w:rFonts w:ascii="Courier New" w:hAnsi="Courier New"/>
          <w:sz w:val="19"/>
        </w:rPr>
        <w:t xml:space="preserve">  "ticker": "SXF-FFUB-26OCT",</w:t>
      </w:r>
    </w:p>
    <w:p>
      <w:pPr>
        <w:spacing w:after="0" w:line="240" w:lineRule="auto"/>
        <w:ind w:left="173"/>
      </w:pPr>
      <w:r>
        <w:rPr>
          <w:rFonts w:ascii="Courier New" w:hAnsi="Courier New"/>
          <w:sz w:val="19"/>
        </w:rPr>
        <w:t xml:space="preserve">  "open_interest": 120,</w:t>
      </w:r>
    </w:p>
    <w:p>
      <w:pPr>
        <w:spacing w:after="0" w:line="240" w:lineRule="auto"/>
        <w:ind w:left="173"/>
      </w:pPr>
      <w:r>
        <w:rPr>
          <w:rFonts w:ascii="Courier New" w:hAnsi="Courier New"/>
          <w:sz w:val="19"/>
        </w:rPr>
        <w:t xml:space="preserve">  "total_open_long": 120,</w:t>
      </w:r>
    </w:p>
    <w:p>
      <w:pPr>
        <w:spacing w:after="0" w:line="240" w:lineRule="auto"/>
        <w:ind w:left="173"/>
      </w:pPr>
      <w:r>
        <w:rPr>
          <w:rFonts w:ascii="Courier New" w:hAnsi="Courier New"/>
          <w:sz w:val="19"/>
        </w:rPr>
        <w:t xml:space="preserve">  "total_open_short": 120,</w:t>
      </w:r>
    </w:p>
    <w:p>
      <w:pPr>
        <w:spacing w:after="0" w:line="240" w:lineRule="auto"/>
        <w:ind w:left="173"/>
      </w:pPr>
      <w:r>
        <w:rPr>
          <w:rFonts w:ascii="Courier New" w:hAnsi="Courier New"/>
          <w:sz w:val="19"/>
        </w:rPr>
        <w:t xml:space="preserve">  "as_of_global_seq": 8201,</w:t>
      </w:r>
    </w:p>
    <w:p>
      <w:pPr>
        <w:spacing w:after="0" w:line="240" w:lineRule="auto"/>
        <w:ind w:left="173"/>
      </w:pPr>
      <w:r>
        <w:rPr>
          <w:rFonts w:ascii="Courier New" w:hAnsi="Courier New"/>
          <w:sz w:val="19"/>
        </w:rPr>
        <w:t xml:space="preserve">  "as_of": "2026-09-25T09:10:00Z"</w:t>
      </w:r>
    </w:p>
    <w:p>
      <w:pPr>
        <w:spacing w:after="0" w:line="240" w:lineRule="auto"/>
        <w:ind w:left="173"/>
      </w:pPr>
      <w:r>
        <w:rPr>
          <w:rFonts w:ascii="Courier New" w:hAnsi="Courier New"/>
          <w:sz w:val="19"/>
        </w:rPr>
        <w:t>}</w:t>
      </w:r>
    </w:p>
    <w:p>
      <w:pPr>
        <w:spacing w:after="40"/>
      </w:pPr>
      <w:r>
        <w:rPr>
          <w:sz w:val="6"/>
        </w:rPr>
      </w:r>
    </w:p>
    <w:p>
      <w:r>
        <w:t>as_of_global_seq must identify the state actually included in the calculation, rather than the latest event observed elsewhere. If the service is eventually consistent, describe the lag and return the projection’s own watermark.</w:t>
      </w:r>
    </w:p>
    <w:p>
      <w:pPr>
        <w:pStyle w:val="Heading2"/>
      </w:pPr>
      <w:r>
        <w:t>Acceptance criteria</w:t>
      </w:r>
    </w:p>
    <w:p>
      <w:r>
        <w:t>Run the three trade transitions above; verify one-sided counting and that unfilled orders do not change open interest. Include internal accounts, settlement and account transfers in reconciliation. If a subset statistic is needed, give it a separate name and scope so clients do not mistake it for exchange-wide open interest.</w:t>
      </w:r>
    </w:p>
    <w:p>
      <w:pPr>
        <w:pStyle w:val="Heading1"/>
        <w:pageBreakBefore/>
      </w:pPr>
      <w:r>
        <w:t>4 Position filtering and closed positions</w:t>
      </w:r>
    </w:p>
    <w:p>
      <w:r>
        <w:t>Documented behavior. GET /v1/positions accepts include_closed but the gateway requests all positions. Clients are told to filter terminal zero-quantity records. The response includes next_cursor even though position pagination inputs are not documented. [1]</w:t>
      </w:r>
    </w:p>
    <w:p>
      <w:pPr>
        <w:pStyle w:val="Heading2"/>
      </w:pPr>
      <w:r>
        <w:t>Separate a flat position from a closed market</w:t>
      </w:r>
    </w:p>
    <w:p>
      <w:r>
        <w:t>Proposed definition. include_closed=false excludes zero-quantity positions. include_closed=true also returns retained zero-quantity records, including realized P&amp;L. A market that has stopped trading may still have an unsettled nonzero position, which remains visible under either setting.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810"/>
        <w:gridCol w:w="2592"/>
        <w:gridCol w:w="2592"/>
      </w:tblGrid>
      <w:tr>
        <w:trPr>
          <w:cantSplit/>
          <w:tblHeader/>
        </w:trPr>
        <w:tc>
          <w:tcPr>
            <w:tcW w:type="dxa" w:w="4810"/>
            <w:vAlign w:val="center"/>
            <w:shd w:fill="333333"/>
          </w:tcPr>
          <w:p>
            <w:pPr>
              <w:spacing w:before="0" w:after="0" w:line="252" w:lineRule="auto"/>
              <w:jc w:val="left"/>
            </w:pPr>
            <w:r>
              <w:rPr>
                <w:rFonts w:ascii="Arial" w:hAnsi="Arial"/>
                <w:b/>
                <w:color w:val="FFFFFF"/>
                <w:sz w:val="20"/>
              </w:rPr>
              <w:t>Record</w:t>
            </w:r>
          </w:p>
        </w:tc>
        <w:tc>
          <w:tcPr>
            <w:tcW w:type="dxa" w:w="2592"/>
            <w:vAlign w:val="center"/>
            <w:shd w:fill="333333"/>
          </w:tcPr>
          <w:p>
            <w:pPr>
              <w:spacing w:before="0" w:after="0" w:line="252" w:lineRule="auto"/>
              <w:jc w:val="center"/>
            </w:pPr>
            <w:r>
              <w:rPr>
                <w:rFonts w:ascii="Arial" w:hAnsi="Arial"/>
                <w:b/>
                <w:color w:val="FFFFFF"/>
                <w:sz w:val="20"/>
              </w:rPr>
              <w:t>include_closed false</w:t>
            </w:r>
          </w:p>
        </w:tc>
        <w:tc>
          <w:tcPr>
            <w:tcW w:type="dxa" w:w="2592"/>
            <w:vAlign w:val="center"/>
            <w:shd w:fill="333333"/>
          </w:tcPr>
          <w:p>
            <w:pPr>
              <w:spacing w:before="0" w:after="0" w:line="252" w:lineRule="auto"/>
              <w:jc w:val="center"/>
            </w:pPr>
            <w:r>
              <w:rPr>
                <w:rFonts w:ascii="Arial" w:hAnsi="Arial"/>
                <w:b/>
                <w:color w:val="FFFFFF"/>
                <w:sz w:val="20"/>
              </w:rPr>
              <w:t>include_closed true</w:t>
            </w:r>
          </w:p>
        </w:tc>
      </w:tr>
      <w:tr>
        <w:trPr>
          <w:cantSplit/>
        </w:trPr>
        <w:tc>
          <w:tcPr>
            <w:tcW w:type="dxa" w:w="4810"/>
            <w:vAlign w:val="center"/>
            <w:shd w:fill="FFFFFF"/>
          </w:tcPr>
          <w:p>
            <w:pPr>
              <w:spacing w:before="0" w:after="0" w:line="252" w:lineRule="auto"/>
              <w:jc w:val="left"/>
            </w:pPr>
            <w:r>
              <w:rPr>
                <w:rFonts w:ascii="Arial" w:hAnsi="Arial"/>
                <w:b w:val="0"/>
                <w:color w:val="000000"/>
                <w:sz w:val="20"/>
              </w:rPr>
              <w:t>Nonzero YES or long position</w:t>
            </w:r>
          </w:p>
        </w:tc>
        <w:tc>
          <w:tcPr>
            <w:tcW w:type="dxa" w:w="2592"/>
            <w:vAlign w:val="center"/>
            <w:shd w:fill="FFFFFF"/>
          </w:tcPr>
          <w:p>
            <w:pPr>
              <w:spacing w:before="0" w:after="0" w:line="252" w:lineRule="auto"/>
              <w:jc w:val="center"/>
            </w:pPr>
            <w:r>
              <w:rPr>
                <w:rFonts w:ascii="Arial" w:hAnsi="Arial"/>
                <w:b w:val="0"/>
                <w:color w:val="000000"/>
                <w:sz w:val="20"/>
              </w:rPr>
              <w:t>Include</w:t>
            </w:r>
          </w:p>
        </w:tc>
        <w:tc>
          <w:tcPr>
            <w:tcW w:type="dxa" w:w="2592"/>
            <w:vAlign w:val="center"/>
            <w:shd w:fill="FFFFFF"/>
          </w:tcPr>
          <w:p>
            <w:pPr>
              <w:spacing w:before="0" w:after="0" w:line="252" w:lineRule="auto"/>
              <w:jc w:val="center"/>
            </w:pPr>
            <w:r>
              <w:rPr>
                <w:rFonts w:ascii="Arial" w:hAnsi="Arial"/>
                <w:b w:val="0"/>
                <w:color w:val="000000"/>
                <w:sz w:val="20"/>
              </w:rPr>
              <w:t>Include</w:t>
            </w:r>
          </w:p>
        </w:tc>
      </w:tr>
      <w:tr>
        <w:trPr>
          <w:cantSplit/>
        </w:trPr>
        <w:tc>
          <w:tcPr>
            <w:tcW w:type="dxa" w:w="4810"/>
            <w:vAlign w:val="center"/>
            <w:shd w:fill="F4F5F6"/>
          </w:tcPr>
          <w:p>
            <w:pPr>
              <w:spacing w:before="0" w:after="0" w:line="252" w:lineRule="auto"/>
              <w:jc w:val="left"/>
            </w:pPr>
            <w:r>
              <w:rPr>
                <w:rFonts w:ascii="Arial" w:hAnsi="Arial"/>
                <w:b w:val="0"/>
                <w:color w:val="000000"/>
                <w:sz w:val="20"/>
              </w:rPr>
              <w:t>Nonzero NO or short position</w:t>
            </w:r>
          </w:p>
        </w:tc>
        <w:tc>
          <w:tcPr>
            <w:tcW w:type="dxa" w:w="2592"/>
            <w:vAlign w:val="center"/>
            <w:shd w:fill="F4F5F6"/>
          </w:tcPr>
          <w:p>
            <w:pPr>
              <w:spacing w:before="0" w:after="0" w:line="252" w:lineRule="auto"/>
              <w:jc w:val="center"/>
            </w:pPr>
            <w:r>
              <w:rPr>
                <w:rFonts w:ascii="Arial" w:hAnsi="Arial"/>
                <w:b w:val="0"/>
                <w:color w:val="000000"/>
                <w:sz w:val="20"/>
              </w:rPr>
              <w:t>Include</w:t>
            </w:r>
          </w:p>
        </w:tc>
        <w:tc>
          <w:tcPr>
            <w:tcW w:type="dxa" w:w="2592"/>
            <w:vAlign w:val="center"/>
            <w:shd w:fill="F4F5F6"/>
          </w:tcPr>
          <w:p>
            <w:pPr>
              <w:spacing w:before="0" w:after="0" w:line="252" w:lineRule="auto"/>
              <w:jc w:val="center"/>
            </w:pPr>
            <w:r>
              <w:rPr>
                <w:rFonts w:ascii="Arial" w:hAnsi="Arial"/>
                <w:b w:val="0"/>
                <w:color w:val="000000"/>
                <w:sz w:val="20"/>
              </w:rPr>
              <w:t>Include</w:t>
            </w:r>
          </w:p>
        </w:tc>
      </w:tr>
      <w:tr>
        <w:trPr>
          <w:cantSplit/>
        </w:trPr>
        <w:tc>
          <w:tcPr>
            <w:tcW w:type="dxa" w:w="4810"/>
            <w:vAlign w:val="center"/>
            <w:shd w:fill="FFFFFF"/>
          </w:tcPr>
          <w:p>
            <w:pPr>
              <w:spacing w:before="0" w:after="0" w:line="252" w:lineRule="auto"/>
              <w:jc w:val="left"/>
            </w:pPr>
            <w:r>
              <w:rPr>
                <w:rFonts w:ascii="Arial" w:hAnsi="Arial"/>
                <w:b w:val="0"/>
                <w:color w:val="000000"/>
                <w:sz w:val="20"/>
              </w:rPr>
              <w:t>Nonzero position awaiting settlement</w:t>
            </w:r>
          </w:p>
        </w:tc>
        <w:tc>
          <w:tcPr>
            <w:tcW w:type="dxa" w:w="2592"/>
            <w:vAlign w:val="center"/>
            <w:shd w:fill="FFFFFF"/>
          </w:tcPr>
          <w:p>
            <w:pPr>
              <w:spacing w:before="0" w:after="0" w:line="252" w:lineRule="auto"/>
              <w:jc w:val="center"/>
            </w:pPr>
            <w:r>
              <w:rPr>
                <w:rFonts w:ascii="Arial" w:hAnsi="Arial"/>
                <w:b w:val="0"/>
                <w:color w:val="000000"/>
                <w:sz w:val="20"/>
              </w:rPr>
              <w:t>Include</w:t>
            </w:r>
          </w:p>
        </w:tc>
        <w:tc>
          <w:tcPr>
            <w:tcW w:type="dxa" w:w="2592"/>
            <w:vAlign w:val="center"/>
            <w:shd w:fill="FFFFFF"/>
          </w:tcPr>
          <w:p>
            <w:pPr>
              <w:spacing w:before="0" w:after="0" w:line="252" w:lineRule="auto"/>
              <w:jc w:val="center"/>
            </w:pPr>
            <w:r>
              <w:rPr>
                <w:rFonts w:ascii="Arial" w:hAnsi="Arial"/>
                <w:b w:val="0"/>
                <w:color w:val="000000"/>
                <w:sz w:val="20"/>
              </w:rPr>
              <w:t>Include</w:t>
            </w:r>
          </w:p>
        </w:tc>
      </w:tr>
      <w:tr>
        <w:trPr>
          <w:cantSplit/>
        </w:trPr>
        <w:tc>
          <w:tcPr>
            <w:tcW w:type="dxa" w:w="4810"/>
            <w:vAlign w:val="center"/>
            <w:shd w:fill="F4F5F6"/>
          </w:tcPr>
          <w:p>
            <w:pPr>
              <w:spacing w:before="0" w:after="0" w:line="252" w:lineRule="auto"/>
              <w:jc w:val="left"/>
            </w:pPr>
            <w:r>
              <w:rPr>
                <w:rFonts w:ascii="Arial" w:hAnsi="Arial"/>
                <w:b w:val="0"/>
                <w:color w:val="000000"/>
                <w:sz w:val="20"/>
              </w:rPr>
              <w:t>Retained zero-quantity record</w:t>
            </w:r>
          </w:p>
        </w:tc>
        <w:tc>
          <w:tcPr>
            <w:tcW w:type="dxa" w:w="2592"/>
            <w:vAlign w:val="center"/>
            <w:shd w:fill="F4F5F6"/>
          </w:tcPr>
          <w:p>
            <w:pPr>
              <w:spacing w:before="0" w:after="0" w:line="252" w:lineRule="auto"/>
              <w:jc w:val="center"/>
            </w:pPr>
            <w:r>
              <w:rPr>
                <w:rFonts w:ascii="Arial" w:hAnsi="Arial"/>
                <w:b w:val="0"/>
                <w:color w:val="000000"/>
                <w:sz w:val="20"/>
              </w:rPr>
              <w:t>Exclude</w:t>
            </w:r>
          </w:p>
        </w:tc>
        <w:tc>
          <w:tcPr>
            <w:tcW w:type="dxa" w:w="2592"/>
            <w:vAlign w:val="center"/>
            <w:shd w:fill="F4F5F6"/>
          </w:tcPr>
          <w:p>
            <w:pPr>
              <w:spacing w:before="0" w:after="0" w:line="252" w:lineRule="auto"/>
              <w:jc w:val="center"/>
            </w:pPr>
            <w:r>
              <w:rPr>
                <w:rFonts w:ascii="Arial" w:hAnsi="Arial"/>
                <w:b w:val="0"/>
                <w:color w:val="000000"/>
                <w:sz w:val="20"/>
              </w:rPr>
              <w:t>Include</w:t>
            </w:r>
          </w:p>
        </w:tc>
      </w:tr>
    </w:tbl>
    <w:p>
      <w:pPr>
        <w:spacing w:after="0" w:before="0" w:line="240" w:lineRule="auto"/>
      </w:pPr>
      <w:r>
        <w:rPr>
          <w:sz w:val="6"/>
        </w:rPr>
      </w:r>
    </w:p>
    <w:p>
      <w:r>
        <w:t>Implement the filter in the service or gateway before page selection. A parameter that silently does nothing is not a reliable contract. If the intended meaning is market closure rather than zero quantity, use separate filters with explicit names and preserve the existing interface through a documented migration.</w:t>
      </w:r>
    </w:p>
    <w:p>
      <w:pPr>
        <w:pStyle w:val="Heading2"/>
      </w:pPr>
      <w:r>
        <w:t>Clarify the position record</w:t>
      </w:r>
    </w:p>
    <w:p>
      <w:r>
        <w:t>For binaries, define net_qty as signed YES quantity: positive YES, negative NO. Define average cost per contract on the held outcome’s scale. For example, 100 NO purchased at 40 cents has a proposed net_qty of −100 and per-contract average cost of 400000 micro-USDC. On crossing through zero, realize P&amp;L on the closed quantity and initialize the remaining position’s cost from the opening fills.</w:t>
      </w:r>
    </w:p>
    <w:p>
      <w:r>
        <w:t>For futures, separately specify long/short sign, quote units, realized P&amp;L treatment and the applicable mark. A generic avg_cost_micro_usdc field is insufficient if it mixes a futures quote level with a monetary cost. Either document the conversion precisely or expose an explicit average entry price and its unit.</w:t>
      </w:r>
    </w:p>
    <w:p>
      <w:r>
        <w:t>Define the mark used for unrealized P&amp;L, how stale or missing marks are represented, whether fees are included, and the retention period for flat records. A missing mark should not silently imply zero P&amp;L. Settlement should have a documented quantity transition and a corresponding ledger event.</w:t>
      </w:r>
    </w:p>
    <w:p>
      <w:pPr>
        <w:pStyle w:val="Heading2"/>
      </w:pPr>
      <w:r>
        <w:t>Pagination and acceptance criteria</w:t>
      </w:r>
    </w:p>
    <w:p>
      <w:r>
        <w:t>If pagination is supported, publish limit, cursor, ordering, cursor scope and stability during updates. A cursor must preserve the active filters. If the endpoint is intentionally unpaginated, say so and explain the empty next_cursor field.</w:t>
      </w:r>
    </w:p>
    <w:p>
      <w:r>
        <w:t>Test positive, negative and zero positions; a nonzero closed-market position; an account crossing through zero; settlement; stale valuation; and filtering across page boundaries. The signed position must reconcile to fills and settlement adjustments at a stated sequence.</w:t>
      </w:r>
    </w:p>
    <w:p>
      <w:pPr>
        <w:pStyle w:val="Heading1"/>
        <w:pageBreakBefore/>
      </w:pPr>
      <w:r>
        <w:t>5 WebSocket sequence definitions</w:t>
      </w:r>
    </w:p>
    <w:p>
      <w:r>
        <w:t>Documented behavior. REST snapshots use seq; WebSocket snapshots also use seq; deltas use contract_seq and global_seq. Clients are instructed to apply the next contract sequence and fetch a REST snapshot on a gap. The document does not establish one comparable snapshot and delta sequence domain. [1]</w:t>
      </w:r>
    </w:p>
    <w:p>
      <w:pPr>
        <w:pStyle w:val="Heading2"/>
      </w:pPr>
      <w:r>
        <w:t>Specify which sequence proves book continuity</w:t>
      </w:r>
    </w:p>
    <w:p>
      <w:r>
        <w:t>Proposed definition. A per-market book sequence orders every public book update. A snapshot at S includes all book changes through S; the next required update is S+1. REST and WebSocket snapshots must identify the same book sequence domain.</w:t>
      </w:r>
    </w:p>
    <w:p>
      <w:r>
        <w:t>If contract_seq already satisfies that rule, retain it and document the mapping from snapshot seq. If it also advances for private or non-book events, a book client cannot use numeric gaps as proof of loss. Introduce a dedicated book_seq or an explicit predecessor relationship instead. Global sequences can legitimately skip in a stream filtered to one market.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592"/>
        <w:gridCol w:w="7402"/>
      </w:tblGrid>
      <w:tr>
        <w:trPr>
          <w:cantSplit/>
          <w:tblHeader/>
        </w:trPr>
        <w:tc>
          <w:tcPr>
            <w:tcW w:type="dxa" w:w="2592"/>
            <w:vAlign w:val="center"/>
            <w:shd w:fill="333333"/>
          </w:tcPr>
          <w:p>
            <w:pPr>
              <w:spacing w:before="0" w:after="0" w:line="252" w:lineRule="auto"/>
              <w:jc w:val="left"/>
            </w:pPr>
            <w:r>
              <w:rPr>
                <w:rFonts w:ascii="Arial" w:hAnsi="Arial"/>
                <w:b/>
                <w:color w:val="FFFFFF"/>
                <w:sz w:val="20"/>
              </w:rPr>
              <w:t>Sequence property</w:t>
            </w:r>
          </w:p>
        </w:tc>
        <w:tc>
          <w:tcPr>
            <w:tcW w:type="dxa" w:w="7402"/>
            <w:vAlign w:val="center"/>
            <w:shd w:fill="333333"/>
          </w:tcPr>
          <w:p>
            <w:pPr>
              <w:spacing w:before="0" w:after="0" w:line="252" w:lineRule="auto"/>
              <w:jc w:val="left"/>
            </w:pPr>
            <w:r>
              <w:rPr>
                <w:rFonts w:ascii="Arial" w:hAnsi="Arial"/>
                <w:b/>
                <w:color w:val="FFFFFF"/>
                <w:sz w:val="20"/>
              </w:rPr>
              <w:t>Contract to publish</w:t>
            </w:r>
          </w:p>
        </w:tc>
      </w:tr>
      <w:tr>
        <w:trPr>
          <w:cantSplit/>
        </w:trPr>
        <w:tc>
          <w:tcPr>
            <w:tcW w:type="dxa" w:w="2592"/>
            <w:vAlign w:val="center"/>
            <w:shd w:fill="FFFFFF"/>
          </w:tcPr>
          <w:p>
            <w:pPr>
              <w:spacing w:before="0" w:after="0" w:line="252" w:lineRule="auto"/>
              <w:jc w:val="left"/>
            </w:pPr>
            <w:r>
              <w:rPr>
                <w:rFonts w:ascii="Arial" w:hAnsi="Arial"/>
                <w:b w:val="0"/>
                <w:color w:val="000000"/>
                <w:sz w:val="20"/>
              </w:rPr>
              <w:t>Scope</w:t>
            </w:r>
          </w:p>
        </w:tc>
        <w:tc>
          <w:tcPr>
            <w:tcW w:type="dxa" w:w="7402"/>
            <w:vAlign w:val="center"/>
            <w:shd w:fill="FFFFFF"/>
          </w:tcPr>
          <w:p>
            <w:pPr>
              <w:spacing w:before="0" w:after="0" w:line="252" w:lineRule="auto"/>
              <w:jc w:val="left"/>
            </w:pPr>
            <w:r>
              <w:rPr>
                <w:rFonts w:ascii="Arial" w:hAnsi="Arial"/>
                <w:b w:val="0"/>
                <w:color w:val="000000"/>
                <w:sz w:val="20"/>
              </w:rPr>
              <w:t>Market, channel and any depth or aggregation variant</w:t>
            </w:r>
          </w:p>
        </w:tc>
      </w:tr>
      <w:tr>
        <w:trPr>
          <w:cantSplit/>
        </w:trPr>
        <w:tc>
          <w:tcPr>
            <w:tcW w:type="dxa" w:w="2592"/>
            <w:vAlign w:val="center"/>
            <w:shd w:fill="F4F5F6"/>
          </w:tcPr>
          <w:p>
            <w:pPr>
              <w:spacing w:before="0" w:after="0" w:line="252" w:lineRule="auto"/>
              <w:jc w:val="left"/>
            </w:pPr>
            <w:r>
              <w:rPr>
                <w:rFonts w:ascii="Arial" w:hAnsi="Arial"/>
                <w:b w:val="0"/>
                <w:color w:val="000000"/>
                <w:sz w:val="20"/>
              </w:rPr>
              <w:t>Increment</w:t>
            </w:r>
          </w:p>
        </w:tc>
        <w:tc>
          <w:tcPr>
            <w:tcW w:type="dxa" w:w="7402"/>
            <w:vAlign w:val="center"/>
            <w:shd w:fill="F4F5F6"/>
          </w:tcPr>
          <w:p>
            <w:pPr>
              <w:spacing w:before="0" w:after="0" w:line="252" w:lineRule="auto"/>
              <w:jc w:val="left"/>
            </w:pPr>
            <w:r>
              <w:rPr>
                <w:rFonts w:ascii="Arial" w:hAnsi="Arial"/>
                <w:b w:val="0"/>
                <w:color w:val="000000"/>
                <w:sz w:val="20"/>
              </w:rPr>
              <w:t>One per complete book event or one per individual message</w:t>
            </w:r>
          </w:p>
        </w:tc>
      </w:tr>
      <w:tr>
        <w:trPr>
          <w:cantSplit/>
        </w:trPr>
        <w:tc>
          <w:tcPr>
            <w:tcW w:type="dxa" w:w="2592"/>
            <w:vAlign w:val="center"/>
            <w:shd w:fill="FFFFFF"/>
          </w:tcPr>
          <w:p>
            <w:pPr>
              <w:spacing w:before="0" w:after="0" w:line="252" w:lineRule="auto"/>
              <w:jc w:val="left"/>
            </w:pPr>
            <w:r>
              <w:rPr>
                <w:rFonts w:ascii="Arial" w:hAnsi="Arial"/>
                <w:b w:val="0"/>
                <w:color w:val="000000"/>
                <w:sz w:val="20"/>
              </w:rPr>
              <w:t>Multiple level changes</w:t>
            </w:r>
          </w:p>
        </w:tc>
        <w:tc>
          <w:tcPr>
            <w:tcW w:type="dxa" w:w="7402"/>
            <w:vAlign w:val="center"/>
            <w:shd w:fill="FFFFFF"/>
          </w:tcPr>
          <w:p>
            <w:pPr>
              <w:spacing w:before="0" w:after="0" w:line="252" w:lineRule="auto"/>
              <w:jc w:val="left"/>
            </w:pPr>
            <w:r>
              <w:rPr>
                <w:rFonts w:ascii="Arial" w:hAnsi="Arial"/>
                <w:b w:val="0"/>
                <w:color w:val="000000"/>
                <w:sz w:val="20"/>
              </w:rPr>
              <w:t>One atomic batch, or a documented fragment index and completion rule</w:t>
            </w:r>
          </w:p>
        </w:tc>
      </w:tr>
      <w:tr>
        <w:trPr>
          <w:cantSplit/>
        </w:trPr>
        <w:tc>
          <w:tcPr>
            <w:tcW w:type="dxa" w:w="2592"/>
            <w:vAlign w:val="center"/>
            <w:shd w:fill="F4F5F6"/>
          </w:tcPr>
          <w:p>
            <w:pPr>
              <w:spacing w:before="0" w:after="0" w:line="252" w:lineRule="auto"/>
              <w:jc w:val="left"/>
            </w:pPr>
            <w:r>
              <w:rPr>
                <w:rFonts w:ascii="Arial" w:hAnsi="Arial"/>
                <w:b w:val="0"/>
                <w:color w:val="000000"/>
                <w:sz w:val="20"/>
              </w:rPr>
              <w:t>Restart behavior</w:t>
            </w:r>
          </w:p>
        </w:tc>
        <w:tc>
          <w:tcPr>
            <w:tcW w:type="dxa" w:w="7402"/>
            <w:vAlign w:val="center"/>
            <w:shd w:fill="F4F5F6"/>
          </w:tcPr>
          <w:p>
            <w:pPr>
              <w:spacing w:before="0" w:after="0" w:line="252" w:lineRule="auto"/>
              <w:jc w:val="left"/>
            </w:pPr>
            <w:r>
              <w:rPr>
                <w:rFonts w:ascii="Arial" w:hAnsi="Arial"/>
                <w:b w:val="0"/>
                <w:color w:val="000000"/>
                <w:sz w:val="20"/>
              </w:rPr>
              <w:t>Persist monotonic sequence values or issue a new book epoch</w:t>
            </w:r>
          </w:p>
        </w:tc>
      </w:tr>
      <w:tr>
        <w:trPr>
          <w:cantSplit/>
        </w:trPr>
        <w:tc>
          <w:tcPr>
            <w:tcW w:type="dxa" w:w="2592"/>
            <w:vAlign w:val="center"/>
            <w:shd w:fill="FFFFFF"/>
          </w:tcPr>
          <w:p>
            <w:pPr>
              <w:spacing w:before="0" w:after="0" w:line="252" w:lineRule="auto"/>
              <w:jc w:val="left"/>
            </w:pPr>
            <w:r>
              <w:rPr>
                <w:rFonts w:ascii="Arial" w:hAnsi="Arial"/>
                <w:b w:val="0"/>
                <w:color w:val="000000"/>
                <w:sz w:val="20"/>
              </w:rPr>
              <w:t>Snapshot consistency</w:t>
            </w:r>
          </w:p>
        </w:tc>
        <w:tc>
          <w:tcPr>
            <w:tcW w:type="dxa" w:w="7402"/>
            <w:vAlign w:val="center"/>
            <w:shd w:fill="FFFFFF"/>
          </w:tcPr>
          <w:p>
            <w:pPr>
              <w:spacing w:before="0" w:after="0" w:line="252" w:lineRule="auto"/>
              <w:jc w:val="left"/>
            </w:pPr>
            <w:r>
              <w:rPr>
                <w:rFonts w:ascii="Arial" w:hAnsi="Arial"/>
                <w:b w:val="0"/>
                <w:color w:val="000000"/>
                <w:sz w:val="20"/>
              </w:rPr>
              <w:t>Book contents and sequence captured from the same state</w:t>
            </w:r>
          </w:p>
        </w:tc>
      </w:tr>
    </w:tbl>
    <w:p>
      <w:pPr>
        <w:spacing w:after="0" w:before="0" w:line="240" w:lineRule="auto"/>
      </w:pPr>
      <w:r>
        <w:rPr>
          <w:sz w:val="6"/>
        </w:rPr>
      </w:r>
    </w:p>
    <w:p>
      <w:pPr>
        <w:pStyle w:val="Heading2"/>
      </w:pPr>
      <w:r>
        <w:t>Make delta application deterministic</w:t>
      </w:r>
    </w:p>
    <w:p>
      <w:r>
        <w:t>The current delta exposes both qty_delta and new_total_qty. Recommend that new_total_qty be authoritative and qty_delta be a consistency check when the previous quantity is known. A client must not add the delta and then add the total. A zero total deletes the level; negative quantities indicate an invalid update or local state.</w:t>
      </w:r>
    </w:p>
    <w:p>
      <w:r>
        <w:t>Document the enum behind side: 1. A versioned field book_side with BID or ASK avoids confusing book direction with YES or NO outcome. If order_count is part of the maintained book, send its updated value or a corresponding delta. Otherwise label it snapshot-only and explain how clients refresh it.</w:t>
      </w:r>
    </w:p>
    <w:p>
      <w:r>
        <w:t>Illustrative proposed delta using explicit fields:</w:t>
      </w:r>
    </w:p>
    <w:p>
      <w:pPr>
        <w:spacing w:after="0" w:line="240" w:lineRule="auto"/>
        <w:ind w:left="173"/>
      </w:pPr>
      <w:r>
        <w:rPr>
          <w:rFonts w:ascii="Courier New" w:hAnsi="Courier New"/>
          <w:sz w:val="19"/>
        </w:rPr>
        <w:t>{</w:t>
      </w:r>
    </w:p>
    <w:p>
      <w:pPr>
        <w:spacing w:after="0" w:line="240" w:lineRule="auto"/>
        <w:ind w:left="173"/>
      </w:pPr>
      <w:r>
        <w:rPr>
          <w:rFonts w:ascii="Courier New" w:hAnsi="Courier New"/>
          <w:sz w:val="19"/>
        </w:rPr>
        <w:t xml:space="preserve">  "type": "market_book_delta",</w:t>
      </w:r>
    </w:p>
    <w:p>
      <w:pPr>
        <w:spacing w:after="0" w:line="240" w:lineRule="auto"/>
        <w:ind w:left="173"/>
      </w:pPr>
      <w:r>
        <w:rPr>
          <w:rFonts w:ascii="Courier New" w:hAnsi="Courier New"/>
          <w:sz w:val="19"/>
        </w:rPr>
        <w:t xml:space="preserve">  "ticker": "SX-FEDDEC-26OCT-H25",</w:t>
      </w:r>
    </w:p>
    <w:p>
      <w:pPr>
        <w:spacing w:after="0" w:line="240" w:lineRule="auto"/>
        <w:ind w:left="173"/>
      </w:pPr>
      <w:r>
        <w:rPr>
          <w:rFonts w:ascii="Courier New" w:hAnsi="Courier New"/>
          <w:sz w:val="19"/>
        </w:rPr>
        <w:t xml:space="preserve">  "book_epoch": "epoch-7",</w:t>
      </w:r>
    </w:p>
    <w:p>
      <w:pPr>
        <w:spacing w:after="0" w:line="240" w:lineRule="auto"/>
        <w:ind w:left="173"/>
      </w:pPr>
      <w:r>
        <w:rPr>
          <w:rFonts w:ascii="Courier New" w:hAnsi="Courier New"/>
          <w:sz w:val="19"/>
        </w:rPr>
        <w:t xml:space="preserve">  "book_seq": 422,</w:t>
      </w:r>
    </w:p>
    <w:p>
      <w:pPr>
        <w:spacing w:after="0" w:line="240" w:lineRule="auto"/>
        <w:ind w:left="173"/>
      </w:pPr>
      <w:r>
        <w:rPr>
          <w:rFonts w:ascii="Courier New" w:hAnsi="Courier New"/>
          <w:sz w:val="19"/>
        </w:rPr>
        <w:t xml:space="preserve">  "book_side": "BID",</w:t>
      </w:r>
    </w:p>
    <w:p>
      <w:pPr>
        <w:spacing w:after="0" w:line="240" w:lineRule="auto"/>
        <w:ind w:left="173"/>
      </w:pPr>
      <w:r>
        <w:rPr>
          <w:rFonts w:ascii="Courier New" w:hAnsi="Courier New"/>
          <w:sz w:val="19"/>
        </w:rPr>
        <w:t xml:space="preserve">  "price_ticks": 49,</w:t>
      </w:r>
    </w:p>
    <w:p>
      <w:pPr>
        <w:spacing w:after="0" w:line="240" w:lineRule="auto"/>
        <w:ind w:left="173"/>
      </w:pPr>
      <w:r>
        <w:rPr>
          <w:rFonts w:ascii="Courier New" w:hAnsi="Courier New"/>
          <w:sz w:val="19"/>
        </w:rPr>
        <w:t xml:space="preserve">  "new_total_qty": 110,</w:t>
      </w:r>
    </w:p>
    <w:p>
      <w:pPr>
        <w:spacing w:after="0" w:line="240" w:lineRule="auto"/>
        <w:ind w:left="173"/>
      </w:pPr>
      <w:r>
        <w:rPr>
          <w:rFonts w:ascii="Courier New" w:hAnsi="Courier New"/>
          <w:sz w:val="19"/>
        </w:rPr>
        <w:t xml:space="preserve">  "new_order_count": 7</w:t>
      </w:r>
    </w:p>
    <w:p>
      <w:pPr>
        <w:spacing w:after="0" w:line="240" w:lineRule="auto"/>
        <w:ind w:left="173"/>
      </w:pPr>
      <w:r>
        <w:rPr>
          <w:rFonts w:ascii="Courier New" w:hAnsi="Courier New"/>
          <w:sz w:val="19"/>
        </w:rPr>
        <w:t>}</w:t>
      </w:r>
    </w:p>
    <w:p>
      <w:pPr>
        <w:spacing w:after="40"/>
      </w:pPr>
      <w:r>
        <w:rPr>
          <w:sz w:val="6"/>
        </w:rPr>
      </w:r>
    </w:p>
    <w:p>
      <w:r>
        <w:t>book_seq, book_epoch, book_side and new_order_count are proposed additions. Do not add them as aliases until the backend guarantees their stated meaning.</w:t>
      </w:r>
    </w:p>
    <w:p>
      <w:pPr>
        <w:pStyle w:val="Heading1"/>
        <w:pageBreakBefore/>
      </w:pPr>
      <w:r>
        <w:t>5 Recovery without losing updates</w:t>
      </w:r>
    </w:p>
    <w:p>
      <w:r>
        <w:t>A correct recovery procedure must cover updates arriving while the REST snapshot is fetched. Fetching a snapshot and only then starting the stream can lose changes between those actions.</w:t>
      </w:r>
    </w:p>
    <w:p>
      <w:pPr>
        <w:pStyle w:val="Heading2"/>
      </w:pPr>
      <w:r>
        <w:t>Proposed recovery procedure</w:t>
      </w:r>
    </w:p>
    <w:p>
      <w:pPr>
        <w:pStyle w:val="ListNumber"/>
        <w:numPr>
          <w:ilvl w:val="0"/>
          <w:numId w:val="10"/>
        </w:numPr>
      </w:pPr>
      <w:r>
        <w:t>Establish the subscription and a documented start boundary. Buffer subsequent updates while the snapshot is being obtained. The subscription acknowledgement must identify when delivery coverage begins.</w:t>
      </w:r>
    </w:p>
    <w:p>
      <w:pPr>
        <w:pStyle w:val="ListNumber"/>
        <w:numPr>
          <w:ilvl w:val="0"/>
          <w:numId w:val="10"/>
        </w:numPr>
      </w:pPr>
      <w:r>
        <w:t>Fetch a consistent snapshot at book sequence S, including the current epoch and the relevant depth or book scope.</w:t>
      </w:r>
    </w:p>
    <w:p>
      <w:pPr>
        <w:pStyle w:val="ListNumber"/>
        <w:numPr>
          <w:ilvl w:val="0"/>
          <w:numId w:val="10"/>
        </w:numPr>
      </w:pPr>
      <w:r>
        <w:t>Replace the local book with that snapshot. Discard buffered updates already included in S, provided they belong to the same epoch.</w:t>
      </w:r>
    </w:p>
    <w:p>
      <w:pPr>
        <w:pStyle w:val="ListNumber"/>
        <w:numPr>
          <w:ilvl w:val="0"/>
          <w:numId w:val="10"/>
        </w:numPr>
      </w:pPr>
      <w:r>
        <w:t>Apply buffered events starting at S+1 in order, preserving atomic batches. Then continue with live events. Ignore verified duplicates already applied.</w:t>
      </w:r>
    </w:p>
    <w:p>
      <w:pPr>
        <w:pStyle w:val="ListNumber"/>
        <w:numPr>
          <w:ilvl w:val="0"/>
          <w:numId w:val="10"/>
        </w:numPr>
      </w:pPr>
      <w:r>
        <w:t>If the required next event is absent, the epoch changes, or the buffer cannot retain the required updates, rebuild again. Do not publish the incomplete book as current.</w:t>
      </w:r>
    </w:p>
    <w:p>
      <w:r>
        <w:t>An initial WebSocket snapshot can replace the REST step when the service guarantees a snapshot-to-delta handoff with the same ordering properties. The transport may differ; the continuity guarantee must remain explicit.</w:t>
      </w:r>
    </w:p>
    <w:p>
      <w:pPr>
        <w:pStyle w:val="Heading2"/>
      </w:pPr>
      <w:r>
        <w:t>Example of buffering during a snapshot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320"/>
        <w:gridCol w:w="5674"/>
      </w:tblGrid>
      <w:tr>
        <w:trPr>
          <w:cantSplit/>
          <w:tblHeader/>
        </w:trPr>
        <w:tc>
          <w:tcPr>
            <w:tcW w:type="dxa" w:w="4320"/>
            <w:vAlign w:val="center"/>
            <w:shd w:fill="333333"/>
          </w:tcPr>
          <w:p>
            <w:pPr>
              <w:spacing w:before="0" w:after="0" w:line="252" w:lineRule="auto"/>
              <w:jc w:val="left"/>
            </w:pPr>
            <w:r>
              <w:rPr>
                <w:rFonts w:ascii="Arial" w:hAnsi="Arial"/>
                <w:b/>
                <w:color w:val="FFFFFF"/>
                <w:sz w:val="20"/>
              </w:rPr>
              <w:t>Observation</w:t>
            </w:r>
          </w:p>
        </w:tc>
        <w:tc>
          <w:tcPr>
            <w:tcW w:type="dxa" w:w="5674"/>
            <w:vAlign w:val="center"/>
            <w:shd w:fill="333333"/>
          </w:tcPr>
          <w:p>
            <w:pPr>
              <w:spacing w:before="0" w:after="0" w:line="252" w:lineRule="auto"/>
              <w:jc w:val="left"/>
            </w:pPr>
            <w:r>
              <w:rPr>
                <w:rFonts w:ascii="Arial" w:hAnsi="Arial"/>
                <w:b/>
                <w:color w:val="FFFFFF"/>
                <w:sz w:val="20"/>
              </w:rPr>
              <w:t>Client action</w:t>
            </w:r>
          </w:p>
        </w:tc>
      </w:tr>
      <w:tr>
        <w:trPr>
          <w:cantSplit/>
        </w:trPr>
        <w:tc>
          <w:tcPr>
            <w:tcW w:type="dxa" w:w="4320"/>
            <w:vAlign w:val="center"/>
            <w:shd w:fill="FFFFFF"/>
          </w:tcPr>
          <w:p>
            <w:pPr>
              <w:spacing w:before="0" w:after="0" w:line="252" w:lineRule="auto"/>
              <w:jc w:val="left"/>
            </w:pPr>
            <w:r>
              <w:rPr>
                <w:rFonts w:ascii="Arial" w:hAnsi="Arial"/>
                <w:b w:val="0"/>
                <w:color w:val="000000"/>
                <w:sz w:val="20"/>
              </w:rPr>
              <w:t>Buffered updates 420, 421 and 422 arrive</w:t>
            </w:r>
          </w:p>
        </w:tc>
        <w:tc>
          <w:tcPr>
            <w:tcW w:type="dxa" w:w="5674"/>
            <w:vAlign w:val="center"/>
            <w:shd w:fill="FFFFFF"/>
          </w:tcPr>
          <w:p>
            <w:pPr>
              <w:spacing w:before="0" w:after="0" w:line="252" w:lineRule="auto"/>
              <w:jc w:val="left"/>
            </w:pPr>
            <w:r>
              <w:rPr>
                <w:rFonts w:ascii="Arial" w:hAnsi="Arial"/>
                <w:b w:val="0"/>
                <w:color w:val="000000"/>
                <w:sz w:val="20"/>
              </w:rPr>
              <w:t>Retain them while fetching the snapshot</w:t>
            </w:r>
          </w:p>
        </w:tc>
      </w:tr>
      <w:tr>
        <w:trPr>
          <w:cantSplit/>
        </w:trPr>
        <w:tc>
          <w:tcPr>
            <w:tcW w:type="dxa" w:w="4320"/>
            <w:vAlign w:val="center"/>
            <w:shd w:fill="F4F5F6"/>
          </w:tcPr>
          <w:p>
            <w:pPr>
              <w:spacing w:before="0" w:after="0" w:line="252" w:lineRule="auto"/>
              <w:jc w:val="left"/>
            </w:pPr>
            <w:r>
              <w:rPr>
                <w:rFonts w:ascii="Arial" w:hAnsi="Arial"/>
                <w:b w:val="0"/>
                <w:color w:val="000000"/>
                <w:sz w:val="20"/>
              </w:rPr>
              <w:t>REST snapshot arrives with S = 421</w:t>
            </w:r>
          </w:p>
        </w:tc>
        <w:tc>
          <w:tcPr>
            <w:tcW w:type="dxa" w:w="5674"/>
            <w:vAlign w:val="center"/>
            <w:shd w:fill="F4F5F6"/>
          </w:tcPr>
          <w:p>
            <w:pPr>
              <w:spacing w:before="0" w:after="0" w:line="252" w:lineRule="auto"/>
              <w:jc w:val="left"/>
            </w:pPr>
            <w:r>
              <w:rPr>
                <w:rFonts w:ascii="Arial" w:hAnsi="Arial"/>
                <w:b w:val="0"/>
                <w:color w:val="000000"/>
                <w:sz w:val="20"/>
              </w:rPr>
              <w:t>Install it and discard updates through 421</w:t>
            </w:r>
          </w:p>
        </w:tc>
      </w:tr>
      <w:tr>
        <w:trPr>
          <w:cantSplit/>
        </w:trPr>
        <w:tc>
          <w:tcPr>
            <w:tcW w:type="dxa" w:w="4320"/>
            <w:vAlign w:val="center"/>
            <w:shd w:fill="FFFFFF"/>
          </w:tcPr>
          <w:p>
            <w:pPr>
              <w:spacing w:before="0" w:after="0" w:line="252" w:lineRule="auto"/>
              <w:jc w:val="left"/>
            </w:pPr>
            <w:r>
              <w:rPr>
                <w:rFonts w:ascii="Arial" w:hAnsi="Arial"/>
                <w:b w:val="0"/>
                <w:color w:val="000000"/>
                <w:sz w:val="20"/>
              </w:rPr>
              <w:t>Buffered update 422 is available</w:t>
            </w:r>
          </w:p>
        </w:tc>
        <w:tc>
          <w:tcPr>
            <w:tcW w:type="dxa" w:w="5674"/>
            <w:vAlign w:val="center"/>
            <w:shd w:fill="FFFFFF"/>
          </w:tcPr>
          <w:p>
            <w:pPr>
              <w:spacing w:before="0" w:after="0" w:line="252" w:lineRule="auto"/>
              <w:jc w:val="left"/>
            </w:pPr>
            <w:r>
              <w:rPr>
                <w:rFonts w:ascii="Arial" w:hAnsi="Arial"/>
                <w:b w:val="0"/>
                <w:color w:val="000000"/>
                <w:sz w:val="20"/>
              </w:rPr>
              <w:t>Apply 422 and resume live processing</w:t>
            </w:r>
          </w:p>
        </w:tc>
      </w:tr>
      <w:tr>
        <w:trPr>
          <w:cantSplit/>
        </w:trPr>
        <w:tc>
          <w:tcPr>
            <w:tcW w:type="dxa" w:w="4320"/>
            <w:vAlign w:val="center"/>
            <w:shd w:fill="F4F5F6"/>
          </w:tcPr>
          <w:p>
            <w:pPr>
              <w:spacing w:before="0" w:after="0" w:line="252" w:lineRule="auto"/>
              <w:jc w:val="left"/>
            </w:pPr>
            <w:r>
              <w:rPr>
                <w:rFonts w:ascii="Arial" w:hAnsi="Arial"/>
                <w:b w:val="0"/>
                <w:color w:val="000000"/>
                <w:sz w:val="20"/>
              </w:rPr>
              <w:t>Next received update is 424; 423 is absent</w:t>
            </w:r>
          </w:p>
        </w:tc>
        <w:tc>
          <w:tcPr>
            <w:tcW w:type="dxa" w:w="5674"/>
            <w:vAlign w:val="center"/>
            <w:shd w:fill="F4F5F6"/>
          </w:tcPr>
          <w:p>
            <w:pPr>
              <w:spacing w:before="0" w:after="0" w:line="252" w:lineRule="auto"/>
              <w:jc w:val="left"/>
            </w:pPr>
            <w:r>
              <w:rPr>
                <w:rFonts w:ascii="Arial" w:hAnsi="Arial"/>
                <w:b w:val="0"/>
                <w:color w:val="000000"/>
                <w:sz w:val="20"/>
              </w:rPr>
              <w:t>Mark local book invalid and recover</w:t>
            </w:r>
          </w:p>
        </w:tc>
      </w:tr>
    </w:tbl>
    <w:p>
      <w:pPr>
        <w:spacing w:after="0" w:before="0" w:line="240" w:lineRule="auto"/>
      </w:pPr>
      <w:r>
        <w:rPr>
          <w:sz w:val="6"/>
        </w:rPr>
      </w:r>
    </w:p>
    <w:p>
      <w:pPr>
        <w:pStyle w:val="Heading2"/>
      </w:pPr>
      <w:r>
        <w:t>Depth and connection behavior</w:t>
      </w:r>
    </w:p>
    <w:p>
      <w:r>
        <w:t>REST depth is currently limited to 1 through 100. Specify whether the stream describes the full book or a maintained top-N view. A top-N snapshot plus arbitrary full-book deltas does not necessarily reconstruct levels that were outside the initial snapshot. Provide replacement levels when they enter the visible depth, a supported full snapshot, or a clearly bounded client view.</w:t>
      </w:r>
    </w:p>
    <w:p>
      <w:r>
        <w:t>Document reconnect behavior, heartbeat or idle detection, subscription limits, unsupported unsubscribe behavior, and any replay capability. The current private channel carries fills only. Clients cannot treat it as a complete order, cancellation or balance feed; they must reconcile those states through the corresponding authenticated REST endpoints.</w:t>
      </w:r>
    </w:p>
    <w:p>
      <w:pPr>
        <w:pStyle w:val="Heading2"/>
      </w:pPr>
      <w:r>
        <w:t>Acceptance criteria</w:t>
      </w:r>
    </w:p>
    <w:p>
      <w:r>
        <w:t>Inject a missing event, duplicate event, delayed event, multi-level update, server restart and buffer overflow. Mutate the book during snapshot retrieval. Remove best levels so deeper levels enter the requested depth. After recovery, compare both quantities and counts against an authoritative snapshot at the same sequence.</w:t>
      </w:r>
    </w:p>
    <w:p>
      <w:pPr>
        <w:pStyle w:val="Heading1"/>
        <w:pageBreakBefore/>
      </w:pPr>
      <w:r>
        <w:t>6 Idempotency guarantees</w:t>
      </w:r>
    </w:p>
    <w:p>
      <w:r>
        <w:t>Documented behavior. Idempotency keys are scoped to authenticated user, HTTP method and request path. Same-key retries return the stored response; a changed body returns 409 IDEMPOTENCY_KEY_REUSED. Persistence, concurrency and expiry are not specified. [1]</w:t>
      </w:r>
    </w:p>
    <w:p>
      <w:pPr>
        <w:pStyle w:val="Heading2"/>
      </w:pPr>
      <w:r>
        <w:t>One operation despite concurrent or delayed retries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3816"/>
        <w:gridCol w:w="6178"/>
      </w:tblGrid>
      <w:tr>
        <w:trPr>
          <w:cantSplit/>
          <w:tblHeader/>
        </w:trPr>
        <w:tc>
          <w:tcPr>
            <w:tcW w:type="dxa" w:w="3816"/>
            <w:vAlign w:val="center"/>
            <w:shd w:fill="333333"/>
          </w:tcPr>
          <w:p>
            <w:pPr>
              <w:spacing w:before="0" w:after="0" w:line="252" w:lineRule="auto"/>
              <w:jc w:val="left"/>
            </w:pPr>
            <w:r>
              <w:rPr>
                <w:rFonts w:ascii="Arial" w:hAnsi="Arial"/>
                <w:b/>
                <w:color w:val="FFFFFF"/>
                <w:sz w:val="20"/>
              </w:rPr>
              <w:t>Situation</w:t>
            </w:r>
          </w:p>
        </w:tc>
        <w:tc>
          <w:tcPr>
            <w:tcW w:type="dxa" w:w="6178"/>
            <w:vAlign w:val="center"/>
            <w:shd w:fill="333333"/>
          </w:tcPr>
          <w:p>
            <w:pPr>
              <w:spacing w:before="0" w:after="0" w:line="252" w:lineRule="auto"/>
              <w:jc w:val="left"/>
            </w:pPr>
            <w:r>
              <w:rPr>
                <w:rFonts w:ascii="Arial" w:hAnsi="Arial"/>
                <w:b/>
                <w:color w:val="FFFFFF"/>
                <w:sz w:val="20"/>
              </w:rPr>
              <w:t>Proposed behavior</w:t>
            </w:r>
          </w:p>
        </w:tc>
      </w:tr>
      <w:tr>
        <w:trPr>
          <w:cantSplit/>
        </w:trPr>
        <w:tc>
          <w:tcPr>
            <w:tcW w:type="dxa" w:w="3816"/>
            <w:vAlign w:val="center"/>
            <w:shd w:fill="FFFFFF"/>
          </w:tcPr>
          <w:p>
            <w:pPr>
              <w:spacing w:before="0" w:after="0" w:line="252" w:lineRule="auto"/>
              <w:jc w:val="left"/>
            </w:pPr>
            <w:r>
              <w:rPr>
                <w:rFonts w:ascii="Arial" w:hAnsi="Arial"/>
                <w:b w:val="0"/>
                <w:color w:val="000000"/>
                <w:sz w:val="20"/>
              </w:rPr>
              <w:t>Same key and same normalized request</w:t>
            </w:r>
          </w:p>
        </w:tc>
        <w:tc>
          <w:tcPr>
            <w:tcW w:type="dxa" w:w="6178"/>
            <w:vAlign w:val="center"/>
            <w:shd w:fill="FFFFFF"/>
          </w:tcPr>
          <w:p>
            <w:pPr>
              <w:spacing w:before="0" w:after="0" w:line="252" w:lineRule="auto"/>
              <w:jc w:val="left"/>
            </w:pPr>
            <w:r>
              <w:rPr>
                <w:rFonts w:ascii="Arial" w:hAnsi="Arial"/>
                <w:b w:val="0"/>
                <w:color w:val="000000"/>
                <w:sz w:val="20"/>
              </w:rPr>
              <w:t>Return the original stored result without repeating effects</w:t>
            </w:r>
          </w:p>
        </w:tc>
      </w:tr>
      <w:tr>
        <w:trPr>
          <w:cantSplit/>
        </w:trPr>
        <w:tc>
          <w:tcPr>
            <w:tcW w:type="dxa" w:w="3816"/>
            <w:vAlign w:val="center"/>
            <w:shd w:fill="F4F5F6"/>
          </w:tcPr>
          <w:p>
            <w:pPr>
              <w:spacing w:before="0" w:after="0" w:line="252" w:lineRule="auto"/>
              <w:jc w:val="left"/>
            </w:pPr>
            <w:r>
              <w:rPr>
                <w:rFonts w:ascii="Arial" w:hAnsi="Arial"/>
                <w:b w:val="0"/>
                <w:color w:val="000000"/>
                <w:sz w:val="20"/>
              </w:rPr>
              <w:t>Same key and different intent</w:t>
            </w:r>
          </w:p>
        </w:tc>
        <w:tc>
          <w:tcPr>
            <w:tcW w:type="dxa" w:w="6178"/>
            <w:vAlign w:val="center"/>
            <w:shd w:fill="F4F5F6"/>
          </w:tcPr>
          <w:p>
            <w:pPr>
              <w:spacing w:before="0" w:after="0" w:line="252" w:lineRule="auto"/>
              <w:jc w:val="left"/>
            </w:pPr>
            <w:r>
              <w:rPr>
                <w:rFonts w:ascii="Arial" w:hAnsi="Arial"/>
                <w:b w:val="0"/>
                <w:color w:val="000000"/>
                <w:sz w:val="20"/>
              </w:rPr>
              <w:t>Return 409 IDEMPOTENCY_KEY_REUSED</w:t>
            </w:r>
          </w:p>
        </w:tc>
      </w:tr>
      <w:tr>
        <w:trPr>
          <w:cantSplit/>
        </w:trPr>
        <w:tc>
          <w:tcPr>
            <w:tcW w:type="dxa" w:w="3816"/>
            <w:vAlign w:val="center"/>
            <w:shd w:fill="FFFFFF"/>
          </w:tcPr>
          <w:p>
            <w:pPr>
              <w:spacing w:before="0" w:after="0" w:line="252" w:lineRule="auto"/>
              <w:jc w:val="left"/>
            </w:pPr>
            <w:r>
              <w:rPr>
                <w:rFonts w:ascii="Arial" w:hAnsi="Arial"/>
                <w:b w:val="0"/>
                <w:color w:val="000000"/>
                <w:sz w:val="20"/>
              </w:rPr>
              <w:t>Concurrent requests with the same key</w:t>
            </w:r>
          </w:p>
        </w:tc>
        <w:tc>
          <w:tcPr>
            <w:tcW w:type="dxa" w:w="6178"/>
            <w:vAlign w:val="center"/>
            <w:shd w:fill="FFFFFF"/>
          </w:tcPr>
          <w:p>
            <w:pPr>
              <w:spacing w:before="0" w:after="0" w:line="252" w:lineRule="auto"/>
              <w:jc w:val="left"/>
            </w:pPr>
            <w:r>
              <w:rPr>
                <w:rFonts w:ascii="Arial" w:hAnsi="Arial"/>
                <w:b w:val="0"/>
                <w:color w:val="000000"/>
                <w:sz w:val="20"/>
              </w:rPr>
              <w:t>Claim the operation once; all callers converge on that operation</w:t>
            </w:r>
          </w:p>
        </w:tc>
      </w:tr>
      <w:tr>
        <w:trPr>
          <w:cantSplit/>
        </w:trPr>
        <w:tc>
          <w:tcPr>
            <w:tcW w:type="dxa" w:w="3816"/>
            <w:vAlign w:val="center"/>
            <w:shd w:fill="F4F5F6"/>
          </w:tcPr>
          <w:p>
            <w:pPr>
              <w:spacing w:before="0" w:after="0" w:line="252" w:lineRule="auto"/>
              <w:jc w:val="left"/>
            </w:pPr>
            <w:r>
              <w:rPr>
                <w:rFonts w:ascii="Arial" w:hAnsi="Arial"/>
                <w:b w:val="0"/>
                <w:color w:val="000000"/>
                <w:sz w:val="20"/>
              </w:rPr>
              <w:t>Restart after execution but before response</w:t>
            </w:r>
          </w:p>
        </w:tc>
        <w:tc>
          <w:tcPr>
            <w:tcW w:type="dxa" w:w="6178"/>
            <w:vAlign w:val="center"/>
            <w:shd w:fill="F4F5F6"/>
          </w:tcPr>
          <w:p>
            <w:pPr>
              <w:spacing w:before="0" w:after="0" w:line="252" w:lineRule="auto"/>
              <w:jc w:val="left"/>
            </w:pPr>
            <w:r>
              <w:rPr>
                <w:rFonts w:ascii="Arial" w:hAnsi="Arial"/>
                <w:b w:val="0"/>
                <w:color w:val="000000"/>
                <w:sz w:val="20"/>
              </w:rPr>
              <w:t>Reconcile the original command; do not create another</w:t>
            </w:r>
          </w:p>
        </w:tc>
      </w:tr>
      <w:tr>
        <w:trPr>
          <w:cantSplit/>
        </w:trPr>
        <w:tc>
          <w:tcPr>
            <w:tcW w:type="dxa" w:w="3816"/>
            <w:vAlign w:val="center"/>
            <w:shd w:fill="FFFFFF"/>
          </w:tcPr>
          <w:p>
            <w:pPr>
              <w:spacing w:before="0" w:after="0" w:line="252" w:lineRule="auto"/>
              <w:jc w:val="left"/>
            </w:pPr>
            <w:r>
              <w:rPr>
                <w:rFonts w:ascii="Arial" w:hAnsi="Arial"/>
                <w:b w:val="0"/>
                <w:color w:val="000000"/>
                <w:sz w:val="20"/>
              </w:rPr>
              <w:t>Timeout with unknown execution status</w:t>
            </w:r>
          </w:p>
        </w:tc>
        <w:tc>
          <w:tcPr>
            <w:tcW w:type="dxa" w:w="6178"/>
            <w:vAlign w:val="center"/>
            <w:shd w:fill="FFFFFF"/>
          </w:tcPr>
          <w:p>
            <w:pPr>
              <w:spacing w:before="0" w:after="0" w:line="252" w:lineRule="auto"/>
              <w:jc w:val="left"/>
            </w:pPr>
            <w:r>
              <w:rPr>
                <w:rFonts w:ascii="Arial" w:hAnsi="Arial"/>
                <w:b w:val="0"/>
                <w:color w:val="000000"/>
                <w:sz w:val="20"/>
              </w:rPr>
              <w:t>Keep the operation unresolved until reconciled</w:t>
            </w:r>
          </w:p>
        </w:tc>
      </w:tr>
      <w:tr>
        <w:trPr>
          <w:cantSplit/>
        </w:trPr>
        <w:tc>
          <w:tcPr>
            <w:tcW w:type="dxa" w:w="3816"/>
            <w:vAlign w:val="center"/>
            <w:shd w:fill="F4F5F6"/>
          </w:tcPr>
          <w:p>
            <w:pPr>
              <w:spacing w:before="0" w:after="0" w:line="252" w:lineRule="auto"/>
              <w:jc w:val="left"/>
            </w:pPr>
            <w:r>
              <w:rPr>
                <w:rFonts w:ascii="Arial" w:hAnsi="Arial"/>
                <w:b w:val="0"/>
                <w:color w:val="000000"/>
                <w:sz w:val="20"/>
              </w:rPr>
              <w:t>New key but repeated client_order_id</w:t>
            </w:r>
          </w:p>
        </w:tc>
        <w:tc>
          <w:tcPr>
            <w:tcW w:type="dxa" w:w="6178"/>
            <w:vAlign w:val="center"/>
            <w:shd w:fill="F4F5F6"/>
          </w:tcPr>
          <w:p>
            <w:pPr>
              <w:spacing w:before="0" w:after="0" w:line="252" w:lineRule="auto"/>
              <w:jc w:val="left"/>
            </w:pPr>
            <w:r>
              <w:rPr>
                <w:rFonts w:ascii="Arial" w:hAnsi="Arial"/>
                <w:b w:val="0"/>
                <w:color w:val="000000"/>
                <w:sz w:val="20"/>
              </w:rPr>
              <w:t>Return the original order or a deterministic conflict</w:t>
            </w:r>
          </w:p>
        </w:tc>
      </w:tr>
    </w:tbl>
    <w:p>
      <w:pPr>
        <w:spacing w:after="0" w:before="0" w:line="240" w:lineRule="auto"/>
      </w:pPr>
      <w:r>
        <w:rPr>
          <w:sz w:val="6"/>
        </w:rPr>
      </w:r>
    </w:p>
    <w:p>
      <w:r>
        <w:t>Define request equality explicitly. Recommend a normalized representation with deterministic field ordering, alias resolution and defaults. Reject conflicting order_type and type values. Record the normalization version so a later default change cannot reinterpret an old key.</w:t>
      </w:r>
    </w:p>
    <w:p>
      <w:pPr>
        <w:pStyle w:val="Heading2"/>
      </w:pPr>
      <w:r>
        <w:t>Distinguish order identity from operation identity</w:t>
      </w:r>
    </w:p>
    <w:p>
      <w:r>
        <w:t>client_order_id identifies an order creation within a documented account scope. Idempotency-Key identifies one mutation. A cancellation refers to the existing order and has its own key; it does not require a new client_order_id. Retries of the same creation preserve both identifiers.</w:t>
      </w:r>
    </w:p>
    <w:p>
      <w:r>
        <w:t>A retry after a lost response may know only client_order_id. Add a supported lookup by that field, or document an equally reliable reconciliation path. GET /v1/orders currently does not advertise such a filter; it should not be assumed available.</w:t>
      </w:r>
    </w:p>
    <w:p>
      <w:pPr>
        <w:pStyle w:val="Heading2"/>
      </w:pPr>
      <w:r>
        <w:t>Retention and stored responses</w:t>
      </w:r>
    </w:p>
    <w:p>
      <w:r>
        <w:t>Publish the replay retention period, when its clock begins, and the behavior after expiry. Keep unresolved operations until their outcome is reconciled. Retain order identity protection long enough to prevent duplicate creation when a replay record expires. A stored response may describe the original OPEN state even if the order is now FILLED; return current state through the order query.</w:t>
      </w:r>
    </w:p>
    <w:p>
      <w:r>
        <w:t>Specify which responses are cached. Authentication and validation failures before an operation is accepted can be retried after correction under a documented rule. Once an operation is durably accepted, business rejection, successful execution and unknown completion must all remain associated with that same operation.</w:t>
      </w:r>
    </w:p>
    <w:p>
      <w:r>
        <w:t>Acceptance criteria. Run concurrent same-key requests, changed-body retries, alternate JSON formatting, alias conflicts, and a same-client-order-id request with a different key. Verify one order identity and one set of resulting ledger and matching effects.</w:t>
      </w:r>
    </w:p>
    <w:p>
      <w:pPr>
        <w:pStyle w:val="Heading1"/>
        <w:pageBreakBefore/>
      </w:pPr>
      <w:r>
        <w:t>6 Failure handling and client recovery</w:t>
      </w:r>
    </w:p>
    <w:p>
      <w:r>
        <w:t>The hardest failure occurs when the command executes but the gateway cannot return or store the final response. A cache that is written only after success cannot prevent a duplicate in that interval.</w:t>
      </w:r>
    </w:p>
    <w:p>
      <w:pPr>
        <w:pStyle w:val="Heading2"/>
      </w:pPr>
      <w:r>
        <w:t>Proposed durable processing sequence</w:t>
      </w:r>
    </w:p>
    <w:p>
      <w:pPr>
        <w:pStyle w:val="ListNumber"/>
        <w:numPr>
          <w:ilvl w:val="0"/>
          <w:numId w:val="11"/>
        </w:numPr>
      </w:pPr>
      <w:r>
        <w:t>Atomically claim the scoped key and record the normalized request plus a stable operation identifier before dispatching a mutation.</w:t>
      </w:r>
    </w:p>
    <w:p>
      <w:pPr>
        <w:pStyle w:val="ListNumber"/>
        <w:numPr>
          <w:ilvl w:val="0"/>
          <w:numId w:val="11"/>
        </w:numPr>
      </w:pPr>
      <w:r>
        <w:t>Dispatch a command with a durable identifier understood by the execution service. Re-dispatch after a crash must resolve to the same command or be deduplicated there.</w:t>
      </w:r>
    </w:p>
    <w:p>
      <w:pPr>
        <w:pStyle w:val="ListNumber"/>
        <w:numPr>
          <w:ilvl w:val="0"/>
          <w:numId w:val="11"/>
        </w:numPr>
      </w:pPr>
      <w:r>
        <w:t>Record the final response and references to the resulting order or ledger transaction. If the result is not yet known, preserve an in-progress state and reconcile it.</w:t>
      </w:r>
    </w:p>
    <w:p>
      <w:pPr>
        <w:pStyle w:val="ListNumber"/>
        <w:numPr>
          <w:ilvl w:val="0"/>
          <w:numId w:val="11"/>
        </w:numPr>
      </w:pPr>
      <w:r>
        <w:t>Replay the recorded result to retries. Prevent a retry from bypassing the original claim while recovery is running.</w:t>
      </w:r>
    </w:p>
    <w:p>
      <w:r>
        <w:t>This does not require one database transaction spanning every service. It requires a durable relationship between operation identity, command identity and effects, with recovery that can distinguish “not accepted” from “accepted but unresolved.”</w:t>
      </w:r>
    </w:p>
    <w:p>
      <w:pPr>
        <w:pStyle w:val="Heading2"/>
      </w:pPr>
      <w:r>
        <w:t>Timeout behavior to publish</w:t>
      </w:r>
    </w:p>
    <w:p>
      <w:r>
        <w:t>A 502, 503 or 504 is not inherently proof that an order was never accepted. The response contract must distinguish a confirmed pre-dispatch failure from an unknown result. While an operation remains in progress, return a documented status and retry instruction. A proposed OPERATION_IN_PROGRESS error with Retry-After is one option; it is not currently documented.</w:t>
      </w:r>
    </w:p>
    <w:p>
      <w:r>
        <w:t>Clients should reuse the same key and intent after an unknown result, or query by a stable order identifier. They should not generate a fresh order identity solely because the HTTP request timed out. For cancellations, query the target order and preserve any fills that occurred before cancellation.</w:t>
      </w:r>
    </w:p>
    <w:p>
      <w:pPr>
        <w:pStyle w:val="Heading2"/>
      </w:pPr>
      <w:r>
        <w:t>Market orders require stable retry intent</w:t>
      </w:r>
    </w:p>
    <w:p>
      <w:r>
        <w:t>The gateway derives a MARKET protection price from the live opposite quote. Deduplicate the caller’s original market-order intent before producing a second command. After a command has been accepted, retain its derived price and execution identity. A retry must not reprice and execute a fresh order against a later quote.</w:t>
      </w:r>
    </w:p>
    <w:p>
      <w:pPr>
        <w:pStyle w:val="Heading2"/>
      </w:pPr>
      <w:r>
        <w:t>Fault scenarios to exercise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320"/>
        <w:gridCol w:w="5674"/>
      </w:tblGrid>
      <w:tr>
        <w:trPr>
          <w:cantSplit/>
          <w:tblHeader/>
        </w:trPr>
        <w:tc>
          <w:tcPr>
            <w:tcW w:type="dxa" w:w="4320"/>
            <w:vAlign w:val="center"/>
            <w:shd w:fill="333333"/>
          </w:tcPr>
          <w:p>
            <w:pPr>
              <w:spacing w:before="0" w:after="0" w:line="252" w:lineRule="auto"/>
              <w:jc w:val="left"/>
            </w:pPr>
            <w:r>
              <w:rPr>
                <w:rFonts w:ascii="Arial" w:hAnsi="Arial"/>
                <w:b/>
                <w:color w:val="FFFFFF"/>
                <w:sz w:val="20"/>
              </w:rPr>
              <w:t>Failure point</w:t>
            </w:r>
          </w:p>
        </w:tc>
        <w:tc>
          <w:tcPr>
            <w:tcW w:type="dxa" w:w="5674"/>
            <w:vAlign w:val="center"/>
            <w:shd w:fill="333333"/>
          </w:tcPr>
          <w:p>
            <w:pPr>
              <w:spacing w:before="0" w:after="0" w:line="252" w:lineRule="auto"/>
              <w:jc w:val="left"/>
            </w:pPr>
            <w:r>
              <w:rPr>
                <w:rFonts w:ascii="Arial" w:hAnsi="Arial"/>
                <w:b/>
                <w:color w:val="FFFFFF"/>
                <w:sz w:val="20"/>
              </w:rPr>
              <w:t>Required result</w:t>
            </w:r>
          </w:p>
        </w:tc>
      </w:tr>
      <w:tr>
        <w:trPr>
          <w:cantSplit/>
        </w:trPr>
        <w:tc>
          <w:tcPr>
            <w:tcW w:type="dxa" w:w="4320"/>
            <w:vAlign w:val="center"/>
            <w:shd w:fill="FFFFFF"/>
          </w:tcPr>
          <w:p>
            <w:pPr>
              <w:spacing w:before="0" w:after="0" w:line="252" w:lineRule="auto"/>
              <w:jc w:val="left"/>
            </w:pPr>
            <w:r>
              <w:rPr>
                <w:rFonts w:ascii="Arial" w:hAnsi="Arial"/>
                <w:b w:val="0"/>
                <w:color w:val="000000"/>
                <w:sz w:val="20"/>
              </w:rPr>
              <w:t>Before durable claim</w:t>
            </w:r>
          </w:p>
        </w:tc>
        <w:tc>
          <w:tcPr>
            <w:tcW w:type="dxa" w:w="5674"/>
            <w:vAlign w:val="center"/>
            <w:shd w:fill="FFFFFF"/>
          </w:tcPr>
          <w:p>
            <w:pPr>
              <w:spacing w:before="0" w:after="0" w:line="252" w:lineRule="auto"/>
              <w:jc w:val="left"/>
            </w:pPr>
            <w:r>
              <w:rPr>
                <w:rFonts w:ascii="Arial" w:hAnsi="Arial"/>
                <w:b w:val="0"/>
                <w:color w:val="000000"/>
                <w:sz w:val="20"/>
              </w:rPr>
              <w:t>A later attempt can create one operation</w:t>
            </w:r>
          </w:p>
        </w:tc>
      </w:tr>
      <w:tr>
        <w:trPr>
          <w:cantSplit/>
        </w:trPr>
        <w:tc>
          <w:tcPr>
            <w:tcW w:type="dxa" w:w="4320"/>
            <w:vAlign w:val="center"/>
            <w:shd w:fill="F4F5F6"/>
          </w:tcPr>
          <w:p>
            <w:pPr>
              <w:spacing w:before="0" w:after="0" w:line="252" w:lineRule="auto"/>
              <w:jc w:val="left"/>
            </w:pPr>
            <w:r>
              <w:rPr>
                <w:rFonts w:ascii="Arial" w:hAnsi="Arial"/>
                <w:b w:val="0"/>
                <w:color w:val="000000"/>
                <w:sz w:val="20"/>
              </w:rPr>
              <w:t>After claim and before dispatch</w:t>
            </w:r>
          </w:p>
        </w:tc>
        <w:tc>
          <w:tcPr>
            <w:tcW w:type="dxa" w:w="5674"/>
            <w:vAlign w:val="center"/>
            <w:shd w:fill="F4F5F6"/>
          </w:tcPr>
          <w:p>
            <w:pPr>
              <w:spacing w:before="0" w:after="0" w:line="252" w:lineRule="auto"/>
              <w:jc w:val="left"/>
            </w:pPr>
            <w:r>
              <w:rPr>
                <w:rFonts w:ascii="Arial" w:hAnsi="Arial"/>
                <w:b w:val="0"/>
                <w:color w:val="000000"/>
                <w:sz w:val="20"/>
              </w:rPr>
              <w:t>Recovery dispatches the original command once logically</w:t>
            </w:r>
          </w:p>
        </w:tc>
      </w:tr>
      <w:tr>
        <w:trPr>
          <w:cantSplit/>
        </w:trPr>
        <w:tc>
          <w:tcPr>
            <w:tcW w:type="dxa" w:w="4320"/>
            <w:vAlign w:val="center"/>
            <w:shd w:fill="FFFFFF"/>
          </w:tcPr>
          <w:p>
            <w:pPr>
              <w:spacing w:before="0" w:after="0" w:line="252" w:lineRule="auto"/>
              <w:jc w:val="left"/>
            </w:pPr>
            <w:r>
              <w:rPr>
                <w:rFonts w:ascii="Arial" w:hAnsi="Arial"/>
                <w:b w:val="0"/>
                <w:color w:val="000000"/>
                <w:sz w:val="20"/>
              </w:rPr>
              <w:t>After execution and before response storage</w:t>
            </w:r>
          </w:p>
        </w:tc>
        <w:tc>
          <w:tcPr>
            <w:tcW w:type="dxa" w:w="5674"/>
            <w:vAlign w:val="center"/>
            <w:shd w:fill="FFFFFF"/>
          </w:tcPr>
          <w:p>
            <w:pPr>
              <w:spacing w:before="0" w:after="0" w:line="252" w:lineRule="auto"/>
              <w:jc w:val="left"/>
            </w:pPr>
            <w:r>
              <w:rPr>
                <w:rFonts w:ascii="Arial" w:hAnsi="Arial"/>
                <w:b w:val="0"/>
                <w:color w:val="000000"/>
                <w:sz w:val="20"/>
              </w:rPr>
              <w:t>Recovery discovers the existing effects</w:t>
            </w:r>
          </w:p>
        </w:tc>
      </w:tr>
      <w:tr>
        <w:trPr>
          <w:cantSplit/>
        </w:trPr>
        <w:tc>
          <w:tcPr>
            <w:tcW w:type="dxa" w:w="4320"/>
            <w:vAlign w:val="center"/>
            <w:shd w:fill="F4F5F6"/>
          </w:tcPr>
          <w:p>
            <w:pPr>
              <w:spacing w:before="0" w:after="0" w:line="252" w:lineRule="auto"/>
              <w:jc w:val="left"/>
            </w:pPr>
            <w:r>
              <w:rPr>
                <w:rFonts w:ascii="Arial" w:hAnsi="Arial"/>
                <w:b w:val="0"/>
                <w:color w:val="000000"/>
                <w:sz w:val="20"/>
              </w:rPr>
              <w:t>After response storage and before client receipt</w:t>
            </w:r>
          </w:p>
        </w:tc>
        <w:tc>
          <w:tcPr>
            <w:tcW w:type="dxa" w:w="5674"/>
            <w:vAlign w:val="center"/>
            <w:shd w:fill="F4F5F6"/>
          </w:tcPr>
          <w:p>
            <w:pPr>
              <w:spacing w:before="0" w:after="0" w:line="252" w:lineRule="auto"/>
              <w:jc w:val="left"/>
            </w:pPr>
            <w:r>
              <w:rPr>
                <w:rFonts w:ascii="Arial" w:hAnsi="Arial"/>
                <w:b w:val="0"/>
                <w:color w:val="000000"/>
                <w:sz w:val="20"/>
              </w:rPr>
              <w:t>Retry replays the stored response</w:t>
            </w:r>
          </w:p>
        </w:tc>
      </w:tr>
      <w:tr>
        <w:trPr>
          <w:cantSplit/>
        </w:trPr>
        <w:tc>
          <w:tcPr>
            <w:tcW w:type="dxa" w:w="4320"/>
            <w:vAlign w:val="center"/>
            <w:shd w:fill="FFFFFF"/>
          </w:tcPr>
          <w:p>
            <w:pPr>
              <w:spacing w:before="0" w:after="0" w:line="252" w:lineRule="auto"/>
              <w:jc w:val="left"/>
            </w:pPr>
            <w:r>
              <w:rPr>
                <w:rFonts w:ascii="Arial" w:hAnsi="Arial"/>
                <w:b w:val="0"/>
                <w:color w:val="000000"/>
                <w:sz w:val="20"/>
              </w:rPr>
              <w:t>Replay record expires</w:t>
            </w:r>
          </w:p>
        </w:tc>
        <w:tc>
          <w:tcPr>
            <w:tcW w:type="dxa" w:w="5674"/>
            <w:vAlign w:val="center"/>
            <w:shd w:fill="FFFFFF"/>
          </w:tcPr>
          <w:p>
            <w:pPr>
              <w:spacing w:before="0" w:after="0" w:line="252" w:lineRule="auto"/>
              <w:jc w:val="left"/>
            </w:pPr>
            <w:r>
              <w:rPr>
                <w:rFonts w:ascii="Arial" w:hAnsi="Arial"/>
                <w:b w:val="0"/>
                <w:color w:val="000000"/>
                <w:sz w:val="20"/>
              </w:rPr>
              <w:t>Order identity protection still prevents an unintended duplicate</w:t>
            </w:r>
          </w:p>
        </w:tc>
      </w:tr>
    </w:tbl>
    <w:p>
      <w:pPr>
        <w:spacing w:after="0" w:before="0" w:line="240" w:lineRule="auto"/>
      </w:pPr>
      <w:r>
        <w:rPr>
          <w:sz w:val="6"/>
        </w:rPr>
      </w:r>
    </w:p>
    <w:p>
      <w:r>
        <w:t>Verify more than the number of HTTP responses. Check order identity, total filled quantity, account ledger postings, holds and notifications for duplicate economic effects.</w:t>
      </w:r>
    </w:p>
    <w:p>
      <w:pPr>
        <w:pStyle w:val="Heading1"/>
        <w:pageBreakBefore/>
      </w:pPr>
      <w:r>
        <w:t>7 Time in force and self trade prevention</w:t>
      </w:r>
    </w:p>
    <w:p>
      <w:r>
        <w:t>Documented behavior. The API accepts GTC, IOC and FOK; post_only; reduce_only; STP modes TAKER_AT_CROSS, MAKER and UNSPECIFIED; and expires_at. The descriptions do not fully specify interactions or enforcement boundaries. [1]</w:t>
      </w:r>
    </w:p>
    <w:p>
      <w:pPr>
        <w:pStyle w:val="Heading2"/>
      </w:pPr>
      <w:r>
        <w:t>Define matching behavior for each time in force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1944"/>
        <w:gridCol w:w="8050"/>
      </w:tblGrid>
      <w:tr>
        <w:trPr>
          <w:cantSplit/>
          <w:tblHeader/>
        </w:trPr>
        <w:tc>
          <w:tcPr>
            <w:tcW w:type="dxa" w:w="1944"/>
            <w:vAlign w:val="center"/>
            <w:shd w:fill="333333"/>
          </w:tcPr>
          <w:p>
            <w:pPr>
              <w:spacing w:before="0" w:after="0" w:line="252" w:lineRule="auto"/>
              <w:jc w:val="left"/>
            </w:pPr>
            <w:r>
              <w:rPr>
                <w:rFonts w:ascii="Arial" w:hAnsi="Arial"/>
                <w:b/>
                <w:color w:val="FFFFFF"/>
                <w:sz w:val="20"/>
              </w:rPr>
              <w:t>Instruction</w:t>
            </w:r>
          </w:p>
        </w:tc>
        <w:tc>
          <w:tcPr>
            <w:tcW w:type="dxa" w:w="8050"/>
            <w:vAlign w:val="center"/>
            <w:shd w:fill="333333"/>
          </w:tcPr>
          <w:p>
            <w:pPr>
              <w:spacing w:before="0" w:after="0" w:line="252" w:lineRule="auto"/>
              <w:jc w:val="left"/>
            </w:pPr>
            <w:r>
              <w:rPr>
                <w:rFonts w:ascii="Arial" w:hAnsi="Arial"/>
                <w:b/>
                <w:color w:val="FFFFFF"/>
                <w:sz w:val="20"/>
              </w:rPr>
              <w:t>Proposed matching result</w:t>
            </w:r>
          </w:p>
        </w:tc>
      </w:tr>
      <w:tr>
        <w:trPr>
          <w:cantSplit/>
        </w:trPr>
        <w:tc>
          <w:tcPr>
            <w:tcW w:type="dxa" w:w="1944"/>
            <w:vAlign w:val="center"/>
            <w:shd w:fill="FFFFFF"/>
          </w:tcPr>
          <w:p>
            <w:pPr>
              <w:spacing w:before="0" w:after="0" w:line="252" w:lineRule="auto"/>
              <w:jc w:val="left"/>
            </w:pPr>
            <w:r>
              <w:rPr>
                <w:rFonts w:ascii="Arial" w:hAnsi="Arial"/>
                <w:b w:val="0"/>
                <w:color w:val="000000"/>
                <w:sz w:val="20"/>
              </w:rPr>
              <w:t>GTC</w:t>
            </w:r>
          </w:p>
        </w:tc>
        <w:tc>
          <w:tcPr>
            <w:tcW w:type="dxa" w:w="8050"/>
            <w:vAlign w:val="center"/>
            <w:shd w:fill="FFFFFF"/>
          </w:tcPr>
          <w:p>
            <w:pPr>
              <w:spacing w:before="0" w:after="0" w:line="252" w:lineRule="auto"/>
              <w:jc w:val="left"/>
            </w:pPr>
            <w:r>
              <w:rPr>
                <w:rFonts w:ascii="Arial" w:hAnsi="Arial"/>
                <w:b w:val="0"/>
                <w:color w:val="000000"/>
                <w:sz w:val="20"/>
              </w:rPr>
              <w:t>Rest until filled, cancelled or removed by a documented expiry or market lifecycle rule</w:t>
            </w:r>
          </w:p>
        </w:tc>
      </w:tr>
      <w:tr>
        <w:trPr>
          <w:cantSplit/>
        </w:trPr>
        <w:tc>
          <w:tcPr>
            <w:tcW w:type="dxa" w:w="1944"/>
            <w:vAlign w:val="center"/>
            <w:shd w:fill="F4F5F6"/>
          </w:tcPr>
          <w:p>
            <w:pPr>
              <w:spacing w:before="0" w:after="0" w:line="252" w:lineRule="auto"/>
              <w:jc w:val="left"/>
            </w:pPr>
            <w:r>
              <w:rPr>
                <w:rFonts w:ascii="Arial" w:hAnsi="Arial"/>
                <w:b w:val="0"/>
                <w:color w:val="000000"/>
                <w:sz w:val="20"/>
              </w:rPr>
              <w:t>IOC</w:t>
            </w:r>
          </w:p>
        </w:tc>
        <w:tc>
          <w:tcPr>
            <w:tcW w:type="dxa" w:w="8050"/>
            <w:vAlign w:val="center"/>
            <w:shd w:fill="F4F5F6"/>
          </w:tcPr>
          <w:p>
            <w:pPr>
              <w:spacing w:before="0" w:after="0" w:line="252" w:lineRule="auto"/>
              <w:jc w:val="left"/>
            </w:pPr>
            <w:r>
              <w:rPr>
                <w:rFonts w:ascii="Arial" w:hAnsi="Arial"/>
                <w:b w:val="0"/>
                <w:color w:val="000000"/>
                <w:sz w:val="20"/>
              </w:rPr>
              <w:t>Execute immediately available eligible quantity within the limit; cancel the remainder</w:t>
            </w:r>
          </w:p>
        </w:tc>
      </w:tr>
      <w:tr>
        <w:trPr>
          <w:cantSplit/>
        </w:trPr>
        <w:tc>
          <w:tcPr>
            <w:tcW w:type="dxa" w:w="1944"/>
            <w:vAlign w:val="center"/>
            <w:shd w:fill="FFFFFF"/>
          </w:tcPr>
          <w:p>
            <w:pPr>
              <w:spacing w:before="0" w:after="0" w:line="252" w:lineRule="auto"/>
              <w:jc w:val="left"/>
            </w:pPr>
            <w:r>
              <w:rPr>
                <w:rFonts w:ascii="Arial" w:hAnsi="Arial"/>
                <w:b w:val="0"/>
                <w:color w:val="000000"/>
                <w:sz w:val="20"/>
              </w:rPr>
              <w:t>FOK</w:t>
            </w:r>
          </w:p>
        </w:tc>
        <w:tc>
          <w:tcPr>
            <w:tcW w:type="dxa" w:w="8050"/>
            <w:vAlign w:val="center"/>
            <w:shd w:fill="FFFFFF"/>
          </w:tcPr>
          <w:p>
            <w:pPr>
              <w:spacing w:before="0" w:after="0" w:line="252" w:lineRule="auto"/>
              <w:jc w:val="left"/>
            </w:pPr>
            <w:r>
              <w:rPr>
                <w:rFonts w:ascii="Arial" w:hAnsi="Arial"/>
                <w:b w:val="0"/>
                <w:color w:val="000000"/>
                <w:sz w:val="20"/>
              </w:rPr>
              <w:t>Execute the full requested quantity immediately or execute zero quantity</w:t>
            </w:r>
          </w:p>
        </w:tc>
      </w:tr>
      <w:tr>
        <w:trPr>
          <w:cantSplit/>
        </w:trPr>
        <w:tc>
          <w:tcPr>
            <w:tcW w:type="dxa" w:w="1944"/>
            <w:vAlign w:val="center"/>
            <w:shd w:fill="F4F5F6"/>
          </w:tcPr>
          <w:p>
            <w:pPr>
              <w:spacing w:before="0" w:after="0" w:line="252" w:lineRule="auto"/>
              <w:jc w:val="left"/>
            </w:pPr>
            <w:r>
              <w:rPr>
                <w:rFonts w:ascii="Arial" w:hAnsi="Arial"/>
                <w:b w:val="0"/>
                <w:color w:val="000000"/>
                <w:sz w:val="20"/>
              </w:rPr>
              <w:t>Post only</w:t>
            </w:r>
          </w:p>
        </w:tc>
        <w:tc>
          <w:tcPr>
            <w:tcW w:type="dxa" w:w="8050"/>
            <w:vAlign w:val="center"/>
            <w:shd w:fill="F4F5F6"/>
          </w:tcPr>
          <w:p>
            <w:pPr>
              <w:spacing w:before="0" w:after="0" w:line="252" w:lineRule="auto"/>
              <w:jc w:val="left"/>
            </w:pPr>
            <w:r>
              <w:rPr>
                <w:rFonts w:ascii="Arial" w:hAnsi="Arial"/>
                <w:b w:val="0"/>
                <w:color w:val="000000"/>
                <w:sz w:val="20"/>
              </w:rPr>
              <w:t>Execute no taker quantity; reject a submission that would immediately cross</w:t>
            </w:r>
          </w:p>
        </w:tc>
      </w:tr>
    </w:tbl>
    <w:p>
      <w:pPr>
        <w:spacing w:after="0" w:before="0" w:line="240" w:lineRule="auto"/>
      </w:pPr>
      <w:r>
        <w:rPr>
          <w:sz w:val="6"/>
        </w:rPr>
      </w:r>
    </w:p>
    <w:p>
      <w:r>
        <w:t>The proposed post-only behavior chooses rejection, rather than leaving reject/cancel ambiguous. If the existing engine uses immediate cancellation, document that behavior and a stable reason instead. In either case there must be no taker execution. IOC terminal state must retain any fills and report zero executable remainder.</w:t>
      </w:r>
    </w:p>
    <w:p>
      <w:r>
        <w:t>FOK must account for available liquidity, risk and self-trade prevention before committing executions. A partial trade followed by cancellation does not satisfy FOK. Define the outcome when the requested quantity exceeds position limits or the allowed reduce-only quantity; silently reducing a FOK request changes its meaning.</w:t>
      </w:r>
    </w:p>
    <w:p>
      <w:pPr>
        <w:pStyle w:val="Heading2"/>
      </w:pPr>
      <w:r>
        <w:t>Make the self trade policy explicit</w:t>
      </w:r>
    </w:p>
    <w:p>
      <w:r>
        <w:t>Kalshi describes TAKER_AT_CROSS as stopping the incoming order at a self-cross while retaining earlier fills, and MAKER as cancelling the user’s resting order and continuing matching. [3] Sarvaex should confirm that its names carry those same meanings.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376"/>
        <w:gridCol w:w="7618"/>
      </w:tblGrid>
      <w:tr>
        <w:trPr>
          <w:cantSplit/>
          <w:tblHeader/>
        </w:trPr>
        <w:tc>
          <w:tcPr>
            <w:tcW w:type="dxa" w:w="2376"/>
            <w:vAlign w:val="center"/>
            <w:shd w:fill="333333"/>
          </w:tcPr>
          <w:p>
            <w:pPr>
              <w:spacing w:before="0" w:after="0" w:line="252" w:lineRule="auto"/>
              <w:jc w:val="left"/>
            </w:pPr>
            <w:r>
              <w:rPr>
                <w:rFonts w:ascii="Arial" w:hAnsi="Arial"/>
                <w:b/>
                <w:color w:val="FFFFFF"/>
                <w:sz w:val="20"/>
              </w:rPr>
              <w:t>Mode</w:t>
            </w:r>
          </w:p>
        </w:tc>
        <w:tc>
          <w:tcPr>
            <w:tcW w:type="dxa" w:w="7618"/>
            <w:vAlign w:val="center"/>
            <w:shd w:fill="333333"/>
          </w:tcPr>
          <w:p>
            <w:pPr>
              <w:spacing w:before="0" w:after="0" w:line="252" w:lineRule="auto"/>
              <w:jc w:val="left"/>
            </w:pPr>
            <w:r>
              <w:rPr>
                <w:rFonts w:ascii="Arial" w:hAnsi="Arial"/>
                <w:b/>
                <w:color w:val="FFFFFF"/>
                <w:sz w:val="20"/>
              </w:rPr>
              <w:t>Proposed behavior</w:t>
            </w:r>
          </w:p>
        </w:tc>
      </w:tr>
      <w:tr>
        <w:trPr>
          <w:cantSplit/>
        </w:trPr>
        <w:tc>
          <w:tcPr>
            <w:tcW w:type="dxa" w:w="2376"/>
            <w:vAlign w:val="center"/>
            <w:shd w:fill="FFFFFF"/>
          </w:tcPr>
          <w:p>
            <w:pPr>
              <w:spacing w:before="0" w:after="0" w:line="252" w:lineRule="auto"/>
              <w:jc w:val="left"/>
            </w:pPr>
            <w:r>
              <w:rPr>
                <w:rFonts w:ascii="Arial" w:hAnsi="Arial"/>
                <w:b w:val="0"/>
                <w:color w:val="000000"/>
                <w:sz w:val="20"/>
              </w:rPr>
              <w:t>TAKER_AT_CROSS</w:t>
            </w:r>
          </w:p>
        </w:tc>
        <w:tc>
          <w:tcPr>
            <w:tcW w:type="dxa" w:w="7618"/>
            <w:vAlign w:val="center"/>
            <w:shd w:fill="FFFFFF"/>
          </w:tcPr>
          <w:p>
            <w:pPr>
              <w:spacing w:before="0" w:after="0" w:line="252" w:lineRule="auto"/>
              <w:jc w:val="left"/>
            </w:pPr>
            <w:r>
              <w:rPr>
                <w:rFonts w:ascii="Arial" w:hAnsi="Arial"/>
                <w:b w:val="0"/>
                <w:color w:val="000000"/>
                <w:sz w:val="20"/>
              </w:rPr>
              <w:t>Cancel the remaining incoming quantity at the first prohibited self-cross</w:t>
            </w:r>
          </w:p>
        </w:tc>
      </w:tr>
      <w:tr>
        <w:trPr>
          <w:cantSplit/>
        </w:trPr>
        <w:tc>
          <w:tcPr>
            <w:tcW w:type="dxa" w:w="2376"/>
            <w:vAlign w:val="center"/>
            <w:shd w:fill="F4F5F6"/>
          </w:tcPr>
          <w:p>
            <w:pPr>
              <w:spacing w:before="0" w:after="0" w:line="252" w:lineRule="auto"/>
              <w:jc w:val="left"/>
            </w:pPr>
            <w:r>
              <w:rPr>
                <w:rFonts w:ascii="Arial" w:hAnsi="Arial"/>
                <w:b w:val="0"/>
                <w:color w:val="000000"/>
                <w:sz w:val="20"/>
              </w:rPr>
              <w:t>MAKER</w:t>
            </w:r>
          </w:p>
        </w:tc>
        <w:tc>
          <w:tcPr>
            <w:tcW w:type="dxa" w:w="7618"/>
            <w:vAlign w:val="center"/>
            <w:shd w:fill="F4F5F6"/>
          </w:tcPr>
          <w:p>
            <w:pPr>
              <w:spacing w:before="0" w:after="0" w:line="252" w:lineRule="auto"/>
              <w:jc w:val="left"/>
            </w:pPr>
            <w:r>
              <w:rPr>
                <w:rFonts w:ascii="Arial" w:hAnsi="Arial"/>
                <w:b w:val="0"/>
                <w:color w:val="000000"/>
                <w:sz w:val="20"/>
              </w:rPr>
              <w:t>Cancel the prohibited resting order and continue evaluating the incoming order</w:t>
            </w:r>
          </w:p>
        </w:tc>
      </w:tr>
      <w:tr>
        <w:trPr>
          <w:cantSplit/>
        </w:trPr>
        <w:tc>
          <w:tcPr>
            <w:tcW w:type="dxa" w:w="2376"/>
            <w:vAlign w:val="center"/>
            <w:shd w:fill="FFFFFF"/>
          </w:tcPr>
          <w:p>
            <w:pPr>
              <w:spacing w:before="0" w:after="0" w:line="252" w:lineRule="auto"/>
              <w:jc w:val="left"/>
            </w:pPr>
            <w:r>
              <w:rPr>
                <w:rFonts w:ascii="Arial" w:hAnsi="Arial"/>
                <w:b w:val="0"/>
                <w:color w:val="000000"/>
                <w:sz w:val="20"/>
              </w:rPr>
              <w:t>UNSPECIFIED</w:t>
            </w:r>
          </w:p>
        </w:tc>
        <w:tc>
          <w:tcPr>
            <w:tcW w:type="dxa" w:w="7618"/>
            <w:vAlign w:val="center"/>
            <w:shd w:fill="FFFFFF"/>
          </w:tcPr>
          <w:p>
            <w:pPr>
              <w:spacing w:before="0" w:after="0" w:line="252" w:lineRule="auto"/>
              <w:jc w:val="left"/>
            </w:pPr>
            <w:r>
              <w:rPr>
                <w:rFonts w:ascii="Arial" w:hAnsi="Arial"/>
                <w:b w:val="0"/>
                <w:color w:val="000000"/>
                <w:sz w:val="20"/>
              </w:rPr>
              <w:t>Resolve to an explicit documented default; recommend TAKER_AT_CROSS</w:t>
            </w:r>
          </w:p>
        </w:tc>
      </w:tr>
    </w:tbl>
    <w:p>
      <w:pPr>
        <w:spacing w:after="0" w:before="0" w:line="240" w:lineRule="auto"/>
      </w:pPr>
      <w:r>
        <w:rPr>
          <w:sz w:val="6"/>
        </w:rPr>
      </w:r>
    </w:p>
    <w:p>
      <w:r>
        <w:t>Define the ownership scope: user, account, subaccount or linked owner group. Binary normalization must precede the self-cross check so BUY YES and SELL NO are handled consistently. Record the prevention reason and affected order identifiers in the owner’s execution history.</w:t>
      </w:r>
    </w:p>
    <w:p>
      <w:pPr>
        <w:pStyle w:val="Heading2"/>
      </w:pPr>
      <w:r>
        <w:t>Acceptance criteria</w:t>
      </w:r>
    </w:p>
    <w:p>
      <w:r>
        <w:t>Test IOC with partial liquidity, FOK with insufficient quantity, and post-only at a crossing and non-crossing price. Test a self-cross before any fill and after a valid external fill. For FOK plus STP, require either the full permitted fill or no trade. Verify that the configured default is applied consistently across gateways.</w:t>
      </w:r>
    </w:p>
    <w:p>
      <w:pPr>
        <w:pStyle w:val="Heading1"/>
        <w:pageBreakBefore/>
      </w:pPr>
      <w:r>
        <w:t>7 Risk flags expiry and market protection</w:t>
      </w:r>
    </w:p>
    <w:p>
      <w:pPr>
        <w:pStyle w:val="Heading2"/>
      </w:pPr>
      <w:r>
        <w:t>Reduce only must remain true during execution</w:t>
      </w:r>
    </w:p>
    <w:p>
      <w:r>
        <w:t>Proposed definition. A reduce-only execution can reduce the absolute net position to zero but cannot increase it or reverse its sign. Evaluate this against the current position and concurrent matching effects, not only the position seen by the gateway at submission.</w:t>
      </w:r>
    </w:p>
    <w:p>
      <w:r>
        <w:t>For example, a user long 10 submits two reduce-only sell orders for 10. Both must not fill in full and leave the account short 10. Reserve reducible quantity or enforce an equivalent serialized check in the engine. Specify whether an oversized request is rejected or capped; reject an oversized reduce-only FOK request unless the API explicitly supports a different quantity contract.</w:t>
      </w:r>
    </w:p>
    <w:p>
      <w:pPr>
        <w:pStyle w:val="Heading2"/>
      </w:pPr>
      <w:r>
        <w:t>Expiry requires an exact engine boundary</w:t>
      </w:r>
    </w:p>
    <w:p>
      <w:r>
        <w:t>State the authoritative clock, timestamp precision and allowed TIF combinations. Recommend that an order is ineligible when engine time is at or after expires_at. Reject a past expiry at acceptance. Resolve expiry-versus-fill races by the engine’s event order, and expose the final status and removed quantity.</w:t>
      </w:r>
    </w:p>
    <w:p>
      <w:r>
        <w:t>Document what happens to resting orders when a market becomes HALTED or CLOSED. GTC does not by itself define those lifecycle transitions. If pause behavior varies by product or order flag, publish that variation.</w:t>
      </w:r>
    </w:p>
    <w:p>
      <w:pPr>
        <w:pStyle w:val="Heading2"/>
      </w:pPr>
      <w:r>
        <w:t>Protected market orders need a published calculation</w:t>
      </w:r>
    </w:p>
    <w:p>
      <w:r>
        <w:t>The current gateway reads an opposite quote, derives a bounded price and submits IOC. [1] Specify the permitted quote age, source of the quote, protection distance, tick rounding, price-band clamping and treatment of a moved or empty book. A basis-point rule alone is unsuitable near zero or for signed futures quotes; define a product-appropriate absolute or otherwise valid bound.</w:t>
      </w:r>
    </w:p>
    <w:p>
      <w:r>
        <w:t>For an illustrative canonical bid, a best ask of 60 and a two-tick protection distance with tick_size 1 gives a limit of 62. Eligible asks through 62 may fill; the IOC remainder is cancelled. This is an example, not a selected Sarvaex default. Return the effective limit and retain it for retry reconciliation.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4536"/>
        <w:gridCol w:w="5458"/>
      </w:tblGrid>
      <w:tr>
        <w:trPr>
          <w:cantSplit/>
          <w:tblHeader/>
        </w:trPr>
        <w:tc>
          <w:tcPr>
            <w:tcW w:type="dxa" w:w="4536"/>
            <w:vAlign w:val="center"/>
            <w:shd w:fill="333333"/>
          </w:tcPr>
          <w:p>
            <w:pPr>
              <w:spacing w:before="0" w:after="0" w:line="252" w:lineRule="auto"/>
              <w:jc w:val="left"/>
            </w:pPr>
            <w:r>
              <w:rPr>
                <w:rFonts w:ascii="Arial" w:hAnsi="Arial"/>
                <w:b/>
                <w:color w:val="FFFFFF"/>
                <w:sz w:val="20"/>
              </w:rPr>
              <w:t>Combination</w:t>
            </w:r>
          </w:p>
        </w:tc>
        <w:tc>
          <w:tcPr>
            <w:tcW w:type="dxa" w:w="5458"/>
            <w:vAlign w:val="center"/>
            <w:shd w:fill="333333"/>
          </w:tcPr>
          <w:p>
            <w:pPr>
              <w:spacing w:before="0" w:after="0" w:line="252" w:lineRule="auto"/>
              <w:jc w:val="left"/>
            </w:pPr>
            <w:r>
              <w:rPr>
                <w:rFonts w:ascii="Arial" w:hAnsi="Arial"/>
                <w:b/>
                <w:color w:val="FFFFFF"/>
                <w:sz w:val="20"/>
              </w:rPr>
              <w:t>Proposed contract</w:t>
            </w:r>
          </w:p>
        </w:tc>
      </w:tr>
      <w:tr>
        <w:trPr>
          <w:cantSplit/>
        </w:trPr>
        <w:tc>
          <w:tcPr>
            <w:tcW w:type="dxa" w:w="4536"/>
            <w:vAlign w:val="center"/>
            <w:shd w:fill="FFFFFF"/>
          </w:tcPr>
          <w:p>
            <w:pPr>
              <w:spacing w:before="0" w:after="0" w:line="252" w:lineRule="auto"/>
              <w:jc w:val="left"/>
            </w:pPr>
            <w:r>
              <w:rPr>
                <w:rFonts w:ascii="Arial" w:hAnsi="Arial"/>
                <w:b w:val="0"/>
                <w:color w:val="000000"/>
                <w:sz w:val="20"/>
              </w:rPr>
              <w:t>MARKET with omitted TIF or IOC</w:t>
            </w:r>
          </w:p>
        </w:tc>
        <w:tc>
          <w:tcPr>
            <w:tcW w:type="dxa" w:w="5458"/>
            <w:vAlign w:val="center"/>
            <w:shd w:fill="FFFFFF"/>
          </w:tcPr>
          <w:p>
            <w:pPr>
              <w:spacing w:before="0" w:after="0" w:line="252" w:lineRule="auto"/>
              <w:jc w:val="left"/>
            </w:pPr>
            <w:r>
              <w:rPr>
                <w:rFonts w:ascii="Arial" w:hAnsi="Arial"/>
                <w:b w:val="0"/>
                <w:color w:val="000000"/>
                <w:sz w:val="20"/>
              </w:rPr>
              <w:t>Use protected IOC and report the effective TIF</w:t>
            </w:r>
          </w:p>
        </w:tc>
      </w:tr>
      <w:tr>
        <w:trPr>
          <w:cantSplit/>
        </w:trPr>
        <w:tc>
          <w:tcPr>
            <w:tcW w:type="dxa" w:w="4536"/>
            <w:vAlign w:val="center"/>
            <w:shd w:fill="F4F5F6"/>
          </w:tcPr>
          <w:p>
            <w:pPr>
              <w:spacing w:before="0" w:after="0" w:line="252" w:lineRule="auto"/>
              <w:jc w:val="left"/>
            </w:pPr>
            <w:r>
              <w:rPr>
                <w:rFonts w:ascii="Arial" w:hAnsi="Arial"/>
                <w:b w:val="0"/>
                <w:color w:val="000000"/>
                <w:sz w:val="20"/>
              </w:rPr>
              <w:t>MARKET with explicit GTC or FOK</w:t>
            </w:r>
          </w:p>
        </w:tc>
        <w:tc>
          <w:tcPr>
            <w:tcW w:type="dxa" w:w="5458"/>
            <w:vAlign w:val="center"/>
            <w:shd w:fill="F4F5F6"/>
          </w:tcPr>
          <w:p>
            <w:pPr>
              <w:spacing w:before="0" w:after="0" w:line="252" w:lineRule="auto"/>
              <w:jc w:val="left"/>
            </w:pPr>
            <w:r>
              <w:rPr>
                <w:rFonts w:ascii="Arial" w:hAnsi="Arial"/>
                <w:b w:val="0"/>
                <w:color w:val="000000"/>
                <w:sz w:val="20"/>
              </w:rPr>
              <w:t>Reject as unsupported rather than silently changing intent</w:t>
            </w:r>
          </w:p>
        </w:tc>
      </w:tr>
      <w:tr>
        <w:trPr>
          <w:cantSplit/>
        </w:trPr>
        <w:tc>
          <w:tcPr>
            <w:tcW w:type="dxa" w:w="4536"/>
            <w:vAlign w:val="center"/>
            <w:shd w:fill="FFFFFF"/>
          </w:tcPr>
          <w:p>
            <w:pPr>
              <w:spacing w:before="0" w:after="0" w:line="252" w:lineRule="auto"/>
              <w:jc w:val="left"/>
            </w:pPr>
            <w:r>
              <w:rPr>
                <w:rFonts w:ascii="Arial" w:hAnsi="Arial"/>
                <w:b w:val="0"/>
                <w:color w:val="000000"/>
                <w:sz w:val="20"/>
              </w:rPr>
              <w:t>Post only with MARKET or IOC or FOK</w:t>
            </w:r>
          </w:p>
        </w:tc>
        <w:tc>
          <w:tcPr>
            <w:tcW w:type="dxa" w:w="5458"/>
            <w:vAlign w:val="center"/>
            <w:shd w:fill="FFFFFF"/>
          </w:tcPr>
          <w:p>
            <w:pPr>
              <w:spacing w:before="0" w:after="0" w:line="252" w:lineRule="auto"/>
              <w:jc w:val="left"/>
            </w:pPr>
            <w:r>
              <w:rPr>
                <w:rFonts w:ascii="Arial" w:hAnsi="Arial"/>
                <w:b w:val="0"/>
                <w:color w:val="000000"/>
                <w:sz w:val="20"/>
              </w:rPr>
              <w:t>Reject the conflicting combination</w:t>
            </w:r>
          </w:p>
        </w:tc>
      </w:tr>
      <w:tr>
        <w:trPr>
          <w:cantSplit/>
        </w:trPr>
        <w:tc>
          <w:tcPr>
            <w:tcW w:type="dxa" w:w="4536"/>
            <w:vAlign w:val="center"/>
            <w:shd w:fill="F4F5F6"/>
          </w:tcPr>
          <w:p>
            <w:pPr>
              <w:spacing w:before="0" w:after="0" w:line="252" w:lineRule="auto"/>
              <w:jc w:val="left"/>
            </w:pPr>
            <w:r>
              <w:rPr>
                <w:rFonts w:ascii="Arial" w:hAnsi="Arial"/>
                <w:b w:val="0"/>
                <w:color w:val="000000"/>
                <w:sz w:val="20"/>
              </w:rPr>
              <w:t>Expiry with immediate orders</w:t>
            </w:r>
          </w:p>
        </w:tc>
        <w:tc>
          <w:tcPr>
            <w:tcW w:type="dxa" w:w="5458"/>
            <w:vAlign w:val="center"/>
            <w:shd w:fill="F4F5F6"/>
          </w:tcPr>
          <w:p>
            <w:pPr>
              <w:spacing w:before="0" w:after="0" w:line="252" w:lineRule="auto"/>
              <w:jc w:val="left"/>
            </w:pPr>
            <w:r>
              <w:rPr>
                <w:rFonts w:ascii="Arial" w:hAnsi="Arial"/>
                <w:b w:val="0"/>
                <w:color w:val="000000"/>
                <w:sz w:val="20"/>
              </w:rPr>
              <w:t>Reject unless a specific meaningful rule is documented</w:t>
            </w:r>
          </w:p>
        </w:tc>
      </w:tr>
      <w:tr>
        <w:trPr>
          <w:cantSplit/>
        </w:trPr>
        <w:tc>
          <w:tcPr>
            <w:tcW w:type="dxa" w:w="4536"/>
            <w:vAlign w:val="center"/>
            <w:shd w:fill="FFFFFF"/>
          </w:tcPr>
          <w:p>
            <w:pPr>
              <w:spacing w:before="0" w:after="0" w:line="252" w:lineRule="auto"/>
              <w:jc w:val="left"/>
            </w:pPr>
            <w:r>
              <w:rPr>
                <w:rFonts w:ascii="Arial" w:hAnsi="Arial"/>
                <w:b w:val="0"/>
                <w:color w:val="000000"/>
                <w:sz w:val="20"/>
              </w:rPr>
              <w:t>Reduce only with no reducible position</w:t>
            </w:r>
          </w:p>
        </w:tc>
        <w:tc>
          <w:tcPr>
            <w:tcW w:type="dxa" w:w="5458"/>
            <w:vAlign w:val="center"/>
            <w:shd w:fill="FFFFFF"/>
          </w:tcPr>
          <w:p>
            <w:pPr>
              <w:spacing w:before="0" w:after="0" w:line="252" w:lineRule="auto"/>
              <w:jc w:val="left"/>
            </w:pPr>
            <w:r>
              <w:rPr>
                <w:rFonts w:ascii="Arial" w:hAnsi="Arial"/>
                <w:b w:val="0"/>
                <w:color w:val="000000"/>
                <w:sz w:val="20"/>
              </w:rPr>
              <w:t>Reject or cancel with a documented reason and zero fills</w:t>
            </w:r>
          </w:p>
        </w:tc>
      </w:tr>
    </w:tbl>
    <w:p>
      <w:pPr>
        <w:spacing w:after="0" w:before="0" w:line="240" w:lineRule="auto"/>
      </w:pPr>
      <w:r>
        <w:rPr>
          <w:sz w:val="6"/>
        </w:rPr>
      </w:r>
    </w:p>
    <w:p>
      <w:r>
        <w:t>Acceptance criteria. Exercise concurrent reduce-only orders, a fill exactly at expiry, stale quotes, quote movement, zero liquidity, and partial execution within protection. Apply protection after binary direction normalization. Return precise terminal reasons and reconcile holds for every rejected or cancelled remainder.</w:t>
      </w:r>
    </w:p>
    <w:p>
      <w:pPr>
        <w:pStyle w:val="Heading1"/>
        <w:pageBreakBefore/>
      </w:pPr>
      <w:r>
        <w:t>8 Product specific price validation</w:t>
      </w:r>
    </w:p>
    <w:p>
      <w:r>
        <w:t>Documented behavior. LIMIT price_ticks must be positive and tick aligned. Binary prices are described as cents, while futures use divider, tick_value_micro and multiplier metadata. MARKET may use zero as an input because the gateway derives its limit. [1]</w:t>
      </w:r>
    </w:p>
    <w:p>
      <w:pPr>
        <w:pStyle w:val="Heading2"/>
      </w:pPr>
      <w:r>
        <w:t>Validate the market range and price grid</w:t>
      </w:r>
    </w:p>
    <w:p>
      <w:r>
        <w:t>Proposed definition. Price validity depends on the contract. Keep the illustrated binary range of 1 through 99 where those are the terms. Permit zero or signed futures quotes only when the market specification supports them. Order type, not price zero, determines whether the instruction is LIMIT or MARKET.</w:t>
      </w:r>
    </w:p>
    <w:p>
      <w:r>
        <w:t>Illustrative futures metadata for a product that permits signed prices:</w:t>
      </w:r>
    </w:p>
    <w:p>
      <w:pPr>
        <w:spacing w:after="0" w:line="240" w:lineRule="auto"/>
        <w:ind w:left="173"/>
      </w:pPr>
      <w:r>
        <w:rPr>
          <w:rFonts w:ascii="Courier New" w:hAnsi="Courier New"/>
          <w:sz w:val="19"/>
        </w:rPr>
        <w:t>{</w:t>
      </w:r>
    </w:p>
    <w:p>
      <w:pPr>
        <w:spacing w:after="0" w:line="240" w:lineRule="auto"/>
        <w:ind w:left="173"/>
      </w:pPr>
      <w:r>
        <w:rPr>
          <w:rFonts w:ascii="Courier New" w:hAnsi="Courier New"/>
          <w:sz w:val="19"/>
        </w:rPr>
        <w:t xml:space="preserve">  "min_price_ticks": -1000,</w:t>
      </w:r>
    </w:p>
    <w:p>
      <w:pPr>
        <w:spacing w:after="0" w:line="240" w:lineRule="auto"/>
        <w:ind w:left="173"/>
      </w:pPr>
      <w:r>
        <w:rPr>
          <w:rFonts w:ascii="Courier New" w:hAnsi="Courier New"/>
          <w:sz w:val="19"/>
        </w:rPr>
        <w:t xml:space="preserve">  "max_price_ticks": 2000,</w:t>
      </w:r>
    </w:p>
    <w:p>
      <w:pPr>
        <w:spacing w:after="0" w:line="240" w:lineRule="auto"/>
        <w:ind w:left="173"/>
      </w:pPr>
      <w:r>
        <w:rPr>
          <w:rFonts w:ascii="Courier New" w:hAnsi="Courier New"/>
          <w:sz w:val="19"/>
        </w:rPr>
        <w:t xml:space="preserve">  "tick_size": 1,</w:t>
      </w:r>
    </w:p>
    <w:p>
      <w:pPr>
        <w:spacing w:after="0" w:line="240" w:lineRule="auto"/>
        <w:ind w:left="173"/>
      </w:pPr>
      <w:r>
        <w:rPr>
          <w:rFonts w:ascii="Courier New" w:hAnsi="Courier New"/>
          <w:sz w:val="19"/>
        </w:rPr>
        <w:t xml:space="preserve">  "divider": 100</w:t>
      </w:r>
    </w:p>
    <w:p>
      <w:pPr>
        <w:spacing w:after="0" w:line="240" w:lineRule="auto"/>
        <w:ind w:left="173"/>
      </w:pPr>
      <w:r>
        <w:rPr>
          <w:rFonts w:ascii="Courier New" w:hAnsi="Courier New"/>
          <w:sz w:val="19"/>
        </w:rPr>
        <w:t>}</w:t>
      </w:r>
    </w:p>
    <w:p>
      <w:pPr>
        <w:spacing w:after="40"/>
      </w:pPr>
      <w:r>
        <w:rPr>
          <w:sz w:val="6"/>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088"/>
        <w:gridCol w:w="4882"/>
        <w:gridCol w:w="3024"/>
      </w:tblGrid>
      <w:tr>
        <w:trPr>
          <w:cantSplit/>
          <w:tblHeader/>
        </w:trPr>
        <w:tc>
          <w:tcPr>
            <w:tcW w:type="dxa" w:w="2088"/>
            <w:vAlign w:val="center"/>
            <w:shd w:fill="333333"/>
          </w:tcPr>
          <w:p>
            <w:pPr>
              <w:spacing w:before="0" w:after="0" w:line="252" w:lineRule="auto"/>
              <w:jc w:val="center"/>
            </w:pPr>
            <w:r>
              <w:rPr>
                <w:rFonts w:ascii="Arial" w:hAnsi="Arial"/>
                <w:b/>
                <w:color w:val="FFFFFF"/>
                <w:sz w:val="20"/>
              </w:rPr>
              <w:t>Input price_ticks</w:t>
            </w:r>
          </w:p>
        </w:tc>
        <w:tc>
          <w:tcPr>
            <w:tcW w:type="dxa" w:w="4882"/>
            <w:vAlign w:val="center"/>
            <w:shd w:fill="333333"/>
          </w:tcPr>
          <w:p>
            <w:pPr>
              <w:spacing w:before="0" w:after="0" w:line="252" w:lineRule="auto"/>
              <w:jc w:val="left"/>
            </w:pPr>
            <w:r>
              <w:rPr>
                <w:rFonts w:ascii="Arial" w:hAnsi="Arial"/>
                <w:b/>
                <w:color w:val="FFFFFF"/>
                <w:sz w:val="20"/>
              </w:rPr>
              <w:t>Display price under this example</w:t>
            </w:r>
          </w:p>
        </w:tc>
        <w:tc>
          <w:tcPr>
            <w:tcW w:type="dxa" w:w="3024"/>
            <w:vAlign w:val="center"/>
            <w:shd w:fill="333333"/>
          </w:tcPr>
          <w:p>
            <w:pPr>
              <w:spacing w:before="0" w:after="0" w:line="252" w:lineRule="auto"/>
              <w:jc w:val="left"/>
            </w:pPr>
            <w:r>
              <w:rPr>
                <w:rFonts w:ascii="Arial" w:hAnsi="Arial"/>
                <w:b/>
                <w:color w:val="FFFFFF"/>
                <w:sz w:val="20"/>
              </w:rPr>
              <w:t>Validation</w:t>
            </w:r>
          </w:p>
        </w:tc>
      </w:tr>
      <w:tr>
        <w:trPr>
          <w:cantSplit/>
        </w:trPr>
        <w:tc>
          <w:tcPr>
            <w:tcW w:type="dxa" w:w="2088"/>
            <w:vAlign w:val="center"/>
            <w:shd w:fill="FFFFFF"/>
          </w:tcPr>
          <w:p>
            <w:pPr>
              <w:spacing w:before="0" w:after="0" w:line="252" w:lineRule="auto"/>
              <w:jc w:val="center"/>
            </w:pPr>
            <w:r>
              <w:rPr>
                <w:rFonts w:ascii="Arial" w:hAnsi="Arial"/>
                <w:b w:val="0"/>
                <w:color w:val="000000"/>
                <w:sz w:val="20"/>
              </w:rPr>
              <w:t>-50</w:t>
            </w:r>
          </w:p>
        </w:tc>
        <w:tc>
          <w:tcPr>
            <w:tcW w:type="dxa" w:w="4882"/>
            <w:vAlign w:val="center"/>
            <w:shd w:fill="FFFFFF"/>
          </w:tcPr>
          <w:p>
            <w:pPr>
              <w:spacing w:before="0" w:after="0" w:line="252" w:lineRule="auto"/>
              <w:jc w:val="left"/>
            </w:pPr>
            <w:r>
              <w:rPr>
                <w:rFonts w:ascii="Arial" w:hAnsi="Arial"/>
                <w:b w:val="0"/>
                <w:color w:val="000000"/>
                <w:sz w:val="20"/>
              </w:rPr>
              <w:t>−0.50</w:t>
            </w:r>
          </w:p>
        </w:tc>
        <w:tc>
          <w:tcPr>
            <w:tcW w:type="dxa" w:w="3024"/>
            <w:vAlign w:val="center"/>
            <w:shd w:fill="FFFFFF"/>
          </w:tcPr>
          <w:p>
            <w:pPr>
              <w:spacing w:before="0" w:after="0" w:line="252" w:lineRule="auto"/>
              <w:jc w:val="left"/>
            </w:pPr>
            <w:r>
              <w:rPr>
                <w:rFonts w:ascii="Arial" w:hAnsi="Arial"/>
                <w:b w:val="0"/>
                <w:color w:val="000000"/>
                <w:sz w:val="20"/>
              </w:rPr>
              <w:t>Within the example range</w:t>
            </w:r>
          </w:p>
        </w:tc>
      </w:tr>
      <w:tr>
        <w:trPr>
          <w:cantSplit/>
        </w:trPr>
        <w:tc>
          <w:tcPr>
            <w:tcW w:type="dxa" w:w="2088"/>
            <w:vAlign w:val="center"/>
            <w:shd w:fill="F4F5F6"/>
          </w:tcPr>
          <w:p>
            <w:pPr>
              <w:spacing w:before="0" w:after="0" w:line="252" w:lineRule="auto"/>
              <w:jc w:val="center"/>
            </w:pPr>
            <w:r>
              <w:rPr>
                <w:rFonts w:ascii="Arial" w:hAnsi="Arial"/>
                <w:b w:val="0"/>
                <w:color w:val="000000"/>
                <w:sz w:val="20"/>
              </w:rPr>
              <w:t>0</w:t>
            </w:r>
          </w:p>
        </w:tc>
        <w:tc>
          <w:tcPr>
            <w:tcW w:type="dxa" w:w="4882"/>
            <w:vAlign w:val="center"/>
            <w:shd w:fill="F4F5F6"/>
          </w:tcPr>
          <w:p>
            <w:pPr>
              <w:spacing w:before="0" w:after="0" w:line="252" w:lineRule="auto"/>
              <w:jc w:val="left"/>
            </w:pPr>
            <w:r>
              <w:rPr>
                <w:rFonts w:ascii="Arial" w:hAnsi="Arial"/>
                <w:b w:val="0"/>
                <w:color w:val="000000"/>
                <w:sz w:val="20"/>
              </w:rPr>
              <w:t>0.00</w:t>
            </w:r>
          </w:p>
        </w:tc>
        <w:tc>
          <w:tcPr>
            <w:tcW w:type="dxa" w:w="3024"/>
            <w:vAlign w:val="center"/>
            <w:shd w:fill="F4F5F6"/>
          </w:tcPr>
          <w:p>
            <w:pPr>
              <w:spacing w:before="0" w:after="0" w:line="252" w:lineRule="auto"/>
              <w:jc w:val="left"/>
            </w:pPr>
            <w:r>
              <w:rPr>
                <w:rFonts w:ascii="Arial" w:hAnsi="Arial"/>
                <w:b w:val="0"/>
                <w:color w:val="000000"/>
                <w:sz w:val="20"/>
              </w:rPr>
              <w:t>Valid LIMIT price in this example</w:t>
            </w:r>
          </w:p>
        </w:tc>
      </w:tr>
      <w:tr>
        <w:trPr>
          <w:cantSplit/>
        </w:trPr>
        <w:tc>
          <w:tcPr>
            <w:tcW w:type="dxa" w:w="2088"/>
            <w:vAlign w:val="center"/>
            <w:shd w:fill="FFFFFF"/>
          </w:tcPr>
          <w:p>
            <w:pPr>
              <w:spacing w:before="0" w:after="0" w:line="252" w:lineRule="auto"/>
              <w:jc w:val="center"/>
            </w:pPr>
            <w:r>
              <w:rPr>
                <w:rFonts w:ascii="Arial" w:hAnsi="Arial"/>
                <w:b w:val="0"/>
                <w:color w:val="000000"/>
                <w:sz w:val="20"/>
              </w:rPr>
              <w:t>430</w:t>
            </w:r>
          </w:p>
        </w:tc>
        <w:tc>
          <w:tcPr>
            <w:tcW w:type="dxa" w:w="4882"/>
            <w:vAlign w:val="center"/>
            <w:shd w:fill="FFFFFF"/>
          </w:tcPr>
          <w:p>
            <w:pPr>
              <w:spacing w:before="0" w:after="0" w:line="252" w:lineRule="auto"/>
              <w:jc w:val="left"/>
            </w:pPr>
            <w:r>
              <w:rPr>
                <w:rFonts w:ascii="Arial" w:hAnsi="Arial"/>
                <w:b w:val="0"/>
                <w:color w:val="000000"/>
                <w:sz w:val="20"/>
              </w:rPr>
              <w:t>4.30</w:t>
            </w:r>
          </w:p>
        </w:tc>
        <w:tc>
          <w:tcPr>
            <w:tcW w:type="dxa" w:w="3024"/>
            <w:vAlign w:val="center"/>
            <w:shd w:fill="FFFFFF"/>
          </w:tcPr>
          <w:p>
            <w:pPr>
              <w:spacing w:before="0" w:after="0" w:line="252" w:lineRule="auto"/>
              <w:jc w:val="left"/>
            </w:pPr>
            <w:r>
              <w:rPr>
                <w:rFonts w:ascii="Arial" w:hAnsi="Arial"/>
                <w:b w:val="0"/>
                <w:color w:val="000000"/>
                <w:sz w:val="20"/>
              </w:rPr>
              <w:t>Within the example range</w:t>
            </w:r>
          </w:p>
        </w:tc>
      </w:tr>
      <w:tr>
        <w:trPr>
          <w:cantSplit/>
        </w:trPr>
        <w:tc>
          <w:tcPr>
            <w:tcW w:type="dxa" w:w="2088"/>
            <w:vAlign w:val="center"/>
            <w:shd w:fill="F4F5F6"/>
          </w:tcPr>
          <w:p>
            <w:pPr>
              <w:spacing w:before="0" w:after="0" w:line="252" w:lineRule="auto"/>
              <w:jc w:val="center"/>
            </w:pPr>
            <w:r>
              <w:rPr>
                <w:rFonts w:ascii="Arial" w:hAnsi="Arial"/>
                <w:b w:val="0"/>
                <w:color w:val="000000"/>
                <w:sz w:val="20"/>
              </w:rPr>
              <w:t>2001</w:t>
            </w:r>
          </w:p>
        </w:tc>
        <w:tc>
          <w:tcPr>
            <w:tcW w:type="dxa" w:w="4882"/>
            <w:vAlign w:val="center"/>
            <w:shd w:fill="F4F5F6"/>
          </w:tcPr>
          <w:p>
            <w:pPr>
              <w:spacing w:before="0" w:after="0" w:line="252" w:lineRule="auto"/>
              <w:jc w:val="left"/>
            </w:pPr>
            <w:r>
              <w:rPr>
                <w:rFonts w:ascii="Arial" w:hAnsi="Arial"/>
                <w:b w:val="0"/>
                <w:color w:val="000000"/>
                <w:sz w:val="20"/>
              </w:rPr>
              <w:t>20.01</w:t>
            </w:r>
          </w:p>
        </w:tc>
        <w:tc>
          <w:tcPr>
            <w:tcW w:type="dxa" w:w="3024"/>
            <w:vAlign w:val="center"/>
            <w:shd w:fill="F4F5F6"/>
          </w:tcPr>
          <w:p>
            <w:pPr>
              <w:spacing w:before="0" w:after="0" w:line="252" w:lineRule="auto"/>
              <w:jc w:val="left"/>
            </w:pPr>
            <w:r>
              <w:rPr>
                <w:rFonts w:ascii="Arial" w:hAnsi="Arial"/>
                <w:b w:val="0"/>
                <w:color w:val="000000"/>
                <w:sz w:val="20"/>
              </w:rPr>
              <w:t>Reject as outside the range</w:t>
            </w:r>
          </w:p>
        </w:tc>
      </w:tr>
    </w:tbl>
    <w:p>
      <w:pPr>
        <w:spacing w:after="0" w:before="0" w:line="240" w:lineRule="auto"/>
      </w:pPr>
      <w:r>
        <w:rPr>
          <w:sz w:val="6"/>
        </w:rPr>
      </w:r>
    </w:p>
    <w:p>
      <w:r>
        <w:t>Define whether tick_size means an increment in the integer price field and identify the grid origin. A price is valid only if it lies within the permitted range and on that grid. If dynamic price bands apply, return the effective bands used at acceptance or an explicit rejection reason when they change.</w:t>
      </w:r>
    </w:p>
    <w:p>
      <w:pPr>
        <w:pStyle w:val="Heading2"/>
      </w:pPr>
      <w:r>
        <w:t>Separate quotation settlement and monetary conversion</w:t>
      </w:r>
    </w:p>
    <w:p>
      <w:r>
        <w:t>min_price_ticks and max_price_ticks define trading bounds. lower_bound_ticks and upper_bound_ticks need their own meanings: underlying outcome bounds, payoff bounds, or another constraint. Do not infer one from the other. For a CPI quote, for example, say whether 430 means 4.30 percent, an index level, or a contract price.</w:t>
      </w:r>
    </w:p>
    <w:p>
      <w:r>
        <w:t>Publish one unambiguous monetary conversion. In a linear product, identify the value of one display-unit move and derive the monetary value of a tick consistently. State which multiplier field is authoritative, how legacy fields relate to it, and the rounding rule. A price of zero or a negative quote must not produce negative required collateral through a naive price-times-quantity calculation.</w:t>
      </w:r>
    </w:p>
    <w:p>
      <w:pPr>
        <w:pStyle w:val="Heading2"/>
      </w:pPr>
      <w:r>
        <w:t>Acceptance criteria</w:t>
      </w:r>
    </w:p>
    <w:p>
      <w:r>
        <w:t>Test each market’s endpoints, an off-grid value, zero LIMIT, negative LIMIT, and the zero MARKET placeholder. Verify order responses, fills, displayed quotes, P&amp;L and collateral use the same units. Binary complement conversion must never be applied to futures prices. Keep counts positive even when signed prices are permitted.</w:t>
      </w:r>
    </w:p>
    <w:p>
      <w:pPr>
        <w:pStyle w:val="Heading1"/>
        <w:pageBreakBefore/>
      </w:pPr>
      <w:r>
        <w:t>Implementation and compatibility decisions</w:t>
      </w:r>
    </w:p>
    <w:p>
      <w:r>
        <w:t>Each change needs a defined external meaning, backend enforcement and a migration path. A schema accepting a field is not evidence that matching or ledger behavior satisfies the definition.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5" w:type="dxa"/>
          <w:right w:w="105" w:type="dxa"/>
        </w:tblCellMar>
      </w:tblPr>
      <w:tblGrid>
        <w:gridCol w:w="2448"/>
        <w:gridCol w:w="7546"/>
      </w:tblGrid>
      <w:tr>
        <w:trPr>
          <w:cantSplit/>
          <w:tblHeader/>
        </w:trPr>
        <w:tc>
          <w:tcPr>
            <w:tcW w:type="dxa" w:w="2448"/>
            <w:vAlign w:val="center"/>
            <w:shd w:fill="333333"/>
          </w:tcPr>
          <w:p>
            <w:pPr>
              <w:spacing w:before="0" w:after="0" w:line="252" w:lineRule="auto"/>
              <w:jc w:val="left"/>
            </w:pPr>
            <w:r>
              <w:rPr>
                <w:rFonts w:ascii="Arial" w:hAnsi="Arial"/>
                <w:b/>
                <w:color w:val="FFFFFF"/>
                <w:sz w:val="20"/>
              </w:rPr>
              <w:t>Area</w:t>
            </w:r>
          </w:p>
        </w:tc>
        <w:tc>
          <w:tcPr>
            <w:tcW w:type="dxa" w:w="7546"/>
            <w:vAlign w:val="center"/>
            <w:shd w:fill="333333"/>
          </w:tcPr>
          <w:p>
            <w:pPr>
              <w:spacing w:before="0" w:after="0" w:line="252" w:lineRule="auto"/>
              <w:jc w:val="left"/>
            </w:pPr>
            <w:r>
              <w:rPr>
                <w:rFonts w:ascii="Arial" w:hAnsi="Arial"/>
                <w:b/>
                <w:color w:val="FFFFFF"/>
                <w:sz w:val="20"/>
              </w:rPr>
              <w:t>Decision to record before publishing the change</w:t>
            </w:r>
          </w:p>
        </w:tc>
      </w:tr>
      <w:tr>
        <w:trPr>
          <w:cantSplit/>
        </w:trPr>
        <w:tc>
          <w:tcPr>
            <w:tcW w:type="dxa" w:w="2448"/>
            <w:vAlign w:val="center"/>
            <w:shd w:fill="FFFFFF"/>
          </w:tcPr>
          <w:p>
            <w:pPr>
              <w:spacing w:before="0" w:after="0" w:line="252" w:lineRule="auto"/>
              <w:jc w:val="left"/>
            </w:pPr>
            <w:r>
              <w:rPr>
                <w:rFonts w:ascii="Arial" w:hAnsi="Arial"/>
                <w:b w:val="0"/>
                <w:color w:val="000000"/>
                <w:sz w:val="20"/>
              </w:rPr>
              <w:t>Binary pricing</w:t>
            </w:r>
          </w:p>
        </w:tc>
        <w:tc>
          <w:tcPr>
            <w:tcW w:type="dxa" w:w="7546"/>
            <w:vAlign w:val="center"/>
            <w:shd w:fill="FFFFFF"/>
          </w:tcPr>
          <w:p>
            <w:pPr>
              <w:spacing w:before="0" w:after="0" w:line="252" w:lineRule="auto"/>
              <w:jc w:val="left"/>
            </w:pPr>
            <w:r>
              <w:rPr>
                <w:rFonts w:ascii="Arial" w:hAnsi="Arial"/>
                <w:b w:val="0"/>
                <w:color w:val="000000"/>
                <w:sz w:val="20"/>
              </w:rPr>
              <w:t>Canonical scale; preserved submitted price; public and private fill price bases</w:t>
            </w:r>
          </w:p>
        </w:tc>
      </w:tr>
      <w:tr>
        <w:trPr>
          <w:cantSplit/>
        </w:trPr>
        <w:tc>
          <w:tcPr>
            <w:tcW w:type="dxa" w:w="2448"/>
            <w:vAlign w:val="center"/>
            <w:shd w:fill="F4F5F6"/>
          </w:tcPr>
          <w:p>
            <w:pPr>
              <w:spacing w:before="0" w:after="0" w:line="252" w:lineRule="auto"/>
              <w:jc w:val="left"/>
            </w:pPr>
            <w:r>
              <w:rPr>
                <w:rFonts w:ascii="Arial" w:hAnsi="Arial"/>
                <w:b w:val="0"/>
                <w:color w:val="000000"/>
                <w:sz w:val="20"/>
              </w:rPr>
              <w:t>Portfolio and balance</w:t>
            </w:r>
          </w:p>
        </w:tc>
        <w:tc>
          <w:tcPr>
            <w:tcW w:type="dxa" w:w="7546"/>
            <w:vAlign w:val="center"/>
            <w:shd w:fill="F4F5F6"/>
          </w:tcPr>
          <w:p>
            <w:pPr>
              <w:spacing w:before="0" w:after="0" w:line="252" w:lineRule="auto"/>
              <w:jc w:val="left"/>
            </w:pPr>
            <w:r>
              <w:rPr>
                <w:rFonts w:ascii="Arial" w:hAnsi="Arial"/>
                <w:b w:val="0"/>
                <w:color w:val="000000"/>
                <w:sz w:val="20"/>
              </w:rPr>
              <w:t>Position sign; average cost units; cash, holds, funded cost and equity meanings</w:t>
            </w:r>
          </w:p>
        </w:tc>
      </w:tr>
      <w:tr>
        <w:trPr>
          <w:cantSplit/>
        </w:trPr>
        <w:tc>
          <w:tcPr>
            <w:tcW w:type="dxa" w:w="2448"/>
            <w:vAlign w:val="center"/>
            <w:shd w:fill="FFFFFF"/>
          </w:tcPr>
          <w:p>
            <w:pPr>
              <w:spacing w:before="0" w:after="0" w:line="252" w:lineRule="auto"/>
              <w:jc w:val="left"/>
            </w:pPr>
            <w:r>
              <w:rPr>
                <w:rFonts w:ascii="Arial" w:hAnsi="Arial"/>
                <w:b w:val="0"/>
                <w:color w:val="000000"/>
                <w:sz w:val="20"/>
              </w:rPr>
              <w:t>Cancellation</w:t>
            </w:r>
          </w:p>
        </w:tc>
        <w:tc>
          <w:tcPr>
            <w:tcW w:type="dxa" w:w="7546"/>
            <w:vAlign w:val="center"/>
            <w:shd w:fill="FFFFFF"/>
          </w:tcPr>
          <w:p>
            <w:pPr>
              <w:spacing w:before="0" w:after="0" w:line="252" w:lineRule="auto"/>
              <w:jc w:val="left"/>
            </w:pPr>
            <w:r>
              <w:rPr>
                <w:rFonts w:ascii="Arial" w:hAnsi="Arial"/>
                <w:b w:val="0"/>
                <w:color w:val="000000"/>
                <w:sz w:val="20"/>
              </w:rPr>
              <w:t>Executable quantity definition; terminal removal fields; effective cancellation point</w:t>
            </w:r>
          </w:p>
        </w:tc>
      </w:tr>
      <w:tr>
        <w:trPr>
          <w:cantSplit/>
        </w:trPr>
        <w:tc>
          <w:tcPr>
            <w:tcW w:type="dxa" w:w="2448"/>
            <w:vAlign w:val="center"/>
            <w:shd w:fill="F4F5F6"/>
          </w:tcPr>
          <w:p>
            <w:pPr>
              <w:spacing w:before="0" w:after="0" w:line="252" w:lineRule="auto"/>
              <w:jc w:val="left"/>
            </w:pPr>
            <w:r>
              <w:rPr>
                <w:rFonts w:ascii="Arial" w:hAnsi="Arial"/>
                <w:b w:val="0"/>
                <w:color w:val="000000"/>
                <w:sz w:val="20"/>
              </w:rPr>
              <w:t>Open interest</w:t>
            </w:r>
          </w:p>
        </w:tc>
        <w:tc>
          <w:tcPr>
            <w:tcW w:type="dxa" w:w="7546"/>
            <w:vAlign w:val="center"/>
            <w:shd w:fill="F4F5F6"/>
          </w:tcPr>
          <w:p>
            <w:pPr>
              <w:spacing w:before="0" w:after="0" w:line="252" w:lineRule="auto"/>
              <w:jc w:val="left"/>
            </w:pPr>
            <w:r>
              <w:rPr>
                <w:rFonts w:ascii="Arial" w:hAnsi="Arial"/>
                <w:b w:val="0"/>
                <w:color w:val="000000"/>
                <w:sz w:val="20"/>
              </w:rPr>
              <w:t>Account coverage; netting convention; common calculation watermark</w:t>
            </w:r>
          </w:p>
        </w:tc>
      </w:tr>
      <w:tr>
        <w:trPr>
          <w:cantSplit/>
        </w:trPr>
        <w:tc>
          <w:tcPr>
            <w:tcW w:type="dxa" w:w="2448"/>
            <w:vAlign w:val="center"/>
            <w:shd w:fill="FFFFFF"/>
          </w:tcPr>
          <w:p>
            <w:pPr>
              <w:spacing w:before="0" w:after="0" w:line="252" w:lineRule="auto"/>
              <w:jc w:val="left"/>
            </w:pPr>
            <w:r>
              <w:rPr>
                <w:rFonts w:ascii="Arial" w:hAnsi="Arial"/>
                <w:b w:val="0"/>
                <w:color w:val="000000"/>
                <w:sz w:val="20"/>
              </w:rPr>
              <w:t>Position queries</w:t>
            </w:r>
          </w:p>
        </w:tc>
        <w:tc>
          <w:tcPr>
            <w:tcW w:type="dxa" w:w="7546"/>
            <w:vAlign w:val="center"/>
            <w:shd w:fill="FFFFFF"/>
          </w:tcPr>
          <w:p>
            <w:pPr>
              <w:spacing w:before="0" w:after="0" w:line="252" w:lineRule="auto"/>
              <w:jc w:val="left"/>
            </w:pPr>
            <w:r>
              <w:rPr>
                <w:rFonts w:ascii="Arial" w:hAnsi="Arial"/>
                <w:b w:val="0"/>
                <w:color w:val="000000"/>
                <w:sz w:val="20"/>
              </w:rPr>
              <w:t>Meaning of include_closed; retention; pagination and mark policy</w:t>
            </w:r>
          </w:p>
        </w:tc>
      </w:tr>
      <w:tr>
        <w:trPr>
          <w:cantSplit/>
        </w:trPr>
        <w:tc>
          <w:tcPr>
            <w:tcW w:type="dxa" w:w="2448"/>
            <w:vAlign w:val="center"/>
            <w:shd w:fill="F4F5F6"/>
          </w:tcPr>
          <w:p>
            <w:pPr>
              <w:spacing w:before="0" w:after="0" w:line="252" w:lineRule="auto"/>
              <w:jc w:val="left"/>
            </w:pPr>
            <w:r>
              <w:rPr>
                <w:rFonts w:ascii="Arial" w:hAnsi="Arial"/>
                <w:b w:val="0"/>
                <w:color w:val="000000"/>
                <w:sz w:val="20"/>
              </w:rPr>
              <w:t>WebSocket recovery</w:t>
            </w:r>
          </w:p>
        </w:tc>
        <w:tc>
          <w:tcPr>
            <w:tcW w:type="dxa" w:w="7546"/>
            <w:vAlign w:val="center"/>
            <w:shd w:fill="F4F5F6"/>
          </w:tcPr>
          <w:p>
            <w:pPr>
              <w:spacing w:before="0" w:after="0" w:line="252" w:lineRule="auto"/>
              <w:jc w:val="left"/>
            </w:pPr>
            <w:r>
              <w:rPr>
                <w:rFonts w:ascii="Arial" w:hAnsi="Arial"/>
                <w:b w:val="0"/>
                <w:color w:val="000000"/>
                <w:sz w:val="20"/>
              </w:rPr>
              <w:t>Sequence scope; atomic update batches; epoch and depth guarantees</w:t>
            </w:r>
          </w:p>
        </w:tc>
      </w:tr>
      <w:tr>
        <w:trPr>
          <w:cantSplit/>
        </w:trPr>
        <w:tc>
          <w:tcPr>
            <w:tcW w:type="dxa" w:w="2448"/>
            <w:vAlign w:val="center"/>
            <w:shd w:fill="FFFFFF"/>
          </w:tcPr>
          <w:p>
            <w:pPr>
              <w:spacing w:before="0" w:after="0" w:line="252" w:lineRule="auto"/>
              <w:jc w:val="left"/>
            </w:pPr>
            <w:r>
              <w:rPr>
                <w:rFonts w:ascii="Arial" w:hAnsi="Arial"/>
                <w:b w:val="0"/>
                <w:color w:val="000000"/>
                <w:sz w:val="20"/>
              </w:rPr>
              <w:t>Idempotency</w:t>
            </w:r>
          </w:p>
        </w:tc>
        <w:tc>
          <w:tcPr>
            <w:tcW w:type="dxa" w:w="7546"/>
            <w:vAlign w:val="center"/>
            <w:shd w:fill="FFFFFF"/>
          </w:tcPr>
          <w:p>
            <w:pPr>
              <w:spacing w:before="0" w:after="0" w:line="252" w:lineRule="auto"/>
              <w:jc w:val="left"/>
            </w:pPr>
            <w:r>
              <w:rPr>
                <w:rFonts w:ascii="Arial" w:hAnsi="Arial"/>
                <w:b w:val="0"/>
                <w:color w:val="000000"/>
                <w:sz w:val="20"/>
              </w:rPr>
              <w:t>Durable claim; command identity; request equality; retention and lookup</w:t>
            </w:r>
          </w:p>
        </w:tc>
      </w:tr>
      <w:tr>
        <w:trPr>
          <w:cantSplit/>
        </w:trPr>
        <w:tc>
          <w:tcPr>
            <w:tcW w:type="dxa" w:w="2448"/>
            <w:vAlign w:val="center"/>
            <w:shd w:fill="F4F5F6"/>
          </w:tcPr>
          <w:p>
            <w:pPr>
              <w:spacing w:before="0" w:after="0" w:line="252" w:lineRule="auto"/>
              <w:jc w:val="left"/>
            </w:pPr>
            <w:r>
              <w:rPr>
                <w:rFonts w:ascii="Arial" w:hAnsi="Arial"/>
                <w:b w:val="0"/>
                <w:color w:val="000000"/>
                <w:sz w:val="20"/>
              </w:rPr>
              <w:t>Execution flags</w:t>
            </w:r>
          </w:p>
        </w:tc>
        <w:tc>
          <w:tcPr>
            <w:tcW w:type="dxa" w:w="7546"/>
            <w:vAlign w:val="center"/>
            <w:shd w:fill="F4F5F6"/>
          </w:tcPr>
          <w:p>
            <w:pPr>
              <w:spacing w:before="0" w:after="0" w:line="252" w:lineRule="auto"/>
              <w:jc w:val="left"/>
            </w:pPr>
            <w:r>
              <w:rPr>
                <w:rFonts w:ascii="Arial" w:hAnsi="Arial"/>
                <w:b w:val="0"/>
                <w:color w:val="000000"/>
                <w:sz w:val="20"/>
              </w:rPr>
              <w:t>Default STP; conflict table; concurrent reduce-only and FOK enforcement</w:t>
            </w:r>
          </w:p>
        </w:tc>
      </w:tr>
      <w:tr>
        <w:trPr>
          <w:cantSplit/>
        </w:trPr>
        <w:tc>
          <w:tcPr>
            <w:tcW w:type="dxa" w:w="2448"/>
            <w:vAlign w:val="center"/>
            <w:shd w:fill="FFFFFF"/>
          </w:tcPr>
          <w:p>
            <w:pPr>
              <w:spacing w:before="0" w:after="0" w:line="252" w:lineRule="auto"/>
              <w:jc w:val="left"/>
            </w:pPr>
            <w:r>
              <w:rPr>
                <w:rFonts w:ascii="Arial" w:hAnsi="Arial"/>
                <w:b w:val="0"/>
                <w:color w:val="000000"/>
                <w:sz w:val="20"/>
              </w:rPr>
              <w:t>Futures prices</w:t>
            </w:r>
          </w:p>
        </w:tc>
        <w:tc>
          <w:tcPr>
            <w:tcW w:type="dxa" w:w="7546"/>
            <w:vAlign w:val="center"/>
            <w:shd w:fill="FFFFFF"/>
          </w:tcPr>
          <w:p>
            <w:pPr>
              <w:spacing w:before="0" w:after="0" w:line="252" w:lineRule="auto"/>
              <w:jc w:val="left"/>
            </w:pPr>
            <w:r>
              <w:rPr>
                <w:rFonts w:ascii="Arial" w:hAnsi="Arial"/>
                <w:b w:val="0"/>
                <w:color w:val="000000"/>
                <w:sz w:val="20"/>
              </w:rPr>
              <w:t>Allowed signed range; quote unit; tick value; payoff and margin calculations</w:t>
            </w:r>
          </w:p>
        </w:tc>
      </w:tr>
    </w:tbl>
    <w:p>
      <w:pPr>
        <w:spacing w:after="0" w:before="0" w:line="240" w:lineRule="auto"/>
      </w:pPr>
      <w:r>
        <w:rPr>
          <w:sz w:val="6"/>
        </w:rPr>
      </w:r>
    </w:p>
    <w:p>
      <w:pPr>
        <w:pStyle w:val="Heading2"/>
      </w:pPr>
      <w:r>
        <w:t>Use exact values consistently</w:t>
      </w:r>
    </w:p>
    <w:p>
      <w:r>
        <w:t>The current API uses JSON integers for counts, sequences and money. Document numeric limits and SDK parsing behavior. Ordinary JavaScript Number values cannot distinguish every integer beyond 9007199254740991. RFC 8259 identifies the interoperable exact-integer range for binary64 implementations. [8] If a field can exceed that range, introduce decimal strings or a lossless parsing contract through an explicit version migration.</w:t>
      </w:r>
    </w:p>
    <w:p>
      <w:r>
        <w:t>Continue using integer arithmetic for micro-USDC and price units. State rounding for fees, average entry prices and P&amp;L. For nullable or unavailable values, distinguish “not known” from a real numeric zero. Publish every enum value used by REST and WebSocket messages.</w:t>
      </w:r>
    </w:p>
    <w:p>
      <w:pPr>
        <w:pStyle w:val="Heading2"/>
      </w:pPr>
      <w:r>
        <w:t>Release sequence</w:t>
      </w:r>
    </w:p>
    <w:p>
      <w:pPr>
        <w:pStyle w:val="ListNumber"/>
        <w:numPr>
          <w:ilvl w:val="0"/>
          <w:numId w:val="12"/>
        </w:numPr>
      </w:pPr>
      <w:r>
        <w:t>Compare each proposed definition with the matching engine, position service, ledger and gateways. Record where the existing behavior already agrees and where a change is required.</w:t>
      </w:r>
    </w:p>
    <w:p>
      <w:pPr>
        <w:pStyle w:val="ListNumber"/>
        <w:numPr>
          <w:ilvl w:val="0"/>
          <w:numId w:val="12"/>
        </w:numPr>
      </w:pPr>
      <w:r>
        <w:t>Add explicit fields where that preserves client meaning. Use a versioned change when reinterpreting an existing field, such as remaining_count or price_ticks, would alter calculations.</w:t>
      </w:r>
    </w:p>
    <w:p>
      <w:pPr>
        <w:pStyle w:val="ListNumber"/>
        <w:numPr>
          <w:ilvl w:val="0"/>
          <w:numId w:val="12"/>
        </w:numPr>
      </w:pPr>
      <w:r>
        <w:t>Execute the acceptance scenarios in this document against integrated services, including restart and race conditions. Reconcile orders, fills, positions, balances and public statistics.</w:t>
      </w:r>
    </w:p>
    <w:p>
      <w:pPr>
        <w:pStyle w:val="ListNumber"/>
        <w:numPr>
          <w:ilvl w:val="0"/>
          <w:numId w:val="12"/>
        </w:numPr>
      </w:pPr>
      <w:r>
        <w:t>Publish one consistent set of API examples, field definitions, error reasons and client recovery instructions. Keep SDKs and order-entry interfaces aligned with the same contract.</w:t>
      </w:r>
    </w:p>
    <w:p>
      <w:r>
        <w:t>The risk model for leveraged binaries and futures remains a separate specification dependency. Specify initial margin, maintenance margin, eligible collateral, offsets, mark sources and liquidation behavior before describing those accounts as supported by this API contract.</w:t>
      </w:r>
    </w:p>
    <w:p>
      <w:pPr>
        <w:pStyle w:val="Heading1"/>
        <w:pageBreakBefore/>
      </w:pPr>
      <w:r>
        <w:t>Sources and reference scope</w:t>
      </w:r>
    </w:p>
    <w:p>
      <w:r>
        <w:t>The source API document defines the observed external contract. The other references support specific mechanics or interoperability facts. Sarvaex field additions, migration choices and acceptance criteria in this document are proposals.</w:t>
      </w:r>
    </w:p>
    <w:p>
      <w:pPr>
        <w:pStyle w:val="Heading2"/>
      </w:pPr>
      <w:r>
        <w:t>1 Sarvaex source document</w:t>
      </w:r>
    </w:p>
    <w:p>
      <w:r>
        <w:t>API.md, supplied current implementation document, 18430 bytes. Reviewed on 26 September 2026. Relevant sections: Conventions; Public Market Data; Trading; Account and Portfolio; WebSocket API; Trading Client Rules. The source document itself was not modified.</w:t>
      </w:r>
    </w:p>
    <w:p>
      <w:pPr>
        <w:pStyle w:val="Heading2"/>
      </w:pPr>
      <w:r>
        <w:t>Kalshi primary documentation</w:t>
      </w:r>
    </w:p>
    <w:p>
      <w:pPr>
        <w:spacing w:after="100"/>
      </w:pPr>
      <w:hyperlink r:id="rId10">
        <w:r>
          <w:rPr>
            <w:color w:val="000000"/>
            <w:u w:val="single"/>
          </w:rPr>
          <w:t>2 Order direction and canonical book side</w:t>
        </w:r>
      </w:hyperlink>
    </w:p>
    <w:p>
      <w:pPr>
        <w:pStyle w:val="Caption"/>
      </w:pPr>
      <w:r>
        <w:t>Supports the directional equivalence between BUY YES and SELL NO, and between BUY NO and SELL YES.</w:t>
      </w:r>
    </w:p>
    <w:p>
      <w:pPr>
        <w:spacing w:after="100"/>
      </w:pPr>
      <w:hyperlink r:id="rId11">
        <w:r>
          <w:rPr>
            <w:color w:val="000000"/>
            <w:u w:val="single"/>
          </w:rPr>
          <w:t>3 Create Order V2</w:t>
        </w:r>
      </w:hyperlink>
    </w:p>
    <w:p>
      <w:pPr>
        <w:pStyle w:val="Caption"/>
      </w:pPr>
      <w:r>
        <w:t>Supports YES-based event order pricing and the documented self-trade prevention modes.</w:t>
      </w:r>
    </w:p>
    <w:p>
      <w:pPr>
        <w:spacing w:after="100"/>
      </w:pPr>
      <w:hyperlink r:id="rId12">
        <w:r>
          <w:rPr>
            <w:color w:val="000000"/>
            <w:u w:val="single"/>
          </w:rPr>
          <w:t>4 Orderbook responses</w:t>
        </w:r>
      </w:hyperlink>
    </w:p>
    <w:p>
      <w:pPr>
        <w:pStyle w:val="Caption"/>
      </w:pPr>
      <w:r>
        <w:t>Supports complementary YES and NO bid/ask prices and spread calculations.</w:t>
      </w:r>
    </w:p>
    <w:p>
      <w:pPr>
        <w:spacing w:after="100"/>
      </w:pPr>
      <w:hyperlink r:id="rId13">
        <w:r>
          <w:rPr>
            <w:color w:val="000000"/>
            <w:u w:val="single"/>
          </w:rPr>
          <w:t>5 Flip selling</w:t>
        </w:r>
      </w:hyperlink>
    </w:p>
    <w:p>
      <w:pPr>
        <w:pStyle w:val="Caption"/>
      </w:pPr>
      <w:r>
        <w:t>Supports closing existing holdings and opening the opposite outcome for an excess sale.</w:t>
      </w:r>
    </w:p>
    <w:p>
      <w:pPr>
        <w:spacing w:after="100"/>
      </w:pPr>
      <w:hyperlink r:id="rId14">
        <w:r>
          <w:rPr>
            <w:color w:val="000000"/>
            <w:u w:val="single"/>
          </w:rPr>
          <w:t>6 How prices are determined</w:t>
        </w:r>
      </w:hyperlink>
    </w:p>
    <w:p>
      <w:pPr>
        <w:pStyle w:val="Caption"/>
      </w:pPr>
      <w:r>
        <w:t>Supports the complementary contributions in the illustrated fully funded binary pair.</w:t>
      </w:r>
    </w:p>
    <w:p>
      <w:pPr>
        <w:spacing w:after="100"/>
      </w:pPr>
      <w:hyperlink r:id="rId15">
        <w:r>
          <w:rPr>
            <w:color w:val="000000"/>
            <w:u w:val="single"/>
          </w:rPr>
          <w:t>9 Collateral return</w:t>
        </w:r>
      </w:hyperlink>
    </w:p>
    <w:p>
      <w:pPr>
        <w:pStyle w:val="Caption"/>
      </w:pPr>
      <w:r>
        <w:t>Describes eligible event-group offsets; these are separate from the standalone examples.</w:t>
      </w:r>
    </w:p>
    <w:p>
      <w:pPr>
        <w:pStyle w:val="Heading2"/>
      </w:pPr>
      <w:r>
        <w:t>Market statistics and numeric representation</w:t>
      </w:r>
    </w:p>
    <w:p>
      <w:pPr>
        <w:spacing w:after="100"/>
      </w:pPr>
      <w:hyperlink r:id="rId16">
        <w:r>
          <w:rPr>
            <w:color w:val="000000"/>
            <w:u w:val="single"/>
          </w:rPr>
          <w:t>7 CME Group volume and open interest definitions</w:t>
        </w:r>
      </w:hyperlink>
    </w:p>
    <w:p>
      <w:pPr>
        <w:pStyle w:val="Caption"/>
      </w:pPr>
      <w:r>
        <w:t>Supports counting one side of outstanding futures contracts for open interest.</w:t>
      </w:r>
    </w:p>
    <w:p>
      <w:pPr>
        <w:spacing w:after="100"/>
      </w:pPr>
      <w:hyperlink r:id="rId17">
        <w:r>
          <w:rPr>
            <w:color w:val="000000"/>
            <w:u w:val="single"/>
          </w:rPr>
          <w:t>8 RFC 8259 JSON number interoperability</w:t>
        </w:r>
      </w:hyperlink>
    </w:p>
    <w:p>
      <w:pPr>
        <w:pStyle w:val="Caption"/>
      </w:pPr>
      <w:r>
        <w:t>Supports the precision limits relevant to integer values consumed by binary64 clients.</w:t>
      </w:r>
    </w:p>
    <w:p>
      <w:r>
        <w:t>External references checked during this review on 26 September 2026. Kalshi endpoint and field conventions can evolve; pin the chosen compatibility version when implementing Sarvaex clients.</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94" w:val="right"/>
      </w:tabs>
    </w:pPr>
    <w:r>
      <w:rPr>
        <w:rFonts w:ascii="Arial" w:hAnsi="Arial"/>
        <w:color w:val="000000"/>
        <w:sz w:val="18"/>
      </w:rPr>
      <w:t>Sarvaex API definitions</w:t>
      <w:tab/>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59" w:lineRule="auto"/>
      <w:outlineLvl w:val="0"/>
    </w:pPr>
    <w:rPr>
      <w:rFonts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59" w:lineRule="auto"/>
      <w:outlineLvl w:val="1"/>
    </w:pPr>
    <w:rPr>
      <w:rFonts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59" w:lineRule="auto"/>
    </w:pPr>
    <w:rPr>
      <w:rFonts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kalshi.com/getting_started/order_direction" TargetMode="External"/><Relationship Id="rId11" Type="http://schemas.openxmlformats.org/officeDocument/2006/relationships/hyperlink" Target="https://docs.kalshi.com/api-reference/orders/create-order-v2" TargetMode="External"/><Relationship Id="rId12" Type="http://schemas.openxmlformats.org/officeDocument/2006/relationships/hyperlink" Target="https://docs.kalshi.com/getting_started/orderbook_responses" TargetMode="External"/><Relationship Id="rId13" Type="http://schemas.openxmlformats.org/officeDocument/2006/relationships/hyperlink" Target="https://help.kalshi.com/en/articles/13823818-flip-selling" TargetMode="External"/><Relationship Id="rId14" Type="http://schemas.openxmlformats.org/officeDocument/2006/relationships/hyperlink" Target="https://help.kalshi.com/en/articles/13823836-how-are-prices-determined" TargetMode="External"/><Relationship Id="rId15" Type="http://schemas.openxmlformats.org/officeDocument/2006/relationships/hyperlink" Target="https://help.kalshi.com/en/articles/13823816-collateral-return" TargetMode="External"/><Relationship Id="rId16" Type="http://schemas.openxmlformats.org/officeDocument/2006/relationships/hyperlink" Target="https://www.cmegroup.com/trading/about-volume.html" TargetMode="External"/><Relationship Id="rId17" Type="http://schemas.openxmlformats.org/officeDocument/2006/relationships/hyperlink" Target="https://www.rfc-editor.org/rfc/rfc8259#section-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Sarvaex API Definitions and Corrections</dc:title>
  <dc:subject>Binary and futures API contract clarification</dc:subject>
  <dc:creator>Sarvaex</dc:creator>
  <cp:keywords>Sarvaex, API, binary, futures, matching, collateral, idempotency</cp:keywords>
  <dc:description>generated by python-docx</dc:description>
  <cp:lastModifiedBy/>
  <cp:revision>1</cp:revision>
  <dcterms:created xsi:type="dcterms:W3CDTF">2013-12-23T23:15:00Z</dcterms:created>
  <dcterms:modified xsi:type="dcterms:W3CDTF">2013-12-23T23:15:00Z</dcterms:modified>
  <cp:category/>
</cp:coreProperties>
</file>