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Xc4994c1bf6de6f0a7430de1e4a9401d47ad69ed"/>
    <w:p>
      <w:pPr>
        <w:pStyle w:val="Heading1"/>
      </w:pPr>
      <w:r>
        <w:t xml:space="preserve">Reachy Emotion Classification System: A Privacy-First Emotion Recognition System</w:t>
      </w:r>
    </w:p>
    <w:p>
      <w:r>
        <w:pict>
          <v:rect style="width:0;height:1.5pt" o:hralign="center" o:hrstd="t" o:hr="t"/>
        </w:pict>
      </w:r>
    </w:p>
    <w:p>
      <w:pPr>
        <w:pStyle w:val="FirstParagraph"/>
      </w:pPr>
      <w:r>
        <w:rPr>
          <w:bCs/>
          <w:b/>
        </w:rPr>
        <w:t xml:space="preserve">A Research Paper</w:t>
      </w:r>
    </w:p>
    <w:p>
      <w:pPr>
        <w:pStyle w:val="BodyText"/>
      </w:pPr>
      <w:r>
        <w:rPr>
          <w:bCs/>
          <w:b/>
        </w:rPr>
        <w:t xml:space="preserve">Presented to the Faculty of the Graduate School</w:t>
      </w:r>
      <w:r>
        <w:t xml:space="preserve"> </w:t>
      </w:r>
      <w:r>
        <w:rPr>
          <w:bCs/>
          <w:b/>
        </w:rPr>
        <w:t xml:space="preserve">Loyola University Chicago</w:t>
      </w:r>
    </w:p>
    <w:p>
      <w:pPr>
        <w:pStyle w:val="BodyText"/>
      </w:pPr>
      <w:r>
        <w:rPr>
          <w:bCs/>
          <w:b/>
        </w:rPr>
        <w:t xml:space="preserve">In Partial Fulfillment of the Requirements for the Degree of</w:t>
      </w:r>
      <w:r>
        <w:t xml:space="preserve"> </w:t>
      </w:r>
      <w:r>
        <w:rPr>
          <w:bCs/>
          <w:b/>
        </w:rPr>
        <w:t xml:space="preserve">Master of Science in Computer Science</w:t>
      </w:r>
    </w:p>
    <w:p>
      <w:pPr>
        <w:pStyle w:val="BodyText"/>
      </w:pPr>
      <w:r>
        <w:rPr>
          <w:bCs/>
          <w:b/>
        </w:rPr>
        <w:t xml:space="preserve">by</w:t>
      </w:r>
    </w:p>
    <w:p>
      <w:pPr>
        <w:pStyle w:val="BodyText"/>
      </w:pPr>
      <w:r>
        <w:rPr>
          <w:bCs/>
          <w:b/>
        </w:rPr>
        <w:t xml:space="preserve">Russell Bray</w:t>
      </w:r>
    </w:p>
    <w:p>
      <w:pPr>
        <w:pStyle w:val="BodyText"/>
      </w:pPr>
      <w:r>
        <w:rPr>
          <w:bCs/>
          <w:b/>
        </w:rPr>
        <w:t xml:space="preserve">May 2026</w:t>
      </w:r>
    </w:p>
    <w:p>
      <w:r>
        <w:pict>
          <v:rect style="width:0;height:1.5pt" o:hralign="center" o:hrstd="t" o:hr="t"/>
        </w:pict>
      </w:r>
    </w:p>
    <w:bookmarkStart w:id="20" w:name="copyright"/>
    <w:p>
      <w:pPr>
        <w:pStyle w:val="Heading2"/>
      </w:pPr>
      <w:r>
        <w:t xml:space="preserve">Copyright</w:t>
      </w:r>
    </w:p>
    <w:p>
      <w:pPr>
        <w:pStyle w:val="FirstParagraph"/>
      </w:pPr>
      <w:r>
        <w:t xml:space="preserve">Copyright © 2026 by Russell Bray. All rights reserved.</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abstract">
        <w:r>
          <w:rPr>
            <w:rStyle w:val="Hyperlink"/>
          </w:rPr>
          <w:t xml:space="preserve">Abstract</w:t>
        </w:r>
      </w:hyperlink>
    </w:p>
    <w:p>
      <w:pPr>
        <w:numPr>
          <w:ilvl w:val="0"/>
          <w:numId w:val="1001"/>
        </w:numPr>
        <w:pStyle w:val="Compact"/>
      </w:pPr>
      <w:hyperlink w:anchor="list-of-tables">
        <w:r>
          <w:rPr>
            <w:rStyle w:val="Hyperlink"/>
          </w:rPr>
          <w:t xml:space="preserve">List of Tables</w:t>
        </w:r>
      </w:hyperlink>
    </w:p>
    <w:p>
      <w:pPr>
        <w:numPr>
          <w:ilvl w:val="0"/>
          <w:numId w:val="1001"/>
        </w:numPr>
        <w:pStyle w:val="Compact"/>
      </w:pPr>
      <w:hyperlink w:anchor="list-of-figures">
        <w:r>
          <w:rPr>
            <w:rStyle w:val="Hyperlink"/>
          </w:rPr>
          <w:t xml:space="preserve">List of Figures</w:t>
        </w:r>
      </w:hyperlink>
    </w:p>
    <w:p>
      <w:pPr>
        <w:numPr>
          <w:ilvl w:val="0"/>
          <w:numId w:val="1001"/>
        </w:numPr>
        <w:pStyle w:val="Compact"/>
      </w:pPr>
      <w:hyperlink w:anchor="chapter-1-introduction">
        <w:r>
          <w:rPr>
            <w:rStyle w:val="Hyperlink"/>
          </w:rPr>
          <w:t xml:space="preserve">Chapter 1: Introduction</w:t>
        </w:r>
      </w:hyperlink>
    </w:p>
    <w:p>
      <w:pPr>
        <w:numPr>
          <w:ilvl w:val="0"/>
          <w:numId w:val="1001"/>
        </w:numPr>
        <w:pStyle w:val="Compact"/>
      </w:pPr>
      <w:hyperlink w:anchor="chapter-2-background-and-motivation">
        <w:r>
          <w:rPr>
            <w:rStyle w:val="Hyperlink"/>
          </w:rPr>
          <w:t xml:space="preserve">Chapter 2: Background and Motivation</w:t>
        </w:r>
      </w:hyperlink>
    </w:p>
    <w:p>
      <w:pPr>
        <w:numPr>
          <w:ilvl w:val="0"/>
          <w:numId w:val="1001"/>
        </w:numPr>
        <w:pStyle w:val="Compact"/>
      </w:pPr>
      <w:hyperlink w:anchor="chapter-3-research-platform">
        <w:r>
          <w:rPr>
            <w:rStyle w:val="Hyperlink"/>
          </w:rPr>
          <w:t xml:space="preserve">Chapter 3: Research Platform</w:t>
        </w:r>
      </w:hyperlink>
    </w:p>
    <w:p>
      <w:pPr>
        <w:numPr>
          <w:ilvl w:val="0"/>
          <w:numId w:val="1001"/>
        </w:numPr>
        <w:pStyle w:val="Compact"/>
      </w:pPr>
      <w:hyperlink w:anchor="chapter-4-related-work">
        <w:r>
          <w:rPr>
            <w:rStyle w:val="Hyperlink"/>
          </w:rPr>
          <w:t xml:space="preserve">Chapter 4: Related Work</w:t>
        </w:r>
      </w:hyperlink>
    </w:p>
    <w:p>
      <w:pPr>
        <w:numPr>
          <w:ilvl w:val="0"/>
          <w:numId w:val="1001"/>
        </w:numPr>
        <w:pStyle w:val="Compact"/>
      </w:pPr>
      <w:hyperlink w:anchor="X67aea034c4684b8fe09faf234a1dd4325aa9451">
        <w:r>
          <w:rPr>
            <w:rStyle w:val="Hyperlink"/>
          </w:rPr>
          <w:t xml:space="preserve">Chapter 5: System Architecture and Methodology</w:t>
        </w:r>
      </w:hyperlink>
    </w:p>
    <w:p>
      <w:pPr>
        <w:numPr>
          <w:ilvl w:val="0"/>
          <w:numId w:val="1001"/>
        </w:numPr>
        <w:pStyle w:val="Compact"/>
      </w:pPr>
      <w:hyperlink w:anchor="chapter-6-experiments-and-results">
        <w:r>
          <w:rPr>
            <w:rStyle w:val="Hyperlink"/>
          </w:rPr>
          <w:t xml:space="preserve">Chapter 6: Experiments and Results</w:t>
        </w:r>
      </w:hyperlink>
    </w:p>
    <w:p>
      <w:pPr>
        <w:numPr>
          <w:ilvl w:val="0"/>
          <w:numId w:val="1001"/>
        </w:numPr>
        <w:pStyle w:val="Compact"/>
      </w:pPr>
      <w:hyperlink w:anchor="X947be730f9f5b5f346ae944c7d375ee0bda6b6d">
        <w:r>
          <w:rPr>
            <w:rStyle w:val="Hyperlink"/>
          </w:rPr>
          <w:t xml:space="preserve">Chapter 7: Statistical Analysis for Model Selection</w:t>
        </w:r>
      </w:hyperlink>
    </w:p>
    <w:p>
      <w:pPr>
        <w:numPr>
          <w:ilvl w:val="0"/>
          <w:numId w:val="1001"/>
        </w:numPr>
        <w:pStyle w:val="Compact"/>
      </w:pPr>
      <w:hyperlink w:anchor="X6d53bec070f5355426cefa1b73cfd677115349d">
        <w:r>
          <w:rPr>
            <w:rStyle w:val="Hyperlink"/>
          </w:rPr>
          <w:t xml:space="preserve">Chapter 8: Discussion and Threats to Validity</w:t>
        </w:r>
      </w:hyperlink>
    </w:p>
    <w:p>
      <w:pPr>
        <w:numPr>
          <w:ilvl w:val="0"/>
          <w:numId w:val="1001"/>
        </w:numPr>
        <w:pStyle w:val="Compact"/>
      </w:pPr>
      <w:hyperlink w:anchor="chapter-9-future-work">
        <w:r>
          <w:rPr>
            <w:rStyle w:val="Hyperlink"/>
          </w:rPr>
          <w:t xml:space="preserve">Chapter 9: Future Work</w:t>
        </w:r>
      </w:hyperlink>
    </w:p>
    <w:p>
      <w:pPr>
        <w:numPr>
          <w:ilvl w:val="0"/>
          <w:numId w:val="1001"/>
        </w:numPr>
        <w:pStyle w:val="Compact"/>
      </w:pPr>
      <w:hyperlink w:anchor="Xe6f6fb27dd3faa7668af6fe10ee41b51f94d257">
        <w:r>
          <w:rPr>
            <w:rStyle w:val="Hyperlink"/>
          </w:rPr>
          <w:t xml:space="preserve">Chapter 10: Reflections on the Data Science Project</w:t>
        </w:r>
      </w:hyperlink>
    </w:p>
    <w:p>
      <w:pPr>
        <w:numPr>
          <w:ilvl w:val="0"/>
          <w:numId w:val="1001"/>
        </w:numPr>
        <w:pStyle w:val="Compact"/>
      </w:pPr>
      <w:hyperlink w:anchor="references">
        <w:r>
          <w:rPr>
            <w:rStyle w:val="Hyperlink"/>
          </w:rPr>
          <w:t xml:space="preserve">References</w:t>
        </w:r>
      </w:hyperlink>
    </w:p>
    <w:p>
      <w:r>
        <w:pict>
          <v:rect style="width:0;height:1.5pt" o:hralign="center" o:hrstd="t" o:hr="t"/>
        </w:pict>
      </w:r>
    </w:p>
    <w:bookmarkEnd w:id="21"/>
    <w:bookmarkStart w:id="22" w:name="list-of-tables"/>
    <w:p>
      <w:pPr>
        <w:pStyle w:val="Heading2"/>
      </w:pPr>
      <w:r>
        <w:t xml:space="preserve">List of Tables</w:t>
      </w:r>
    </w:p>
    <w:p>
      <w:pPr>
        <w:numPr>
          <w:ilvl w:val="0"/>
          <w:numId w:val="1002"/>
        </w:numPr>
        <w:pStyle w:val="Compact"/>
      </w:pPr>
      <w:r>
        <w:rPr>
          <w:bCs/>
          <w:b/>
        </w:rPr>
        <w:t xml:space="preserve">Table 1.</w:t>
      </w:r>
      <w:r>
        <w:t xml:space="preserve"> </w:t>
      </w:r>
      <w:r>
        <w:t xml:space="preserve">Hardware specifications for all three compute nodes.</w:t>
      </w:r>
    </w:p>
    <w:p>
      <w:pPr>
        <w:numPr>
          <w:ilvl w:val="0"/>
          <w:numId w:val="1002"/>
        </w:numPr>
        <w:pStyle w:val="Compact"/>
      </w:pPr>
      <w:r>
        <w:rPr>
          <w:bCs/>
          <w:b/>
        </w:rPr>
        <w:t xml:space="preserve">Table 2.</w:t>
      </w:r>
      <w:r>
        <w:t xml:space="preserve"> </w:t>
      </w:r>
      <w:r>
        <w:t xml:space="preserve">Software stack and version matrix.</w:t>
      </w:r>
    </w:p>
    <w:p>
      <w:pPr>
        <w:numPr>
          <w:ilvl w:val="0"/>
          <w:numId w:val="1002"/>
        </w:numPr>
        <w:pStyle w:val="Compact"/>
      </w:pPr>
      <w:r>
        <w:rPr>
          <w:bCs/>
          <w:b/>
        </w:rPr>
        <w:t xml:space="preserve">Table 3.</w:t>
      </w:r>
      <w:r>
        <w:t xml:space="preserve"> </w:t>
      </w:r>
      <w:r>
        <w:t xml:space="preserve">Training data composition by emotion class.</w:t>
      </w:r>
    </w:p>
    <w:p>
      <w:pPr>
        <w:numPr>
          <w:ilvl w:val="0"/>
          <w:numId w:val="1002"/>
        </w:numPr>
        <w:pStyle w:val="Compact"/>
      </w:pPr>
      <w:r>
        <w:rPr>
          <w:bCs/>
          <w:b/>
        </w:rPr>
        <w:t xml:space="preserve">Table 4.</w:t>
      </w:r>
      <w:r>
        <w:t xml:space="preserve"> </w:t>
      </w:r>
      <w:r>
        <w:t xml:space="preserve">AffectNet real-world test set composition.</w:t>
      </w:r>
    </w:p>
    <w:p>
      <w:pPr>
        <w:numPr>
          <w:ilvl w:val="0"/>
          <w:numId w:val="1002"/>
        </w:numPr>
        <w:pStyle w:val="Compact"/>
      </w:pPr>
      <w:r>
        <w:rPr>
          <w:bCs/>
          <w:b/>
        </w:rPr>
        <w:t xml:space="preserve">Table 5.</w:t>
      </w:r>
      <w:r>
        <w:t xml:space="preserve"> </w:t>
      </w:r>
      <w:r>
        <w:t xml:space="preserve">Variant 1 vs. Variant 2 architectural comparison.</w:t>
      </w:r>
    </w:p>
    <w:p>
      <w:pPr>
        <w:numPr>
          <w:ilvl w:val="0"/>
          <w:numId w:val="1002"/>
        </w:numPr>
        <w:pStyle w:val="Compact"/>
      </w:pPr>
      <w:r>
        <w:rPr>
          <w:bCs/>
          <w:b/>
        </w:rPr>
        <w:t xml:space="preserve">Table 6.</w:t>
      </w:r>
      <w:r>
        <w:t xml:space="preserve"> </w:t>
      </w:r>
      <w:r>
        <w:t xml:space="preserve">Gate A validation-tier thresholds.</w:t>
      </w:r>
    </w:p>
    <w:p>
      <w:pPr>
        <w:numPr>
          <w:ilvl w:val="0"/>
          <w:numId w:val="1002"/>
        </w:numPr>
        <w:pStyle w:val="Compact"/>
      </w:pPr>
      <w:r>
        <w:rPr>
          <w:bCs/>
          <w:b/>
        </w:rPr>
        <w:t xml:space="preserve">Table 7.</w:t>
      </w:r>
      <w:r>
        <w:t xml:space="preserve"> </w:t>
      </w:r>
      <w:r>
        <w:t xml:space="preserve">Gate A deploy-tier thresholds (ADR 011).</w:t>
      </w:r>
    </w:p>
    <w:p>
      <w:pPr>
        <w:numPr>
          <w:ilvl w:val="0"/>
          <w:numId w:val="1002"/>
        </w:numPr>
        <w:pStyle w:val="Compact"/>
      </w:pPr>
      <w:r>
        <w:rPr>
          <w:bCs/>
          <w:b/>
        </w:rPr>
        <w:t xml:space="preserve">Table 8.</w:t>
      </w:r>
      <w:r>
        <w:t xml:space="preserve"> </w:t>
      </w:r>
      <w:r>
        <w:t xml:space="preserve">Hyperparameter configurations for run_0107.</w:t>
      </w:r>
    </w:p>
    <w:p>
      <w:pPr>
        <w:numPr>
          <w:ilvl w:val="0"/>
          <w:numId w:val="1002"/>
        </w:numPr>
        <w:pStyle w:val="Compact"/>
      </w:pPr>
      <w:r>
        <w:rPr>
          <w:bCs/>
          <w:b/>
        </w:rPr>
        <w:t xml:space="preserve">Table 9.</w:t>
      </w:r>
      <w:r>
        <w:t xml:space="preserve"> </w:t>
      </w:r>
      <w:r>
        <w:t xml:space="preserve">Impact of face cropping on test performance (run_0104 vs. run_0107).</w:t>
      </w:r>
    </w:p>
    <w:p>
      <w:pPr>
        <w:numPr>
          <w:ilvl w:val="0"/>
          <w:numId w:val="1002"/>
        </w:numPr>
        <w:pStyle w:val="Compact"/>
      </w:pPr>
      <w:r>
        <w:rPr>
          <w:bCs/>
          <w:b/>
        </w:rPr>
        <w:t xml:space="preserve">Table 10.</w:t>
      </w:r>
      <w:r>
        <w:t xml:space="preserve"> </w:t>
      </w:r>
      <w:r>
        <w:t xml:space="preserve">Head-to-head test results: V1 vs. V2 on AffectNet (894 images).</w:t>
      </w:r>
    </w:p>
    <w:p>
      <w:pPr>
        <w:numPr>
          <w:ilvl w:val="0"/>
          <w:numId w:val="1002"/>
        </w:numPr>
        <w:pStyle w:val="Compact"/>
      </w:pPr>
      <w:r>
        <w:rPr>
          <w:bCs/>
          <w:b/>
        </w:rPr>
        <w:t xml:space="preserve">Table 11.</w:t>
      </w:r>
      <w:r>
        <w:t xml:space="preserve"> </w:t>
      </w:r>
      <w:r>
        <w:t xml:space="preserve">Confusion matrix for Variant 1 (run_0107).</w:t>
      </w:r>
    </w:p>
    <w:p>
      <w:pPr>
        <w:numPr>
          <w:ilvl w:val="0"/>
          <w:numId w:val="1002"/>
        </w:numPr>
        <w:pStyle w:val="Compact"/>
      </w:pPr>
      <w:r>
        <w:rPr>
          <w:bCs/>
          <w:b/>
        </w:rPr>
        <w:t xml:space="preserve">Table 12.</w:t>
      </w:r>
      <w:r>
        <w:t xml:space="preserve"> </w:t>
      </w:r>
      <w:r>
        <w:t xml:space="preserve">Confusion matrix for Variant 2 (run_0107).</w:t>
      </w:r>
    </w:p>
    <w:p>
      <w:pPr>
        <w:numPr>
          <w:ilvl w:val="0"/>
          <w:numId w:val="1002"/>
        </w:numPr>
        <w:pStyle w:val="Compact"/>
      </w:pPr>
      <w:r>
        <w:rPr>
          <w:bCs/>
          <w:b/>
        </w:rPr>
        <w:t xml:space="preserve">Table 13.</w:t>
      </w:r>
      <w:r>
        <w:t xml:space="preserve"> </w:t>
      </w:r>
      <w:r>
        <w:t xml:space="preserve">Gate A-deploy compliance summary.</w:t>
      </w:r>
    </w:p>
    <w:p>
      <w:pPr>
        <w:numPr>
          <w:ilvl w:val="0"/>
          <w:numId w:val="1002"/>
        </w:numPr>
        <w:pStyle w:val="Compact"/>
      </w:pPr>
      <w:r>
        <w:rPr>
          <w:bCs/>
          <w:b/>
        </w:rPr>
        <w:t xml:space="preserve">Table 14.</w:t>
      </w:r>
      <w:r>
        <w:t xml:space="preserve"> </w:t>
      </w:r>
      <w:r>
        <w:t xml:space="preserve">Wilson score 95% confidence intervals for per-class recall.</w:t>
      </w:r>
    </w:p>
    <w:p>
      <w:pPr>
        <w:numPr>
          <w:ilvl w:val="0"/>
          <w:numId w:val="1002"/>
        </w:numPr>
        <w:pStyle w:val="Compact"/>
      </w:pPr>
      <w:r>
        <w:rPr>
          <w:bCs/>
          <w:b/>
        </w:rPr>
        <w:t xml:space="preserve">Table 15.</w:t>
      </w:r>
      <w:r>
        <w:t xml:space="preserve"> </w:t>
      </w:r>
      <w:r>
        <w:t xml:space="preserve">Per-class F1 z-test against the 0.70 deployment threshold.</w:t>
      </w:r>
    </w:p>
    <w:p>
      <w:pPr>
        <w:numPr>
          <w:ilvl w:val="0"/>
          <w:numId w:val="1002"/>
        </w:numPr>
        <w:pStyle w:val="Compact"/>
      </w:pPr>
      <w:r>
        <w:rPr>
          <w:bCs/>
          <w:b/>
        </w:rPr>
        <w:t xml:space="preserve">Table 16.</w:t>
      </w:r>
      <w:r>
        <w:t xml:space="preserve"> </w:t>
      </w:r>
      <w:r>
        <w:t xml:space="preserve">Cohen’s kappa inter-rater agreement with ground truth.</w:t>
      </w:r>
    </w:p>
    <w:p>
      <w:pPr>
        <w:numPr>
          <w:ilvl w:val="0"/>
          <w:numId w:val="1002"/>
        </w:numPr>
        <w:pStyle w:val="Compact"/>
      </w:pPr>
      <w:r>
        <w:rPr>
          <w:bCs/>
          <w:b/>
        </w:rPr>
        <w:t xml:space="preserve">Table 17.</w:t>
      </w:r>
      <w:r>
        <w:t xml:space="preserve"> </w:t>
      </w:r>
      <w:r>
        <w:t xml:space="preserve">Normalized Mutual Information (NMI) comparison.</w:t>
      </w:r>
    </w:p>
    <w:p>
      <w:pPr>
        <w:numPr>
          <w:ilvl w:val="0"/>
          <w:numId w:val="1002"/>
        </w:numPr>
        <w:pStyle w:val="Compact"/>
      </w:pPr>
      <w:r>
        <w:rPr>
          <w:bCs/>
          <w:b/>
        </w:rPr>
        <w:t xml:space="preserve">Table 18.</w:t>
      </w:r>
      <w:r>
        <w:t xml:space="preserve"> </w:t>
      </w:r>
      <w:r>
        <w:t xml:space="preserve">Coefficient of variation (CV) of per-class F1 scores.</w:t>
      </w:r>
    </w:p>
    <w:p>
      <w:pPr>
        <w:numPr>
          <w:ilvl w:val="0"/>
          <w:numId w:val="1002"/>
        </w:numPr>
        <w:pStyle w:val="Compact"/>
      </w:pPr>
      <w:r>
        <w:rPr>
          <w:bCs/>
          <w:b/>
        </w:rPr>
        <w:t xml:space="preserve">Table 19.</w:t>
      </w:r>
      <w:r>
        <w:t xml:space="preserve"> </w:t>
      </w:r>
      <w:r>
        <w:t xml:space="preserve">Generalization gap analysis: synthetic validation vs. real-world test.</w:t>
      </w:r>
    </w:p>
    <w:p>
      <w:pPr>
        <w:numPr>
          <w:ilvl w:val="0"/>
          <w:numId w:val="1002"/>
        </w:numPr>
        <w:pStyle w:val="Compact"/>
      </w:pPr>
      <w:r>
        <w:rPr>
          <w:bCs/>
          <w:b/>
        </w:rPr>
        <w:t xml:space="preserve">Table 20.</w:t>
      </w:r>
      <w:r>
        <w:t xml:space="preserve"> </w:t>
      </w:r>
      <w:r>
        <w:t xml:space="preserve">Calibration metrics comparison (ECE, Brier, MCE).</w:t>
      </w:r>
    </w:p>
    <w:p>
      <w:pPr>
        <w:numPr>
          <w:ilvl w:val="0"/>
          <w:numId w:val="1002"/>
        </w:numPr>
        <w:pStyle w:val="Compact"/>
      </w:pPr>
      <w:r>
        <w:rPr>
          <w:bCs/>
          <w:b/>
        </w:rPr>
        <w:t xml:space="preserve">Table 21.</w:t>
      </w:r>
      <w:r>
        <w:t xml:space="preserve"> </w:t>
      </w:r>
      <w:r>
        <w:t xml:space="preserve">Statistical power and minimum detectable differences by class.</w:t>
      </w:r>
    </w:p>
    <w:p>
      <w:pPr>
        <w:numPr>
          <w:ilvl w:val="0"/>
          <w:numId w:val="1002"/>
        </w:numPr>
        <w:pStyle w:val="Compact"/>
      </w:pPr>
      <w:r>
        <w:rPr>
          <w:bCs/>
          <w:b/>
        </w:rPr>
        <w:t xml:space="preserve">Table 22.</w:t>
      </w:r>
      <w:r>
        <w:t xml:space="preserve"> </w:t>
      </w:r>
      <w:r>
        <w:t xml:space="preserve">Deployment risk matrix.</w:t>
      </w:r>
    </w:p>
    <w:p>
      <w:pPr>
        <w:numPr>
          <w:ilvl w:val="0"/>
          <w:numId w:val="1002"/>
        </w:numPr>
        <w:pStyle w:val="Compact"/>
      </w:pPr>
      <w:r>
        <w:rPr>
          <w:bCs/>
          <w:b/>
        </w:rPr>
        <w:t xml:space="preserve">Table 23.</w:t>
      </w:r>
      <w:r>
        <w:t xml:space="preserve"> </w:t>
      </w:r>
      <w:r>
        <w:t xml:space="preserve">Composite score breakdown and final recommendation.</w:t>
      </w:r>
    </w:p>
    <w:p>
      <w:pPr>
        <w:numPr>
          <w:ilvl w:val="0"/>
          <w:numId w:val="1002"/>
        </w:numPr>
        <w:pStyle w:val="Compact"/>
      </w:pPr>
      <w:r>
        <w:rPr>
          <w:bCs/>
          <w:b/>
        </w:rPr>
        <w:t xml:space="preserve">Table 24.</w:t>
      </w:r>
      <w:r>
        <w:t xml:space="preserve"> </w:t>
      </w:r>
      <w:r>
        <w:t xml:space="preserve">Ekman 8-class behavioral profile mapping for Phase 2.</w:t>
      </w:r>
    </w:p>
    <w:p>
      <w:r>
        <w:pict>
          <v:rect style="width:0;height:1.5pt" o:hralign="center" o:hrstd="t" o:hr="t"/>
        </w:pict>
      </w:r>
    </w:p>
    <w:bookmarkEnd w:id="22"/>
    <w:bookmarkStart w:id="23" w:name="list-of-figures"/>
    <w:p>
      <w:pPr>
        <w:pStyle w:val="Heading2"/>
      </w:pPr>
      <w:r>
        <w:t xml:space="preserve">List of Figures</w:t>
      </w:r>
    </w:p>
    <w:p>
      <w:pPr>
        <w:numPr>
          <w:ilvl w:val="0"/>
          <w:numId w:val="1003"/>
        </w:numPr>
        <w:pStyle w:val="Compact"/>
      </w:pPr>
      <w:r>
        <w:rPr>
          <w:bCs/>
          <w:b/>
        </w:rPr>
        <w:t xml:space="preserve">Figure 1.</w:t>
      </w:r>
      <w:r>
        <w:t xml:space="preserve"> </w:t>
      </w:r>
      <w:r>
        <w:t xml:space="preserve">System architecture overview: three-node local network topology.</w:t>
      </w:r>
    </w:p>
    <w:p>
      <w:pPr>
        <w:numPr>
          <w:ilvl w:val="0"/>
          <w:numId w:val="1003"/>
        </w:numPr>
        <w:pStyle w:val="Compact"/>
      </w:pPr>
      <w:r>
        <w:rPr>
          <w:bCs/>
          <w:b/>
        </w:rPr>
        <w:t xml:space="preserve">Figure 2.</w:t>
      </w:r>
      <w:r>
        <w:t xml:space="preserve"> </w:t>
      </w:r>
      <w:r>
        <w:t xml:space="preserve">Data flow pipeline: ingestion through deployment.</w:t>
      </w:r>
    </w:p>
    <w:p>
      <w:pPr>
        <w:numPr>
          <w:ilvl w:val="0"/>
          <w:numId w:val="1003"/>
        </w:numPr>
        <w:pStyle w:val="Compact"/>
      </w:pPr>
      <w:r>
        <w:rPr>
          <w:bCs/>
          <w:b/>
        </w:rPr>
        <w:t xml:space="preserve">Figure 3.</w:t>
      </w:r>
      <w:r>
        <w:t xml:space="preserve"> </w:t>
      </w:r>
      <w:r>
        <w:t xml:space="preserve">EfficientNet-B0 model architecture with HSEmotion backbone and 3-class head.</w:t>
      </w:r>
    </w:p>
    <w:p>
      <w:pPr>
        <w:numPr>
          <w:ilvl w:val="0"/>
          <w:numId w:val="1003"/>
        </w:numPr>
        <w:pStyle w:val="Compact"/>
      </w:pPr>
      <w:r>
        <w:rPr>
          <w:bCs/>
          <w:b/>
        </w:rPr>
        <w:t xml:space="preserve">Figure 4.</w:t>
      </w:r>
      <w:r>
        <w:t xml:space="preserve"> </w:t>
      </w:r>
      <w:r>
        <w:t xml:space="preserve">Two-phase training strategy: frozen backbone followed by selective unfreezing.</w:t>
      </w:r>
    </w:p>
    <w:p>
      <w:pPr>
        <w:numPr>
          <w:ilvl w:val="0"/>
          <w:numId w:val="1003"/>
        </w:numPr>
        <w:pStyle w:val="Compact"/>
      </w:pPr>
      <w:r>
        <w:rPr>
          <w:bCs/>
          <w:b/>
        </w:rPr>
        <w:t xml:space="preserve">Figure 5.</w:t>
      </w:r>
      <w:r>
        <w:t xml:space="preserve"> </w:t>
      </w:r>
      <w:r>
        <w:t xml:space="preserve">n8n agent orchestration topology (10-agent system).</w:t>
      </w:r>
    </w:p>
    <w:p>
      <w:pPr>
        <w:numPr>
          <w:ilvl w:val="0"/>
          <w:numId w:val="1003"/>
        </w:numPr>
        <w:pStyle w:val="Compact"/>
      </w:pPr>
      <w:r>
        <w:rPr>
          <w:bCs/>
          <w:b/>
        </w:rPr>
        <w:t xml:space="preserve">Figure 6.</w:t>
      </w:r>
      <w:r>
        <w:t xml:space="preserve"> </w:t>
      </w:r>
      <w:r>
        <w:t xml:space="preserve">Confusion matrix heatmap for Variant 1 (run_0107).</w:t>
      </w:r>
    </w:p>
    <w:p>
      <w:pPr>
        <w:numPr>
          <w:ilvl w:val="0"/>
          <w:numId w:val="1003"/>
        </w:numPr>
        <w:pStyle w:val="Compact"/>
      </w:pPr>
      <w:r>
        <w:rPr>
          <w:bCs/>
          <w:b/>
        </w:rPr>
        <w:t xml:space="preserve">Figure 7.</w:t>
      </w:r>
      <w:r>
        <w:t xml:space="preserve"> </w:t>
      </w:r>
      <w:r>
        <w:t xml:space="preserve">Confusion matrix heatmap for Variant 2 (run_0107).</w:t>
      </w:r>
    </w:p>
    <w:p>
      <w:pPr>
        <w:numPr>
          <w:ilvl w:val="0"/>
          <w:numId w:val="1003"/>
        </w:numPr>
        <w:pStyle w:val="Compact"/>
      </w:pPr>
      <w:r>
        <w:rPr>
          <w:bCs/>
          <w:b/>
        </w:rPr>
        <w:t xml:space="preserve">Figure 8.</w:t>
      </w:r>
      <w:r>
        <w:t xml:space="preserve"> </w:t>
      </w:r>
      <w:r>
        <w:t xml:space="preserve">Per-class F1 bar chart comparing V1 and V2 against deployment thresholds.</w:t>
      </w:r>
    </w:p>
    <w:p>
      <w:pPr>
        <w:numPr>
          <w:ilvl w:val="0"/>
          <w:numId w:val="1003"/>
        </w:numPr>
        <w:pStyle w:val="Compact"/>
      </w:pPr>
      <w:r>
        <w:rPr>
          <w:bCs/>
          <w:b/>
        </w:rPr>
        <w:t xml:space="preserve">Figure 9.</w:t>
      </w:r>
      <w:r>
        <w:t xml:space="preserve"> </w:t>
      </w:r>
      <w:r>
        <w:t xml:space="preserve">Wilson score confidence intervals for per-class recall.</w:t>
      </w:r>
    </w:p>
    <w:p>
      <w:pPr>
        <w:numPr>
          <w:ilvl w:val="0"/>
          <w:numId w:val="1003"/>
        </w:numPr>
        <w:pStyle w:val="Compact"/>
      </w:pPr>
      <w:r>
        <w:rPr>
          <w:bCs/>
          <w:b/>
        </w:rPr>
        <w:t xml:space="preserve">Figure 10.</w:t>
      </w:r>
      <w:r>
        <w:t xml:space="preserve"> </w:t>
      </w:r>
      <w:r>
        <w:t xml:space="preserve">Generalization gap visualization: synthetic vs. real-world F1.</w:t>
      </w:r>
    </w:p>
    <w:p>
      <w:pPr>
        <w:numPr>
          <w:ilvl w:val="0"/>
          <w:numId w:val="1003"/>
        </w:numPr>
        <w:pStyle w:val="Compact"/>
      </w:pPr>
      <w:r>
        <w:rPr>
          <w:bCs/>
          <w:b/>
        </w:rPr>
        <w:t xml:space="preserve">Figure 11.</w:t>
      </w:r>
      <w:r>
        <w:t xml:space="preserve"> </w:t>
      </w:r>
      <w:r>
        <w:t xml:space="preserve">Calibration reliability diagram: ECE across confidence bins.</w:t>
      </w:r>
    </w:p>
    <w:p>
      <w:pPr>
        <w:numPr>
          <w:ilvl w:val="0"/>
          <w:numId w:val="1003"/>
        </w:numPr>
        <w:pStyle w:val="Compact"/>
      </w:pPr>
      <w:r>
        <w:rPr>
          <w:bCs/>
          <w:b/>
        </w:rPr>
        <w:t xml:space="preserve">Figure 12.</w:t>
      </w:r>
      <w:r>
        <w:t xml:space="preserve"> </w:t>
      </w:r>
      <w:r>
        <w:t xml:space="preserve">Coefficient of variation comparison illustrating per-class balance.</w:t>
      </w:r>
    </w:p>
    <w:p>
      <w:pPr>
        <w:numPr>
          <w:ilvl w:val="0"/>
          <w:numId w:val="1003"/>
        </w:numPr>
        <w:pStyle w:val="Compact"/>
      </w:pPr>
      <w:r>
        <w:rPr>
          <w:bCs/>
          <w:b/>
        </w:rPr>
        <w:t xml:space="preserve">Figure 13.</w:t>
      </w:r>
      <w:r>
        <w:t xml:space="preserve"> </w:t>
      </w:r>
      <w:r>
        <w:t xml:space="preserve">Five-tier gesture expressiveness modulation based on confidence scores.</w:t>
      </w:r>
    </w:p>
    <w:p>
      <w:r>
        <w:pict>
          <v:rect style="width:0;height:1.5pt" o:hralign="center" o:hrstd="t" o:hr="t"/>
        </w:pict>
      </w:r>
    </w:p>
    <w:bookmarkEnd w:id="23"/>
    <w:bookmarkStart w:id="24" w:name="abstract"/>
    <w:p>
      <w:pPr>
        <w:pStyle w:val="Heading2"/>
      </w:pPr>
      <w:r>
        <w:t xml:space="preserve">Abstract</w:t>
      </w:r>
    </w:p>
    <w:p>
      <w:pPr>
        <w:pStyle w:val="FirstParagraph"/>
      </w:pPr>
      <w:r>
        <w:t xml:space="preserve">This paper presents the design, implementation, and rigorous evaluation of the Reachy Emotion Classification System — a privacy-first, local-only platform for real-time facial emotion recognition on the Reachy Mini companion robot. The system classifies facial expressions into three emotion categories (happy, sad, neutral) using an EfficientNet-B0 convolutional neural network pre-trained on VGGFace2 and AffectNet via the HSEmotion framework, then fine-tuned on 86,519 synthetically generated face-cropped frames.</w:t>
      </w:r>
    </w:p>
    <w:p>
      <w:pPr>
        <w:pStyle w:val="BodyText"/>
      </w:pPr>
      <w:r>
        <w:t xml:space="preserve">Two model variants were developed and compared: Variant 1, which freezes the pre-trained backbone and trains only a lightweight classification head (~4,000 parameters), and Variant 2, which selectively unfreezes the final convolutional blocks (~500,000 trainable parameters) and was optimized through a 90-trial automated hyperparameter sweep. Both variants were evaluated on 894 real-world photographs from the AffectNet academic dataset — images from a completely different visual domain than the synthetic training data.</w:t>
      </w:r>
    </w:p>
    <w:p>
      <w:pPr>
        <w:pStyle w:val="BodyText"/>
      </w:pPr>
      <w:r>
        <w:t xml:space="preserve">Despite achieving near-identical overall F1 macro scores (V1: 0.781, V2: 0.780), the two variants exhibit fundamentally different error profiles. A comprehensive statistical analysis — encompassing Wilson score confidence intervals, z-tests against deployment thresholds, Cohen’s kappa, Normalized Mutual Information, coefficient of variation analysis, generalization gap quantification, and calibration decomposition — reveals that Variant 1 distributes its classification errors evenly across emotion classes (CV = 4.2%), while Variant 2 concentrates errors on sad and neutral detection (CV = 15.1%), creating a specific user-experience risk where the robot would express unsolicited empathy toward people who are merely neutral.</w:t>
      </w:r>
    </w:p>
    <w:p>
      <w:pPr>
        <w:pStyle w:val="BodyText"/>
      </w:pPr>
      <w:r>
        <w:t xml:space="preserve">Variant 1 passes all six Gate A deployment thresholds; Variant 2 fails two. Based on this analysis, Variant 1 (run_0107) was selected as the deployment candidate. The system deploys the model via ONNX-to-TensorRT conversion on an NVIDIA Jetson Xavier NX, integrated into a DeepStream real-time inference pipeline, achieving sub-120ms latency at under 0.8 GB GPU memory — well within the operational budget for a companion robot platform. A 10-agent orchestration system built on n8n automates the complete lifecycle from data ingestion through model deployment, with privacy enforcement ensuring that no raw video data leaves the local network.</w:t>
      </w:r>
    </w:p>
    <w:p>
      <w:pPr>
        <w:pStyle w:val="BodyText"/>
      </w:pPr>
      <w:r>
        <w:rPr>
          <w:bCs/>
          <w:b/>
        </w:rPr>
        <w:t xml:space="preserve">Keywords:</w:t>
      </w:r>
      <w:r>
        <w:t xml:space="preserve"> </w:t>
      </w:r>
      <w:r>
        <w:t xml:space="preserve">facial emotion recognition, transfer learning, EfficientNet, privacy-first AI, edge deployment, model calibration, social robotics, synthetic-to-real domain adaptation</w:t>
      </w:r>
    </w:p>
    <w:p>
      <w:r>
        <w:pict>
          <v:rect style="width:0;height:1.5pt" o:hralign="center" o:hrstd="t" o:hr="t"/>
        </w:pict>
      </w:r>
    </w:p>
    <w:bookmarkEnd w:id="24"/>
    <w:bookmarkStart w:id="28" w:name="chapter-1-introduction"/>
    <w:p>
      <w:pPr>
        <w:pStyle w:val="Heading2"/>
      </w:pPr>
      <w:r>
        <w:t xml:space="preserve">Chapter 1: Introduction</w:t>
      </w:r>
    </w:p>
    <w:bookmarkStart w:id="25" w:name="problem-statement"/>
    <w:p>
      <w:pPr>
        <w:pStyle w:val="Heading3"/>
      </w:pPr>
      <w:r>
        <w:t xml:space="preserve">1.1 Problem Statement</w:t>
      </w:r>
    </w:p>
    <w:p>
      <w:pPr>
        <w:pStyle w:val="FirstParagraph"/>
      </w:pPr>
      <w:r>
        <w:t xml:space="preserve">Social robots are increasingly deployed in educational, therapeutic, and companion contexts where the ability to perceive and respond to human emotions is central to the interaction quality (Breazeal, 2003; Fong et al., 2003). Facial expression recognition (FER) provides the primary perceptual channel through which a robot can infer a user’s affective state and modulate its behavior accordingly — selecting appropriate gestures, adjusting conversational tone, and calibrating the expressiveness of its physical responses.</w:t>
      </w:r>
    </w:p>
    <w:p>
      <w:pPr>
        <w:pStyle w:val="BodyText"/>
      </w:pPr>
      <w:r>
        <w:t xml:space="preserve">However, deploying emotion recognition in social robotics introduces challenges that do not arise in conventional computer vision benchmarks. First, the system must operate in</w:t>
      </w:r>
      <w:r>
        <w:t xml:space="preserve"> </w:t>
      </w:r>
      <w:r>
        <w:rPr>
          <w:bCs/>
          <w:b/>
        </w:rPr>
        <w:t xml:space="preserve">real time</w:t>
      </w:r>
      <w:r>
        <w:t xml:space="preserve"> </w:t>
      </w:r>
      <w:r>
        <w:t xml:space="preserve">on resource-constrained edge hardware, requiring inference latencies below human-perceptible thresholds (~120 ms). Second, the intimate nature of face-to-face interaction demands a</w:t>
      </w:r>
      <w:r>
        <w:t xml:space="preserve"> </w:t>
      </w:r>
      <w:r>
        <w:rPr>
          <w:bCs/>
          <w:b/>
        </w:rPr>
        <w:t xml:space="preserve">privacy-first architecture</w:t>
      </w:r>
      <w:r>
        <w:t xml:space="preserve"> </w:t>
      </w:r>
      <w:r>
        <w:t xml:space="preserve">where raw video never leaves the local network — a requirement that precludes cloud-based inference services. Third, the consequences of misclassification are asymmetric: a robot that consistently misidentifies neutral expressions as sadness creates a qualitatively worse user experience than one that occasionally fails to detect happiness. This asymmetry means that aggregate accuracy metrics alone are insufficient for model selection; the</w:t>
      </w:r>
      <w:r>
        <w:t xml:space="preserve"> </w:t>
      </w:r>
      <w:r>
        <w:rPr>
          <w:iCs/>
          <w:i/>
        </w:rPr>
        <w:t xml:space="preserve">distribution</w:t>
      </w:r>
      <w:r>
        <w:t xml:space="preserve"> </w:t>
      </w:r>
      <w:r>
        <w:t xml:space="preserve">of errors across emotion classes and their</w:t>
      </w:r>
      <w:r>
        <w:t xml:space="preserve"> </w:t>
      </w:r>
      <w:r>
        <w:rPr>
          <w:iCs/>
          <w:i/>
        </w:rPr>
        <w:t xml:space="preserve">downstream behavioral consequences</w:t>
      </w:r>
      <w:r>
        <w:t xml:space="preserve"> </w:t>
      </w:r>
      <w:r>
        <w:t xml:space="preserve">must be explicitly analyzed.</w:t>
      </w:r>
    </w:p>
    <w:p>
      <w:pPr>
        <w:pStyle w:val="BodyText"/>
      </w:pPr>
      <w:r>
        <w:t xml:space="preserve">This paper addresses these challenges through the design, implementation, and evaluation of the Reachy Emotion Classification System — an end-to-end platform for emotion-aware interaction on the Reachy Mini companion robot developed by Pollen Robotics. The system encompasses the complete lifecycle from synthetic training data generation through real-time edge inference, with particular emphasis on the statistical methodology required to make principled deployment decisions when two candidate models achieve near-identical aggregate performance but exhibit fundamentally different error profiles.</w:t>
      </w:r>
    </w:p>
    <w:bookmarkEnd w:id="25"/>
    <w:bookmarkStart w:id="26" w:name="research-contributions"/>
    <w:p>
      <w:pPr>
        <w:pStyle w:val="Heading3"/>
      </w:pPr>
      <w:r>
        <w:t xml:space="preserve">1.2 Research Contributions</w:t>
      </w:r>
    </w:p>
    <w:p>
      <w:pPr>
        <w:pStyle w:val="FirstParagraph"/>
      </w:pPr>
      <w:r>
        <w:t xml:space="preserve">This work makes the following contributions:</w:t>
      </w:r>
    </w:p>
    <w:p>
      <w:pPr>
        <w:numPr>
          <w:ilvl w:val="0"/>
          <w:numId w:val="1004"/>
        </w:numPr>
      </w:pPr>
      <w:r>
        <w:rPr>
          <w:bCs/>
          <w:b/>
        </w:rPr>
        <w:t xml:space="preserve">A privacy-first emotion recognition architecture</w:t>
      </w:r>
      <w:r>
        <w:t xml:space="preserve"> </w:t>
      </w:r>
      <w:r>
        <w:t xml:space="preserve">that processes all video data locally across a three-node network (GPU training workstation, web/UI server, Jetson Xavier NX edge device), with no cloud dependencies and explicit data retention policies enforced by automated agents.</w:t>
      </w:r>
    </w:p>
    <w:p>
      <w:pPr>
        <w:numPr>
          <w:ilvl w:val="0"/>
          <w:numId w:val="1004"/>
        </w:numPr>
      </w:pPr>
      <w:r>
        <w:rPr>
          <w:bCs/>
          <w:b/>
        </w:rPr>
        <w:t xml:space="preserve">A systematic comparison of frozen-backbone vs. fine-tuned transfer learning strategies</w:t>
      </w:r>
      <w:r>
        <w:t xml:space="preserve"> </w:t>
      </w:r>
      <w:r>
        <w:t xml:space="preserve">for 3-class emotion classification (happy, sad, neutral), demonstrating that freezing the pre-trained backbone preserves domain-general features that transfer better from synthetic training data to real-world faces than selective fine-tuning, despite the latter achieving near-perfect synthetic validation metrics.</w:t>
      </w:r>
    </w:p>
    <w:p>
      <w:pPr>
        <w:numPr>
          <w:ilvl w:val="0"/>
          <w:numId w:val="1004"/>
        </w:numPr>
      </w:pPr>
      <w:r>
        <w:rPr>
          <w:bCs/>
          <w:b/>
        </w:rPr>
        <w:t xml:space="preserve">A comprehensive statistical framework for deployment decision-making</w:t>
      </w:r>
      <w:r>
        <w:t xml:space="preserve"> </w:t>
      </w:r>
      <w:r>
        <w:t xml:space="preserve">that goes beyond aggregate F1 and accuracy to include Wilson score confidence intervals, z-tests against operational thresholds, Cohen’s kappa, Normalized Mutual Information, coefficient of variation analysis, generalization gap quantification, and Brier score decomposition — demonstrating that these complementary analyses can reveal critical model selection criteria that aggregate metrics conceal.</w:t>
      </w:r>
    </w:p>
    <w:p>
      <w:pPr>
        <w:numPr>
          <w:ilvl w:val="0"/>
          <w:numId w:val="1004"/>
        </w:numPr>
      </w:pPr>
      <w:r>
        <w:rPr>
          <w:bCs/>
          <w:b/>
        </w:rPr>
        <w:t xml:space="preserve">A two-tier quality gate architecture</w:t>
      </w:r>
      <w:r>
        <w:t xml:space="preserve"> </w:t>
      </w:r>
      <w:r>
        <w:t xml:space="preserve">(Gate A-val for synthetic validation, Gate A-deploy for real-world deployment) that decouples training pipeline quality control from deployment readiness, addressing the fundamental synthetic-to-real generalization gap inherent in systems trained on AI-generated data.</w:t>
      </w:r>
    </w:p>
    <w:p>
      <w:pPr>
        <w:numPr>
          <w:ilvl w:val="0"/>
          <w:numId w:val="1004"/>
        </w:numPr>
      </w:pPr>
      <w:r>
        <w:rPr>
          <w:bCs/>
          <w:b/>
        </w:rPr>
        <w:t xml:space="preserve">A 10-agent orchestration system</w:t>
      </w:r>
      <w:r>
        <w:t xml:space="preserve"> </w:t>
      </w:r>
      <w:r>
        <w:t xml:space="preserve">built on n8n that automates the complete ML lifecycle (ingestion, labeling, promotion, reconciliation, training, evaluation, deployment, privacy enforcement, observability, and gesture execution), providing reproducible and auditable model management.</w:t>
      </w:r>
    </w:p>
    <w:bookmarkEnd w:id="26"/>
    <w:bookmarkStart w:id="27" w:name="paper-organization"/>
    <w:p>
      <w:pPr>
        <w:pStyle w:val="Heading3"/>
      </w:pPr>
      <w:r>
        <w:t xml:space="preserve">1.3 Paper Organization</w:t>
      </w:r>
    </w:p>
    <w:p>
      <w:pPr>
        <w:pStyle w:val="FirstParagraph"/>
      </w:pPr>
      <w:r>
        <w:t xml:space="preserve">The remainder of this paper is organized as follows. Chapter 2 provides background on facial emotion recognition, transfer learning, and the specific challenges of synthetic-to-real domain adaptation. Chapter 3 describes the Reachy Mini platform and the operational context that motivates architectural decisions. Chapter 4 surveys related work in emotion recognition for social robotics, lightweight model deployment, and calibration-aware classification. Chapter 5 details the system architecture, model design, training methodology, and deployment pipeline. Chapter 6 presents the experimental results, including per-class performance, calibration metrics, and gate compliance. Chapter 7 provides the graduate-level statistical analysis that underpins the deployment decision. Chapter 8 discusses findings, limitations, and threats to validity. Chapter 9 outlines future work including domain adaptation strategies, ensemble methods, and Phase 2 expansion to the full 8-class Ekman taxonomy. Chapter 10 offers reflections on the data science project as a whole — lessons learned, engineering trade-offs, and the role of systematic decision-making in applied machine learning.</w:t>
      </w:r>
    </w:p>
    <w:p>
      <w:r>
        <w:pict>
          <v:rect style="width:0;height:1.5pt" o:hralign="center" o:hrstd="t" o:hr="t"/>
        </w:pict>
      </w:r>
    </w:p>
    <w:bookmarkEnd w:id="27"/>
    <w:bookmarkEnd w:id="28"/>
    <w:bookmarkStart w:id="34" w:name="chapter-2-background-and-motivation"/>
    <w:p>
      <w:pPr>
        <w:pStyle w:val="Heading2"/>
      </w:pPr>
      <w:r>
        <w:t xml:space="preserve">Chapter 2: Background and Motivation</w:t>
      </w:r>
    </w:p>
    <w:bookmarkStart w:id="29" w:name="X4d907b24b0b8885f8c43e2f445b3e91678f14e0"/>
    <w:p>
      <w:pPr>
        <w:pStyle w:val="Heading3"/>
      </w:pPr>
      <w:r>
        <w:t xml:space="preserve">2.1 Facial Emotion Recognition: From Ekman to Deep Learning</w:t>
      </w:r>
    </w:p>
    <w:p>
      <w:pPr>
        <w:pStyle w:val="FirstParagraph"/>
      </w:pPr>
      <w:r>
        <w:t xml:space="preserve">The scientific study of facial expressions as indicators of emotion traces to the foundational work of Paul Ekman, who proposed that a small set of basic emotions — happiness, sadness, anger, fear, disgust, surprise, and contempt — are universally expressed through characteristic facial configurations (Ekman &amp; Friesen, 1971; Ekman, 1992). This framework, known as the Ekman taxonomy, has served as the standard classification scheme for facial emotion recognition (FER) research for over five decades, despite ongoing debate about the universality of these categories across cultures (Barrett et al., 2019; Jack et al., 2012).</w:t>
      </w:r>
    </w:p>
    <w:p>
      <w:pPr>
        <w:pStyle w:val="BodyText"/>
      </w:pPr>
      <w:r>
        <w:t xml:space="preserve">Early computational approaches to FER relied on hand-crafted features such as Local Binary Patterns (LBP), Histogram of Oriented Gradients (HOG), and Active Appearance Models (AAMs), followed by shallow classifiers such as Support Vector Machines (Shan et al., 2009; Lucey et al., 2010). The advent of deep convolutional neural networks (CNNs) transformed the field, with architectures like VGGNet (Simonyan &amp; Zisserman, 2014), ResNet (He et al., 2016), and EfficientNet (Tan &amp; Le, 2019) achieving human-competitive performance on benchmark datasets such as FER2013, AffectNet, and RAF-DB (Mollahosseini et al., 2017; Li &amp; Deng, 2020).</w:t>
      </w:r>
    </w:p>
    <w:p>
      <w:pPr>
        <w:pStyle w:val="BodyText"/>
      </w:pPr>
      <w:r>
        <w:t xml:space="preserve">A critical advancement was the development of face-specific pre-trained models. Unlike ImageNet-pretrained networks that learn general visual features (edges, textures, objects), face-specific backbones are pre-trained on large-scale face recognition or analysis datasets and learn representations optimized for facial geometry, texture, and expression. The HSEmotion framework (Savchenko, 2021; Savchenko, 2022) exemplifies this approach, providing EfficientNet models pre-trained on VGGFace2 (~3.3 million face images) and fine-tuned on AffectNet (Mollahosseini et al., 2017), yielding state-of-the-art FER performance with efficient architectures suitable for edge deployment.</w:t>
      </w:r>
    </w:p>
    <w:bookmarkEnd w:id="29"/>
    <w:bookmarkStart w:id="30" w:name="X1f704e4926c630b0a04ee58bd2ec132ba03f076"/>
    <w:p>
      <w:pPr>
        <w:pStyle w:val="Heading3"/>
      </w:pPr>
      <w:r>
        <w:t xml:space="preserve">2.2 Transfer Learning for Emotion Recognition</w:t>
      </w:r>
    </w:p>
    <w:p>
      <w:pPr>
        <w:pStyle w:val="FirstParagraph"/>
      </w:pPr>
      <w:r>
        <w:t xml:space="preserve">Transfer learning — leveraging knowledge from a source task to improve performance on a related target task — is the dominant paradigm in modern FER systems (Tan et al., 2018; Zhuang et al., 2020). The standard approach involves taking a CNN pre-trained on a large dataset (e.g., ImageNet or VGGFace2), replacing its final classification layer with a new head matched to the target task, and fine-tuning some or all of the network’s parameters on the target data.</w:t>
      </w:r>
    </w:p>
    <w:p>
      <w:pPr>
        <w:pStyle w:val="BodyText"/>
      </w:pPr>
      <w:r>
        <w:t xml:space="preserve">Two canonical strategies emerge for transfer learning:</w:t>
      </w:r>
    </w:p>
    <w:p>
      <w:pPr>
        <w:pStyle w:val="BodyText"/>
      </w:pPr>
      <w:r>
        <w:rPr>
          <w:bCs/>
          <w:b/>
        </w:rPr>
        <w:t xml:space="preserve">Feature extraction (frozen backbone):</w:t>
      </w:r>
      <w:r>
        <w:t xml:space="preserve"> </w:t>
      </w:r>
      <w:r>
        <w:t xml:space="preserve">The pre-trained backbone is frozen and only the new classification head is trained. This approach is computationally efficient, requires minimal target-domain data, and preserves the domain-general representations learned during pre-training. It is particularly effective when the source and target domains are similar (e.g., both involve face images) and the target dataset is small or noisy (Yosinski et al., 2014).</w:t>
      </w:r>
    </w:p>
    <w:p>
      <w:pPr>
        <w:pStyle w:val="BodyText"/>
      </w:pPr>
      <w:r>
        <w:rPr>
          <w:bCs/>
          <w:b/>
        </w:rPr>
        <w:t xml:space="preserve">Fine-tuning (unfrozen backbone):</w:t>
      </w:r>
      <w:r>
        <w:t xml:space="preserve"> </w:t>
      </w:r>
      <w:r>
        <w:t xml:space="preserve">Some or all of the backbone layers are unfrozen and updated with a lower learning rate. This allows the network to adapt its internal representations to the target domain, potentially capturing domain-specific features that the pre-trained model did not learn. However, fine-tuning risks</w:t>
      </w:r>
      <w:r>
        <w:t xml:space="preserve"> </w:t>
      </w:r>
      <w:r>
        <w:t xml:space="preserve">“</w:t>
      </w:r>
      <w:r>
        <w:t xml:space="preserve">catastrophic forgetting</w:t>
      </w:r>
      <w:r>
        <w:t xml:space="preserve">”</w:t>
      </w:r>
      <w:r>
        <w:t xml:space="preserve"> </w:t>
      </w:r>
      <w:r>
        <w:t xml:space="preserve">of useful source-domain features, especially when the target dataset is small or from a different visual domain (Raghu et al., 2019; Kornblith et al., 2019).</w:t>
      </w:r>
    </w:p>
    <w:p>
      <w:pPr>
        <w:pStyle w:val="BodyText"/>
      </w:pPr>
      <w:r>
        <w:t xml:space="preserve">The choice between these strategies is particularly consequential when training on synthetic data and deploying on real-world data. Fine-tuning on synthetic data may cause the backbone to adapt</w:t>
      </w:r>
      <w:r>
        <w:t xml:space="preserve"> </w:t>
      </w:r>
      <w:r>
        <w:rPr>
          <w:iCs/>
          <w:i/>
        </w:rPr>
        <w:t xml:space="preserve">toward</w:t>
      </w:r>
      <w:r>
        <w:t xml:space="preserve"> </w:t>
      </w:r>
      <w:r>
        <w:t xml:space="preserve">synthetic visual characteristics (perfect lighting, uniform skin textures, stereotypical expressions) and</w:t>
      </w:r>
      <w:r>
        <w:t xml:space="preserve"> </w:t>
      </w:r>
      <w:r>
        <w:rPr>
          <w:iCs/>
          <w:i/>
        </w:rPr>
        <w:t xml:space="preserve">away from</w:t>
      </w:r>
      <w:r>
        <w:t xml:space="preserve"> </w:t>
      </w:r>
      <w:r>
        <w:t xml:space="preserve">the natural variation present in real faces. This hypothesis — that freezing preserves better cross-domain transfer — is directly tested in the present work.</w:t>
      </w:r>
    </w:p>
    <w:bookmarkEnd w:id="30"/>
    <w:bookmarkStart w:id="31" w:name="synthetic-to-real-domain-adaptation"/>
    <w:p>
      <w:pPr>
        <w:pStyle w:val="Heading3"/>
      </w:pPr>
      <w:r>
        <w:t xml:space="preserve">2.3 Synthetic-to-Real Domain Adaptation</w:t>
      </w:r>
    </w:p>
    <w:p>
      <w:pPr>
        <w:pStyle w:val="FirstParagraph"/>
      </w:pPr>
      <w:r>
        <w:t xml:space="preserve">Training machine learning models on synthetic data and deploying them in real-world environments introduces a</w:t>
      </w:r>
      <w:r>
        <w:t xml:space="preserve"> </w:t>
      </w:r>
      <w:r>
        <w:rPr>
          <w:iCs/>
          <w:i/>
        </w:rPr>
        <w:t xml:space="preserve">domain gap</w:t>
      </w:r>
      <w:r>
        <w:t xml:space="preserve"> </w:t>
      </w:r>
      <w:r>
        <w:t xml:space="preserve">— a distributional shift between the training and deployment domains that can substantially degrade performance (Tobin et al., 2017; Tremblay et al., 2018). In FER, this gap manifests as differences in facial appearance (real vs. AI-generated faces), expression intensity (posed vs. spontaneous expressions), image quality (controlled rendering vs. unconstrained photography), and demographic diversity.</w:t>
      </w:r>
    </w:p>
    <w:p>
      <w:pPr>
        <w:pStyle w:val="BodyText"/>
      </w:pPr>
      <w:r>
        <w:t xml:space="preserve">The synthetic-to-real gap is a well-studied problem in computer vision, with established mitigation strategies including domain randomization (Tobin et al., 2017), style transfer (Huang &amp; Belongie, 2017), adversarial domain adaptation (Ganin &amp; Lempitsky, 2015), and progressive fine-tuning on real data (Shrivastava et al., 2017). However, the specific case of training FER models on AI-generated face videos (e.g., from generative models like Luma) and deploying them on real photographs is relatively unexplored and presents unique challenges: generated faces may exhibit uniformly high expression intensity, limited ethnic diversity, and systematic visual artifacts that differ from the noise patterns in real photographs.</w:t>
      </w:r>
    </w:p>
    <w:p>
      <w:pPr>
        <w:pStyle w:val="BodyText"/>
      </w:pPr>
      <w:r>
        <w:t xml:space="preserve">In this work, we train on 86,519 frames extracted from 11,911 synthetic face videos and evaluate on 894 real photographs from the AffectNet dataset. The resulting generalization gap — from F1 ≈ 0.99 on synthetic validation to F1 ≈ 0.78 on real-world test — provides an empirical measurement of this domain shift and motivates the two-tier quality gate architecture described in Chapter 5.</w:t>
      </w:r>
    </w:p>
    <w:bookmarkEnd w:id="31"/>
    <w:bookmarkStart w:id="32" w:name="X8704dd64d2066d5dd5e6be46d3f44b592d5da14"/>
    <w:p>
      <w:pPr>
        <w:pStyle w:val="Heading3"/>
      </w:pPr>
      <w:r>
        <w:t xml:space="preserve">2.4 Model Calibration and Confidence-Aware Systems</w:t>
      </w:r>
    </w:p>
    <w:p>
      <w:pPr>
        <w:pStyle w:val="FirstParagraph"/>
      </w:pPr>
      <w:r>
        <w:t xml:space="preserve">Beyond classification accuracy, the</w:t>
      </w:r>
      <w:r>
        <w:t xml:space="preserve"> </w:t>
      </w:r>
      <w:r>
        <w:rPr>
          <w:iCs/>
          <w:i/>
        </w:rPr>
        <w:t xml:space="preserve">reliability</w:t>
      </w:r>
      <w:r>
        <w:t xml:space="preserve"> </w:t>
      </w:r>
      <w:r>
        <w:t xml:space="preserve">of a model’s confidence scores is critical for downstream decision-making. A well-calibrated model’s stated confidence should match its actual accuracy: when the model predicts an emotion with 80% confidence, it should be correct approximately 80% of the time (Guo et al., 2017). Calibration is measured by the Expected Calibration Error (ECE), which computes the weighted average gap between confidence and accuracy across binned confidence intervals:</w:t>
      </w:r>
    </w:p>
    <w:p>
      <w:pPr>
        <w:pStyle w:val="BodyText"/>
      </w:pPr>
      <m:oMathPara>
        <m:oMathParaPr>
          <m:jc m:val="center"/>
        </m:oMathParaPr>
        <m:oMath>
          <m:r>
            <m:t>E</m:t>
          </m:r>
          <m:r>
            <m:t>C</m:t>
          </m:r>
          <m:r>
            <m:t>E</m:t>
          </m:r>
          <m:r>
            <m:rPr>
              <m:sty m:val="p"/>
            </m:rPr>
            <m:t>=</m:t>
          </m:r>
          <m:nary>
            <m:naryPr>
              <m:chr m:val="∑"/>
              <m:limLoc m:val="undOvr"/>
              <m:subHide m:val="off"/>
              <m:supHide m:val="off"/>
            </m:naryPr>
            <m:sub>
              <m:r>
                <m:t>b</m:t>
              </m:r>
              <m:r>
                <m:rPr>
                  <m:sty m:val="p"/>
                </m:rPr>
                <m:t>=</m:t>
              </m:r>
              <m:r>
                <m:t>1</m:t>
              </m:r>
            </m:sub>
            <m:sup>
              <m:r>
                <m:t>B</m:t>
              </m:r>
            </m:sup>
            <m:e>
              <m:f>
                <m:fPr>
                  <m:type m:val="bar"/>
                </m:fPr>
                <m:num>
                  <m:d>
                    <m:dPr>
                      <m:begChr m:val="|"/>
                      <m:endChr m:val="|"/>
                      <m:sepChr m:val=""/>
                      <m:grow/>
                    </m:dPr>
                    <m:e>
                      <m:sSub>
                        <m:e>
                          <m:r>
                            <m:t>S</m:t>
                          </m:r>
                        </m:e>
                        <m:sub>
                          <m:r>
                            <m:t>b</m:t>
                          </m:r>
                        </m:sub>
                      </m:sSub>
                    </m:e>
                  </m:d>
                </m:num>
                <m:den>
                  <m:r>
                    <m:t>N</m:t>
                  </m:r>
                </m:den>
              </m:f>
            </m:e>
          </m:nary>
          <m:r>
            <m:rPr>
              <m:sty m:val="p"/>
            </m:rPr>
            <m:t>⋅</m:t>
          </m:r>
          <m:d>
            <m:dPr>
              <m:begChr m:val="|"/>
              <m:endChr m:val="|"/>
              <m:sepChr m:val=""/>
              <m:grow/>
            </m:dPr>
            <m:e>
              <m:r>
                <m:t>a</m:t>
              </m:r>
              <m:r>
                <m:t>c</m:t>
              </m:r>
              <m:r>
                <m:t>c</m:t>
              </m:r>
              <m:d>
                <m:dPr>
                  <m:begChr m:val="("/>
                  <m:endChr m:val=")"/>
                  <m:sepChr m:val=""/>
                  <m:grow/>
                </m:dPr>
                <m:e>
                  <m:sSub>
                    <m:e>
                      <m:r>
                        <m:t>S</m:t>
                      </m:r>
                    </m:e>
                    <m:sub>
                      <m:r>
                        <m:t>b</m:t>
                      </m:r>
                    </m:sub>
                  </m:sSub>
                </m:e>
              </m:d>
              <m:r>
                <m:rPr>
                  <m:sty m:val="p"/>
                </m:rPr>
                <m:t>−</m:t>
              </m:r>
              <m:r>
                <m:t>c</m:t>
              </m:r>
              <m:r>
                <m:t>o</m:t>
              </m:r>
              <m:r>
                <m:t>n</m:t>
              </m:r>
              <m:r>
                <m:t>f</m:t>
              </m:r>
              <m:d>
                <m:dPr>
                  <m:begChr m:val="("/>
                  <m:endChr m:val=")"/>
                  <m:sepChr m:val=""/>
                  <m:grow/>
                </m:dPr>
                <m:e>
                  <m:sSub>
                    <m:e>
                      <m:r>
                        <m:t>S</m:t>
                      </m:r>
                    </m:e>
                    <m:sub>
                      <m:r>
                        <m:t>b</m:t>
                      </m:r>
                    </m:sub>
                  </m:sSub>
                </m:e>
              </m:d>
            </m:e>
          </m:d>
        </m:oMath>
      </m:oMathPara>
    </w:p>
    <w:p>
      <w:pPr>
        <w:pStyle w:val="FirstParagraph"/>
      </w:pPr>
      <w:r>
        <w:t xml:space="preserve">where</w:t>
      </w:r>
      <w:r>
        <w:t xml:space="preserve"> </w:t>
      </w:r>
      <m:oMath>
        <m:sSub>
          <m:e>
            <m:r>
              <m:t>S</m:t>
            </m:r>
          </m:e>
          <m:sub>
            <m:r>
              <m:t>b</m:t>
            </m:r>
          </m:sub>
        </m:sSub>
      </m:oMath>
      <w:r>
        <w:t xml:space="preserve"> </w:t>
      </w:r>
      <w:r>
        <w:t xml:space="preserve">is the set of predictions in bin</w:t>
      </w:r>
      <w:r>
        <w:t xml:space="preserve"> </w:t>
      </w:r>
      <m:oMath>
        <m:r>
          <m:t>b</m:t>
        </m:r>
      </m:oMath>
      <w:r>
        <w:t xml:space="preserve">,</w:t>
      </w:r>
      <w:r>
        <w:t xml:space="preserve"> </w:t>
      </w:r>
      <m:oMath>
        <m:r>
          <m:t>a</m:t>
        </m:r>
        <m:r>
          <m:t>c</m:t>
        </m:r>
        <m:r>
          <m:t>c</m:t>
        </m:r>
        <m:d>
          <m:dPr>
            <m:begChr m:val="("/>
            <m:endChr m:val=")"/>
            <m:sepChr m:val=""/>
            <m:grow/>
          </m:dPr>
          <m:e>
            <m:sSub>
              <m:e>
                <m:r>
                  <m:t>S</m:t>
                </m:r>
              </m:e>
              <m:sub>
                <m:r>
                  <m:t>b</m:t>
                </m:r>
              </m:sub>
            </m:sSub>
          </m:e>
        </m:d>
      </m:oMath>
      <w:r>
        <w:t xml:space="preserve"> </w:t>
      </w:r>
      <w:r>
        <w:t xml:space="preserve">is their accuracy,</w:t>
      </w:r>
      <w:r>
        <w:t xml:space="preserve"> </w:t>
      </w:r>
      <m:oMath>
        <m:r>
          <m:t>c</m:t>
        </m:r>
        <m:r>
          <m:t>o</m:t>
        </m:r>
        <m:r>
          <m:t>n</m:t>
        </m:r>
        <m:r>
          <m:t>f</m:t>
        </m:r>
        <m:d>
          <m:dPr>
            <m:begChr m:val="("/>
            <m:endChr m:val=")"/>
            <m:sepChr m:val=""/>
            <m:grow/>
          </m:dPr>
          <m:e>
            <m:sSub>
              <m:e>
                <m:r>
                  <m:t>S</m:t>
                </m:r>
              </m:e>
              <m:sub>
                <m:r>
                  <m:t>b</m:t>
                </m:r>
              </m:sub>
            </m:sSub>
          </m:e>
        </m:d>
      </m:oMath>
      <w:r>
        <w:t xml:space="preserve"> </w:t>
      </w:r>
      <w:r>
        <w:t xml:space="preserve">is their mean confidence, and</w:t>
      </w:r>
      <w:r>
        <w:t xml:space="preserve"> </w:t>
      </w:r>
      <m:oMath>
        <m:r>
          <m:t>N</m:t>
        </m:r>
      </m:oMath>
      <w:r>
        <w:t xml:space="preserve"> </w:t>
      </w:r>
      <w:r>
        <w:t xml:space="preserve">is the total number of predictions.</w:t>
      </w:r>
    </w:p>
    <w:p>
      <w:pPr>
        <w:pStyle w:val="BodyText"/>
      </w:pPr>
      <w:r>
        <w:t xml:space="preserve">For social robotics, calibration is not merely an academic concern — it directly controls physical behavior. The Reachy system uses a 5-tier gesture expressiveness modulation system where higher confidence triggers bolder, more visible gestures, while lower confidence produces subtler responses. An overconfident model would cause the robot to perform dramatic gestures based on incorrect predictions, creating a jarring user experience. An underconfident model would keep the robot perpetually subdued, missing opportunities for meaningful emotional engagement. ECE provides the metric by which this reliability is assessed, with our deployment threshold set at ECE ≤ 0.12.</w:t>
      </w:r>
    </w:p>
    <w:p>
      <w:pPr>
        <w:pStyle w:val="BodyText"/>
      </w:pPr>
      <w:r>
        <w:t xml:space="preserve">Additionally, the system employs an abstention mechanism: predictions with confidence below 0.6 are suppressed entirely, and the robot maintains its current behavioral state rather than acting on uncertain inputs. This threshold, combined with a margin requirement (the gap between the top-two predicted probabilities must exceed 0.15), prevents the robot from oscillating between emotional responses when the visual input is ambiguous.</w:t>
      </w:r>
    </w:p>
    <w:bookmarkEnd w:id="32"/>
    <w:bookmarkStart w:id="33" w:name="privacy-considerations-in-emotion-ai"/>
    <w:p>
      <w:pPr>
        <w:pStyle w:val="Heading3"/>
      </w:pPr>
      <w:r>
        <w:t xml:space="preserve">2.5 Privacy Considerations in Emotion AI</w:t>
      </w:r>
    </w:p>
    <w:p>
      <w:pPr>
        <w:pStyle w:val="FirstParagraph"/>
      </w:pPr>
      <w:r>
        <w:t xml:space="preserve">Emotion recognition systems process inherently sensitive biometric data — facial images that can reveal identity, affect, and potentially protected characteristics (McStay, 2018; Crawford, 2021). The European Union’s AI Act specifically classifies emotion recognition in certain contexts as high-risk, requiring transparency, human oversight, and data minimization (EU AI Act, 2024). Even in jurisdictions without explicit emotion AI regulation, the ethical responsibility to protect user privacy is significant, particularly in companion robotics where users may interact with the robot in private settings and develop parasocial relationships.</w:t>
      </w:r>
    </w:p>
    <w:p>
      <w:pPr>
        <w:pStyle w:val="BodyText"/>
      </w:pPr>
      <w:r>
        <w:t xml:space="preserve">The Reachy system adopts a</w:t>
      </w:r>
      <w:r>
        <w:t xml:space="preserve"> </w:t>
      </w:r>
      <w:r>
        <w:t xml:space="preserve">“</w:t>
      </w:r>
      <w:r>
        <w:t xml:space="preserve">privacy-first</w:t>
      </w:r>
      <w:r>
        <w:t xml:space="preserve">”</w:t>
      </w:r>
      <w:r>
        <w:t xml:space="preserve"> </w:t>
      </w:r>
      <w:r>
        <w:t xml:space="preserve">architecture: all video processing, model training, and inference occur on-premise, within a controlled local network. No raw video data is transmitted to external servers. Temporary media files are subject to configurable time-to-live (TTL) policies, and a dedicated Privacy/Retention Agent automates purge procedures. This design ensures compliance with the principle of data minimization — only derived features (emotion labels, confidence scores, anonymized metrics) persist beyond the immediate inference context.</w:t>
      </w:r>
    </w:p>
    <w:p>
      <w:r>
        <w:pict>
          <v:rect style="width:0;height:1.5pt" o:hralign="center" o:hrstd="t" o:hr="t"/>
        </w:pict>
      </w:r>
    </w:p>
    <w:bookmarkEnd w:id="33"/>
    <w:bookmarkEnd w:id="34"/>
    <w:bookmarkStart w:id="40" w:name="chapter-3-research-platform"/>
    <w:p>
      <w:pPr>
        <w:pStyle w:val="Heading2"/>
      </w:pPr>
      <w:r>
        <w:t xml:space="preserve">Chapter 3: Research Platform</w:t>
      </w:r>
    </w:p>
    <w:bookmarkStart w:id="35" w:name="the-reachy-mini-robot"/>
    <w:p>
      <w:pPr>
        <w:pStyle w:val="Heading3"/>
      </w:pPr>
      <w:r>
        <w:t xml:space="preserve">3.1 The Reachy Mini Robot</w:t>
      </w:r>
    </w:p>
    <w:p>
      <w:pPr>
        <w:pStyle w:val="FirstParagraph"/>
      </w:pPr>
      <w:r>
        <w:t xml:space="preserve">Reachy Mini is a tabletop companion robot developed by Pollen Robotics (Lyon, France), designed for face-to-face social interaction. The robot features an articulated upper body with two arms capable of expressive gestures, a head with pan-tilt capability, and an integrated camera system for visual perception. Reachy Mini’s design philosophy emphasizes approachability and non-threatening physical presence, making it suitable for companion, educational, and therapeutic contexts.</w:t>
      </w:r>
    </w:p>
    <w:p>
      <w:pPr>
        <w:pStyle w:val="BodyText"/>
      </w:pPr>
      <w:r>
        <w:t xml:space="preserve">The robot communicates with external compute infrastructure via gRPC, allowing a separation of concerns between physical actuation (handled by the robot’s onboard controller) and perceptual intelligence (handled by external GPU and edge computing nodes). This separation is critical for the emotion classification system: the computationally intensive inference pipeline runs on dedicated hardware while the robot focuses on real-time gesture execution and user interaction.</w:t>
      </w:r>
    </w:p>
    <w:bookmarkEnd w:id="35"/>
    <w:bookmarkStart w:id="36" w:name="hardware-infrastructure"/>
    <w:p>
      <w:pPr>
        <w:pStyle w:val="Heading3"/>
      </w:pPr>
      <w:r>
        <w:t xml:space="preserve">3.2 Hardware Infrastructure</w:t>
      </w:r>
    </w:p>
    <w:p>
      <w:pPr>
        <w:pStyle w:val="FirstParagraph"/>
      </w:pPr>
      <w:r>
        <w:t xml:space="preserve">The system operates across a three-node local area network connected via static IP addresses. This local-only topology eliminates cloud dependencies and ensures that all biometric data remains within the physical premises.</w:t>
      </w:r>
    </w:p>
    <w:p>
      <w:pPr>
        <w:pStyle w:val="BodyText"/>
      </w:pPr>
      <w:r>
        <w:rPr>
          <w:bCs/>
          <w:b/>
        </w:rPr>
        <w:t xml:space="preserve">Table 1. Hardware specifications for all three compute nodes.</w:t>
      </w:r>
    </w:p>
    <w:tbl>
      <w:tblPr>
        <w:tblStyle w:val="Table"/>
        <w:tblW w:type="pct" w:w="5000"/>
        <w:tblLook w:firstRow="1" w:lastRow="0" w:firstColumn="0" w:lastColumn="0" w:noHBand="0" w:noVBand="0" w:val="0020"/>
        <w:jc w:val="start"/>
      </w:tblPr>
      <w:tblGrid>
        <w:gridCol w:w="1397"/>
        <w:gridCol w:w="1397"/>
        <w:gridCol w:w="2329"/>
        <w:gridCol w:w="2795"/>
      </w:tblGrid>
      <w:tr>
        <w:trPr>
          <w:tblHeader w:val="true"/>
        </w:trPr>
        <w:tc>
          <w:tcPr/>
          <w:p>
            <w:pPr>
              <w:pStyle w:val="Compact"/>
              <w:jc w:val="left"/>
            </w:pPr>
            <w:r>
              <w:t xml:space="preserve">Node</w:t>
            </w:r>
          </w:p>
        </w:tc>
        <w:tc>
          <w:tcPr/>
          <w:p>
            <w:pPr>
              <w:pStyle w:val="Compact"/>
              <w:jc w:val="left"/>
            </w:pPr>
            <w:r>
              <w:t xml:space="preserve">Role</w:t>
            </w:r>
          </w:p>
        </w:tc>
        <w:tc>
          <w:tcPr/>
          <w:p>
            <w:pPr>
              <w:pStyle w:val="Compact"/>
              <w:jc w:val="left"/>
            </w:pPr>
            <w:r>
              <w:t xml:space="preserve">Hardware</w:t>
            </w:r>
          </w:p>
        </w:tc>
        <w:tc>
          <w:tcPr/>
          <w:p>
            <w:pPr>
              <w:pStyle w:val="Compact"/>
              <w:jc w:val="left"/>
            </w:pPr>
            <w:r>
              <w:t xml:space="preserve">IP Address</w:t>
            </w:r>
          </w:p>
        </w:tc>
      </w:tr>
      <w:tr>
        <w:tc>
          <w:tcPr/>
          <w:p>
            <w:pPr>
              <w:pStyle w:val="Compact"/>
              <w:jc w:val="left"/>
            </w:pPr>
            <w:r>
              <w:rPr>
                <w:bCs/>
                <w:b/>
              </w:rPr>
              <w:t xml:space="preserve">Ubuntu 1 (Training Node)</w:t>
            </w:r>
          </w:p>
        </w:tc>
        <w:tc>
          <w:tcPr/>
          <w:p>
            <w:pPr>
              <w:pStyle w:val="Compact"/>
              <w:jc w:val="left"/>
            </w:pPr>
            <w:r>
              <w:t xml:space="preserve">GPU training, FastAPI services, PostgreSQL, n8n orchestration</w:t>
            </w:r>
          </w:p>
        </w:tc>
        <w:tc>
          <w:tcPr/>
          <w:p>
            <w:pPr>
              <w:pStyle w:val="Compact"/>
              <w:jc w:val="left"/>
            </w:pPr>
            <w:r>
              <w:t xml:space="preserve">NVIDIA GPU workstation, PyTorch environment</w:t>
            </w:r>
          </w:p>
        </w:tc>
        <w:tc>
          <w:tcPr/>
          <w:p>
            <w:pPr>
              <w:pStyle w:val="Compact"/>
              <w:jc w:val="left"/>
            </w:pPr>
            <w:r>
              <w:t xml:space="preserve">10.0.4.130</w:t>
            </w:r>
          </w:p>
        </w:tc>
      </w:tr>
      <w:tr>
        <w:tc>
          <w:tcPr/>
          <w:p>
            <w:pPr>
              <w:pStyle w:val="Compact"/>
              <w:jc w:val="left"/>
            </w:pPr>
            <w:r>
              <w:rPr>
                <w:bCs/>
                <w:b/>
              </w:rPr>
              <w:t xml:space="preserve">Ubuntu 2 (Web/UI Node)</w:t>
            </w:r>
          </w:p>
        </w:tc>
        <w:tc>
          <w:tcPr/>
          <w:p>
            <w:pPr>
              <w:pStyle w:val="Compact"/>
              <w:jc w:val="left"/>
            </w:pPr>
            <w:r>
              <w:t xml:space="preserve">Streamlit frontend, Nginx reverse proxy</w:t>
            </w:r>
          </w:p>
        </w:tc>
        <w:tc>
          <w:tcPr/>
          <w:p>
            <w:pPr>
              <w:pStyle w:val="Compact"/>
              <w:jc w:val="left"/>
            </w:pPr>
            <w:r>
              <w:t xml:space="preserve">General-purpose server</w:t>
            </w:r>
          </w:p>
        </w:tc>
        <w:tc>
          <w:tcPr/>
          <w:p>
            <w:pPr>
              <w:pStyle w:val="Compact"/>
              <w:jc w:val="left"/>
            </w:pPr>
            <w:r>
              <w:t xml:space="preserve">10.0.4.140</w:t>
            </w:r>
          </w:p>
        </w:tc>
      </w:tr>
      <w:tr>
        <w:tc>
          <w:tcPr/>
          <w:p>
            <w:pPr>
              <w:pStyle w:val="Compact"/>
              <w:jc w:val="left"/>
            </w:pPr>
            <w:r>
              <w:rPr>
                <w:bCs/>
                <w:b/>
              </w:rPr>
              <w:t xml:space="preserve">Jetson Xavier NX (Robot Node)</w:t>
            </w:r>
          </w:p>
        </w:tc>
        <w:tc>
          <w:tcPr/>
          <w:p>
            <w:pPr>
              <w:pStyle w:val="Compact"/>
              <w:jc w:val="left"/>
            </w:pPr>
            <w:r>
              <w:t xml:space="preserve">Real-time inference via DeepStream + TensorRT</w:t>
            </w:r>
          </w:p>
        </w:tc>
        <w:tc>
          <w:tcPr/>
          <w:p>
            <w:pPr>
              <w:pStyle w:val="Compact"/>
              <w:jc w:val="left"/>
            </w:pPr>
            <w:r>
              <w:t xml:space="preserve">NVIDIA Jetson Xavier NX (6-core ARM, 384-core Volta GPU, 8GB RAM)</w:t>
            </w:r>
          </w:p>
        </w:tc>
        <w:tc>
          <w:tcPr/>
          <w:p>
            <w:pPr>
              <w:pStyle w:val="Compact"/>
              <w:jc w:val="left"/>
            </w:pPr>
            <w:r>
              <w:t xml:space="preserve">10.0.4.150</w:t>
            </w:r>
          </w:p>
        </w:tc>
      </w:tr>
    </w:tbl>
    <w:p>
      <w:pPr>
        <w:pStyle w:val="BodyText"/>
      </w:pPr>
      <w:r>
        <w:t xml:space="preserve">The Jetson Xavier NX serves as the edge inference platform, chosen for its combination of GPU compute capability (21 TOPS INT8), low power consumption (~15W), and small form factor suitable for integration with robotic platforms. NVIDIA’s DeepStream SDK provides the optimized video analytics pipeline, while TensorRT handles model optimization through layer fusion, precision calibration (FP16), and kernel auto-tuning.</w:t>
      </w:r>
    </w:p>
    <w:bookmarkEnd w:id="36"/>
    <w:bookmarkStart w:id="37" w:name="software-stack"/>
    <w:p>
      <w:pPr>
        <w:pStyle w:val="Heading3"/>
      </w:pPr>
      <w:r>
        <w:t xml:space="preserve">3.3 Software Stack</w:t>
      </w:r>
    </w:p>
    <w:p>
      <w:pPr>
        <w:pStyle w:val="FirstParagraph"/>
      </w:pPr>
      <w:r>
        <w:rPr>
          <w:bCs/>
          <w:b/>
        </w:rPr>
        <w:t xml:space="preserve">Table 2. Software stack and version matrix.</w:t>
      </w:r>
    </w:p>
    <w:tbl>
      <w:tblPr>
        <w:tblStyle w:val="Table"/>
        <w:tblW w:type="pct" w:w="5000"/>
        <w:tblLook w:firstRow="1" w:lastRow="0" w:firstColumn="0" w:lastColumn="0" w:noHBand="0" w:noVBand="0" w:val="0020"/>
        <w:jc w:val="start"/>
      </w:tblPr>
      <w:tblGrid>
        <w:gridCol w:w="2810"/>
        <w:gridCol w:w="2810"/>
        <w:gridCol w:w="2299"/>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rPr>
                <w:bCs/>
                <w:b/>
              </w:rPr>
              <w:t xml:space="preserve">ML Framework</w:t>
            </w:r>
          </w:p>
        </w:tc>
        <w:tc>
          <w:tcPr/>
          <w:p>
            <w:pPr>
              <w:pStyle w:val="Compact"/>
              <w:jc w:val="left"/>
            </w:pPr>
            <w:r>
              <w:t xml:space="preserve">PyTorch 2.x</w:t>
            </w:r>
          </w:p>
        </w:tc>
        <w:tc>
          <w:tcPr/>
          <w:p>
            <w:pPr>
              <w:pStyle w:val="Compact"/>
              <w:jc w:val="left"/>
            </w:pPr>
            <w:r>
              <w:t xml:space="preserve">Model training and evaluation</w:t>
            </w:r>
          </w:p>
        </w:tc>
      </w:tr>
      <w:tr>
        <w:tc>
          <w:tcPr/>
          <w:p>
            <w:pPr>
              <w:pStyle w:val="Compact"/>
              <w:jc w:val="left"/>
            </w:pPr>
            <w:r>
              <w:rPr>
                <w:bCs/>
                <w:b/>
              </w:rPr>
              <w:t xml:space="preserve">Pre-trained Weights</w:t>
            </w:r>
          </w:p>
        </w:tc>
        <w:tc>
          <w:tcPr/>
          <w:p>
            <w:pPr>
              <w:pStyle w:val="Compact"/>
              <w:jc w:val="left"/>
            </w:pPr>
            <w:r>
              <w:t xml:space="preserve">HSEmotion (enet_b0_8_best_vgaf)</w:t>
            </w:r>
          </w:p>
        </w:tc>
        <w:tc>
          <w:tcPr/>
          <w:p>
            <w:pPr>
              <w:pStyle w:val="Compact"/>
              <w:jc w:val="left"/>
            </w:pPr>
            <w:r>
              <w:t xml:space="preserve">EfficientNet-B0 backbone</w:t>
            </w:r>
          </w:p>
        </w:tc>
      </w:tr>
      <w:tr>
        <w:tc>
          <w:tcPr/>
          <w:p>
            <w:pPr>
              <w:pStyle w:val="Compact"/>
              <w:jc w:val="left"/>
            </w:pPr>
            <w:r>
              <w:rPr>
                <w:bCs/>
                <w:b/>
              </w:rPr>
              <w:t xml:space="preserve">Edge Inference</w:t>
            </w:r>
          </w:p>
        </w:tc>
        <w:tc>
          <w:tcPr/>
          <w:p>
            <w:pPr>
              <w:pStyle w:val="Compact"/>
              <w:jc w:val="left"/>
            </w:pPr>
            <w:r>
              <w:t xml:space="preserve">NVIDIA TensorRT + DeepStream SDK</w:t>
            </w:r>
          </w:p>
        </w:tc>
        <w:tc>
          <w:tcPr/>
          <w:p>
            <w:pPr>
              <w:pStyle w:val="Compact"/>
              <w:jc w:val="left"/>
            </w:pPr>
            <w:r>
              <w:t xml:space="preserve">Real-time optimized inference</w:t>
            </w:r>
          </w:p>
        </w:tc>
      </w:tr>
      <w:tr>
        <w:tc>
          <w:tcPr/>
          <w:p>
            <w:pPr>
              <w:pStyle w:val="Compact"/>
              <w:jc w:val="left"/>
            </w:pPr>
            <w:r>
              <w:rPr>
                <w:bCs/>
                <w:b/>
              </w:rPr>
              <w:t xml:space="preserve">Model Export</w:t>
            </w:r>
          </w:p>
        </w:tc>
        <w:tc>
          <w:tcPr/>
          <w:p>
            <w:pPr>
              <w:pStyle w:val="Compact"/>
              <w:jc w:val="left"/>
            </w:pPr>
            <w:r>
              <w:t xml:space="preserve">ONNX</w:t>
            </w:r>
          </w:p>
        </w:tc>
        <w:tc>
          <w:tcPr/>
          <w:p>
            <w:pPr>
              <w:pStyle w:val="Compact"/>
              <w:jc w:val="left"/>
            </w:pPr>
            <w:r>
              <w:t xml:space="preserve">Portable model interchange format</w:t>
            </w:r>
          </w:p>
        </w:tc>
      </w:tr>
      <w:tr>
        <w:tc>
          <w:tcPr/>
          <w:p>
            <w:pPr>
              <w:pStyle w:val="Compact"/>
              <w:jc w:val="left"/>
            </w:pPr>
            <w:r>
              <w:rPr>
                <w:bCs/>
                <w:b/>
              </w:rPr>
              <w:t xml:space="preserve">Backend API</w:t>
            </w:r>
          </w:p>
        </w:tc>
        <w:tc>
          <w:tcPr/>
          <w:p>
            <w:pPr>
              <w:pStyle w:val="Compact"/>
              <w:jc w:val="left"/>
            </w:pPr>
            <w:r>
              <w:t xml:space="preserve">FastAPI (Python)</w:t>
            </w:r>
          </w:p>
        </w:tc>
        <w:tc>
          <w:tcPr/>
          <w:p>
            <w:pPr>
              <w:pStyle w:val="Compact"/>
              <w:jc w:val="left"/>
            </w:pPr>
            <w:r>
              <w:t xml:space="preserve">RESTful media and training services</w:t>
            </w:r>
          </w:p>
        </w:tc>
      </w:tr>
      <w:tr>
        <w:tc>
          <w:tcPr/>
          <w:p>
            <w:pPr>
              <w:pStyle w:val="Compact"/>
              <w:jc w:val="left"/>
            </w:pPr>
            <w:r>
              <w:rPr>
                <w:bCs/>
                <w:b/>
              </w:rPr>
              <w:t xml:space="preserve">Database</w:t>
            </w:r>
          </w:p>
        </w:tc>
        <w:tc>
          <w:tcPr/>
          <w:p>
            <w:pPr>
              <w:pStyle w:val="Compact"/>
              <w:jc w:val="left"/>
            </w:pPr>
            <w:r>
              <w:t xml:space="preserve">PostgreSQL 16</w:t>
            </w:r>
          </w:p>
        </w:tc>
        <w:tc>
          <w:tcPr/>
          <w:p>
            <w:pPr>
              <w:pStyle w:val="Compact"/>
              <w:jc w:val="left"/>
            </w:pPr>
            <w:r>
              <w:t xml:space="preserve">Metadata, video records, training logs</w:t>
            </w:r>
          </w:p>
        </w:tc>
      </w:tr>
      <w:tr>
        <w:tc>
          <w:tcPr/>
          <w:p>
            <w:pPr>
              <w:pStyle w:val="Compact"/>
              <w:jc w:val="left"/>
            </w:pPr>
            <w:r>
              <w:rPr>
                <w:bCs/>
                <w:b/>
              </w:rPr>
              <w:t xml:space="preserve">ORM</w:t>
            </w:r>
          </w:p>
        </w:tc>
        <w:tc>
          <w:tcPr/>
          <w:p>
            <w:pPr>
              <w:pStyle w:val="Compact"/>
              <w:jc w:val="left"/>
            </w:pPr>
            <w:r>
              <w:t xml:space="preserve">SQLAlchemy + Alembic</w:t>
            </w:r>
          </w:p>
        </w:tc>
        <w:tc>
          <w:tcPr/>
          <w:p>
            <w:pPr>
              <w:pStyle w:val="Compact"/>
              <w:jc w:val="left"/>
            </w:pPr>
            <w:r>
              <w:t xml:space="preserve">Schema management and migrations</w:t>
            </w:r>
          </w:p>
        </w:tc>
      </w:tr>
      <w:tr>
        <w:tc>
          <w:tcPr/>
          <w:p>
            <w:pPr>
              <w:pStyle w:val="Compact"/>
              <w:jc w:val="left"/>
            </w:pPr>
            <w:r>
              <w:rPr>
                <w:bCs/>
                <w:b/>
              </w:rPr>
              <w:t xml:space="preserve">Frontend</w:t>
            </w:r>
          </w:p>
        </w:tc>
        <w:tc>
          <w:tcPr/>
          <w:p>
            <w:pPr>
              <w:pStyle w:val="Compact"/>
              <w:jc w:val="left"/>
            </w:pPr>
            <w:r>
              <w:t xml:space="preserve">Streamlit</w:t>
            </w:r>
          </w:p>
        </w:tc>
        <w:tc>
          <w:tcPr/>
          <w:p>
            <w:pPr>
              <w:pStyle w:val="Compact"/>
              <w:jc w:val="left"/>
            </w:pPr>
            <w:r>
              <w:t xml:space="preserve">Web-based labeling, dashboard, and management UI</w:t>
            </w:r>
          </w:p>
        </w:tc>
      </w:tr>
      <w:tr>
        <w:tc>
          <w:tcPr/>
          <w:p>
            <w:pPr>
              <w:pStyle w:val="Compact"/>
              <w:jc w:val="left"/>
            </w:pPr>
            <w:r>
              <w:rPr>
                <w:bCs/>
                <w:b/>
              </w:rPr>
              <w:t xml:space="preserve">Orchestration</w:t>
            </w:r>
          </w:p>
        </w:tc>
        <w:tc>
          <w:tcPr/>
          <w:p>
            <w:pPr>
              <w:pStyle w:val="Compact"/>
              <w:jc w:val="left"/>
            </w:pPr>
            <w:r>
              <w:t xml:space="preserve">n8n (self-hosted)</w:t>
            </w:r>
          </w:p>
        </w:tc>
        <w:tc>
          <w:tcPr/>
          <w:p>
            <w:pPr>
              <w:pStyle w:val="Compact"/>
              <w:jc w:val="left"/>
            </w:pPr>
            <w:r>
              <w:t xml:space="preserve">10-agent workflow automation</w:t>
            </w:r>
          </w:p>
        </w:tc>
      </w:tr>
      <w:tr>
        <w:tc>
          <w:tcPr/>
          <w:p>
            <w:pPr>
              <w:pStyle w:val="Compact"/>
              <w:jc w:val="left"/>
            </w:pPr>
            <w:r>
              <w:rPr>
                <w:bCs/>
                <w:b/>
              </w:rPr>
              <w:t xml:space="preserve">Experiment Tracking</w:t>
            </w:r>
          </w:p>
        </w:tc>
        <w:tc>
          <w:tcPr/>
          <w:p>
            <w:pPr>
              <w:pStyle w:val="Compact"/>
              <w:jc w:val="left"/>
            </w:pPr>
            <w:r>
              <w:t xml:space="preserve">MLflow</w:t>
            </w:r>
          </w:p>
        </w:tc>
        <w:tc>
          <w:tcPr/>
          <w:p>
            <w:pPr>
              <w:pStyle w:val="Compact"/>
              <w:jc w:val="left"/>
            </w:pPr>
            <w:r>
              <w:t xml:space="preserve">Training metrics, model versioning</w:t>
            </w:r>
          </w:p>
        </w:tc>
      </w:tr>
      <w:tr>
        <w:tc>
          <w:tcPr/>
          <w:p>
            <w:pPr>
              <w:pStyle w:val="Compact"/>
              <w:jc w:val="left"/>
            </w:pPr>
            <w:r>
              <w:rPr>
                <w:bCs/>
                <w:b/>
              </w:rPr>
              <w:t xml:space="preserve">Reverse Proxy</w:t>
            </w:r>
          </w:p>
        </w:tc>
        <w:tc>
          <w:tcPr/>
          <w:p>
            <w:pPr>
              <w:pStyle w:val="Compact"/>
              <w:jc w:val="left"/>
            </w:pPr>
            <w:r>
              <w:t xml:space="preserve">Nginx</w:t>
            </w:r>
          </w:p>
        </w:tc>
        <w:tc>
          <w:tcPr/>
          <w:p>
            <w:pPr>
              <w:pStyle w:val="Compact"/>
              <w:jc w:val="left"/>
            </w:pPr>
            <w:r>
              <w:t xml:space="preserve">HTTPS termination, request routing</w:t>
            </w:r>
          </w:p>
        </w:tc>
      </w:tr>
      <w:tr>
        <w:tc>
          <w:tcPr/>
          <w:p>
            <w:pPr>
              <w:pStyle w:val="Compact"/>
              <w:jc w:val="left"/>
            </w:pPr>
            <w:r>
              <w:rPr>
                <w:bCs/>
                <w:b/>
              </w:rPr>
              <w:t xml:space="preserve">Monitoring</w:t>
            </w:r>
          </w:p>
        </w:tc>
        <w:tc>
          <w:tcPr/>
          <w:p>
            <w:pPr>
              <w:pStyle w:val="Compact"/>
              <w:jc w:val="left"/>
            </w:pPr>
            <w:r>
              <w:t xml:space="preserve">Prometheus + Grafana</w:t>
            </w:r>
          </w:p>
        </w:tc>
        <w:tc>
          <w:tcPr/>
          <w:p>
            <w:pPr>
              <w:pStyle w:val="Compact"/>
              <w:jc w:val="left"/>
            </w:pPr>
            <w:r>
              <w:t xml:space="preserve">System metrics and alerting</w:t>
            </w:r>
          </w:p>
        </w:tc>
      </w:tr>
    </w:tbl>
    <w:bookmarkEnd w:id="37"/>
    <w:bookmarkStart w:id="38" w:name="storage-architecture"/>
    <w:p>
      <w:pPr>
        <w:pStyle w:val="Heading3"/>
      </w:pPr>
      <w:r>
        <w:t xml:space="preserve">3.4 Storage Architecture</w:t>
      </w:r>
    </w:p>
    <w:p>
      <w:pPr>
        <w:pStyle w:val="FirstParagraph"/>
      </w:pPr>
      <w:r>
        <w:t xml:space="preserve">The storage architecture follows a hybrid model that separates large binary artifacts (videos, model checkpoints, prediction files) from lightweight metadata (JSON payloads, database records).</w:t>
      </w:r>
    </w:p>
    <w:p>
      <w:pPr>
        <w:pStyle w:val="BodyText"/>
      </w:pPr>
      <w:r>
        <w:rPr>
          <w:bCs/>
          <w:b/>
        </w:rPr>
        <w:t xml:space="preserve">Large binary artifacts</w:t>
      </w:r>
      <w:r>
        <w:t xml:space="preserve"> </w:t>
      </w:r>
      <w:r>
        <w:t xml:space="preserve">are stored on local SSD at</w:t>
      </w:r>
      <w:r>
        <w:t xml:space="preserve"> </w:t>
      </w:r>
      <w:r>
        <w:rPr>
          <w:rStyle w:val="VerbatimChar"/>
        </w:rPr>
        <w:t xml:space="preserve">/media/project_data/reachy_emotion/</w:t>
      </w:r>
      <w:r>
        <w:t xml:space="preserve"> </w:t>
      </w:r>
      <w:r>
        <w:t xml:space="preserve">with the following subdirectory structure:</w:t>
      </w:r>
    </w:p>
    <w:p>
      <w:pPr>
        <w:numPr>
          <w:ilvl w:val="0"/>
          <w:numId w:val="1005"/>
        </w:numPr>
        <w:pStyle w:val="Compact"/>
      </w:pPr>
      <w:r>
        <w:rPr>
          <w:rStyle w:val="VerbatimChar"/>
        </w:rPr>
        <w:t xml:space="preserve">videos/temp/</w:t>
      </w:r>
      <w:r>
        <w:t xml:space="preserve"> </w:t>
      </w:r>
      <w:r>
        <w:t xml:space="preserve">— Newly ingested videos pending review</w:t>
      </w:r>
    </w:p>
    <w:p>
      <w:pPr>
        <w:numPr>
          <w:ilvl w:val="0"/>
          <w:numId w:val="1005"/>
        </w:numPr>
        <w:pStyle w:val="Compact"/>
      </w:pPr>
      <w:r>
        <w:rPr>
          <w:rStyle w:val="VerbatimChar"/>
        </w:rPr>
        <w:t xml:space="preserve">videos/train/&lt;emotion_label&gt;/</w:t>
      </w:r>
      <w:r>
        <w:t xml:space="preserve"> </w:t>
      </w:r>
      <w:r>
        <w:t xml:space="preserve">— Accepted training videos organized by class</w:t>
      </w:r>
    </w:p>
    <w:p>
      <w:pPr>
        <w:numPr>
          <w:ilvl w:val="0"/>
          <w:numId w:val="1005"/>
        </w:numPr>
        <w:pStyle w:val="Compact"/>
      </w:pPr>
      <w:r>
        <w:rPr>
          <w:rStyle w:val="VerbatimChar"/>
        </w:rPr>
        <w:t xml:space="preserve">videos/train/run/&lt;run_id&gt;/</w:t>
      </w:r>
      <w:r>
        <w:t xml:space="preserve"> </w:t>
      </w:r>
      <w:r>
        <w:t xml:space="preserve">— Per-run frame extractions for training</w:t>
      </w:r>
    </w:p>
    <w:p>
      <w:pPr>
        <w:numPr>
          <w:ilvl w:val="0"/>
          <w:numId w:val="1005"/>
        </w:numPr>
        <w:pStyle w:val="Compact"/>
      </w:pPr>
      <w:r>
        <w:rPr>
          <w:rStyle w:val="VerbatimChar"/>
        </w:rPr>
        <w:t xml:space="preserve">videos/test/</w:t>
      </w:r>
      <w:r>
        <w:t xml:space="preserve"> </w:t>
      </w:r>
      <w:r>
        <w:t xml:space="preserve">— Test datasets (e.g., AffectNet</w:t>
      </w:r>
      <w:r>
        <w:t xml:space="preserve"> </w:t>
      </w:r>
      <w:r>
        <w:rPr>
          <w:rStyle w:val="VerbatimChar"/>
        </w:rPr>
        <w:t xml:space="preserve">test_dataset_01</w:t>
      </w:r>
      <w:r>
        <w:t xml:space="preserve">)</w:t>
      </w:r>
    </w:p>
    <w:p>
      <w:pPr>
        <w:numPr>
          <w:ilvl w:val="0"/>
          <w:numId w:val="1005"/>
        </w:numPr>
        <w:pStyle w:val="Compact"/>
      </w:pPr>
      <w:r>
        <w:rPr>
          <w:rStyle w:val="VerbatimChar"/>
        </w:rPr>
        <w:t xml:space="preserve">videos/thumbs/</w:t>
      </w:r>
      <w:r>
        <w:t xml:space="preserve"> </w:t>
      </w:r>
      <w:r>
        <w:t xml:space="preserve">— Generated thumbnail images</w:t>
      </w:r>
    </w:p>
    <w:p>
      <w:pPr>
        <w:numPr>
          <w:ilvl w:val="0"/>
          <w:numId w:val="1005"/>
        </w:numPr>
        <w:pStyle w:val="Compact"/>
      </w:pPr>
      <w:r>
        <w:rPr>
          <w:rStyle w:val="VerbatimChar"/>
        </w:rPr>
        <w:t xml:space="preserve">videos/manifests/</w:t>
      </w:r>
      <w:r>
        <w:t xml:space="preserve"> </w:t>
      </w:r>
      <w:r>
        <w:t xml:space="preserve">— Ground truth label files</w:t>
      </w:r>
    </w:p>
    <w:p>
      <w:pPr>
        <w:numPr>
          <w:ilvl w:val="0"/>
          <w:numId w:val="1005"/>
        </w:numPr>
        <w:pStyle w:val="Compact"/>
      </w:pPr>
      <w:r>
        <w:rPr>
          <w:rStyle w:val="VerbatimChar"/>
        </w:rPr>
        <w:t xml:space="preserve">checkpoints/variant_1/</w:t>
      </w:r>
      <w:r>
        <w:t xml:space="preserve"> </w:t>
      </w:r>
      <w:r>
        <w:t xml:space="preserve">and</w:t>
      </w:r>
      <w:r>
        <w:t xml:space="preserve"> </w:t>
      </w:r>
      <w:r>
        <w:rPr>
          <w:rStyle w:val="VerbatimChar"/>
        </w:rPr>
        <w:t xml:space="preserve">checkpoints/variant_2/</w:t>
      </w:r>
      <w:r>
        <w:t xml:space="preserve"> </w:t>
      </w:r>
      <w:r>
        <w:t xml:space="preserve">— Model checkpoints</w:t>
      </w:r>
    </w:p>
    <w:p>
      <w:pPr>
        <w:numPr>
          <w:ilvl w:val="0"/>
          <w:numId w:val="1005"/>
        </w:numPr>
        <w:pStyle w:val="Compact"/>
      </w:pPr>
      <w:r>
        <w:rPr>
          <w:rStyle w:val="VerbatimChar"/>
        </w:rPr>
        <w:t xml:space="preserve">results/train/</w:t>
      </w:r>
      <w:r>
        <w:t xml:space="preserve">,</w:t>
      </w:r>
      <w:r>
        <w:t xml:space="preserve"> </w:t>
      </w:r>
      <w:r>
        <w:rPr>
          <w:rStyle w:val="VerbatimChar"/>
        </w:rPr>
        <w:t xml:space="preserve">results/validate/</w:t>
      </w:r>
      <w:r>
        <w:t xml:space="preserve">,</w:t>
      </w:r>
      <w:r>
        <w:t xml:space="preserve"> </w:t>
      </w:r>
      <w:r>
        <w:rPr>
          <w:rStyle w:val="VerbatimChar"/>
        </w:rPr>
        <w:t xml:space="preserve">results/test/</w:t>
      </w:r>
      <w:r>
        <w:t xml:space="preserve"> </w:t>
      </w:r>
      <w:r>
        <w:t xml:space="preserve">— Prediction artifacts (</w:t>
      </w:r>
      <w:r>
        <w:rPr>
          <w:rStyle w:val="VerbatimChar"/>
        </w:rPr>
        <w:t xml:space="preserve">.npz</w:t>
      </w:r>
      <w:r>
        <w:t xml:space="preserve"> </w:t>
      </w:r>
      <w:r>
        <w:t xml:space="preserve">files, gate reports)</w:t>
      </w:r>
    </w:p>
    <w:p>
      <w:pPr>
        <w:pStyle w:val="FirstParagraph"/>
      </w:pPr>
      <w:r>
        <w:rPr>
          <w:bCs/>
          <w:b/>
        </w:rPr>
        <w:t xml:space="preserve">Lightweight dashboard payloads</w:t>
      </w:r>
      <w:r>
        <w:t xml:space="preserve"> </w:t>
      </w:r>
      <w:r>
        <w:t xml:space="preserve">are stored within the project repository at</w:t>
      </w:r>
      <w:r>
        <w:t xml:space="preserve"> </w:t>
      </w:r>
      <w:r>
        <w:rPr>
          <w:rStyle w:val="VerbatimChar"/>
        </w:rPr>
        <w:t xml:space="preserve">stats/results/runs/</w:t>
      </w:r>
      <w:r>
        <w:t xml:space="preserve"> </w:t>
      </w:r>
      <w:r>
        <w:t xml:space="preserve">for version control and easy access by the Streamlit dashboard:</w:t>
      </w:r>
    </w:p>
    <w:p>
      <w:pPr>
        <w:numPr>
          <w:ilvl w:val="0"/>
          <w:numId w:val="1006"/>
        </w:numPr>
        <w:pStyle w:val="Compact"/>
      </w:pPr>
      <w:r>
        <w:rPr>
          <w:rStyle w:val="VerbatimChar"/>
        </w:rPr>
        <w:t xml:space="preserve">runs/train/&lt;run_id&gt;.json</w:t>
      </w:r>
      <w:r>
        <w:t xml:space="preserve"> </w:t>
      </w:r>
      <w:r>
        <w:t xml:space="preserve">— Training run metrics</w:t>
      </w:r>
    </w:p>
    <w:p>
      <w:pPr>
        <w:numPr>
          <w:ilvl w:val="0"/>
          <w:numId w:val="1006"/>
        </w:numPr>
        <w:pStyle w:val="Compact"/>
      </w:pPr>
      <w:r>
        <w:rPr>
          <w:rStyle w:val="VerbatimChar"/>
        </w:rPr>
        <w:t xml:space="preserve">runs/validate/&lt;run_id&gt;.json</w:t>
      </w:r>
      <w:r>
        <w:t xml:space="preserve"> </w:t>
      </w:r>
      <w:r>
        <w:t xml:space="preserve">— Validation run metrics</w:t>
      </w:r>
    </w:p>
    <w:p>
      <w:pPr>
        <w:numPr>
          <w:ilvl w:val="0"/>
          <w:numId w:val="1006"/>
        </w:numPr>
        <w:pStyle w:val="Compact"/>
      </w:pPr>
      <w:r>
        <w:rPr>
          <w:rStyle w:val="VerbatimChar"/>
        </w:rPr>
        <w:t xml:space="preserve">runs/test/&lt;run_id&gt;.json</w:t>
      </w:r>
      <w:r>
        <w:t xml:space="preserve"> </w:t>
      </w:r>
      <w:r>
        <w:t xml:space="preserve">— Test run metrics</w:t>
      </w:r>
    </w:p>
    <w:p>
      <w:pPr>
        <w:numPr>
          <w:ilvl w:val="0"/>
          <w:numId w:val="1006"/>
        </w:numPr>
        <w:pStyle w:val="Compact"/>
      </w:pPr>
      <w:r>
        <w:rPr>
          <w:rStyle w:val="VerbatimChar"/>
        </w:rPr>
        <w:t xml:space="preserve">runs/base_model_test/&lt;run_id&gt;.json</w:t>
      </w:r>
      <w:r>
        <w:t xml:space="preserve"> </w:t>
      </w:r>
      <w:r>
        <w:t xml:space="preserve">— Base model baseline metrics</w:t>
      </w:r>
    </w:p>
    <w:p>
      <w:pPr>
        <w:pStyle w:val="FirstParagraph"/>
      </w:pPr>
      <w:r>
        <w:t xml:space="preserve">This separation ensures that multi-gigabyte video and checkpoint files never enter the Git repository while still providing version-controlled access to the metrics and reports that drive decision-making.</w:t>
      </w:r>
    </w:p>
    <w:bookmarkEnd w:id="38"/>
    <w:bookmarkStart w:id="39" w:name="X28f7778104c477c547f0d0c187e21c26b3ed359"/>
    <w:p>
      <w:pPr>
        <w:pStyle w:val="Heading3"/>
      </w:pPr>
      <w:r>
        <w:t xml:space="preserve">3.5 Operational Context and Design Constraints</w:t>
      </w:r>
    </w:p>
    <w:p>
      <w:pPr>
        <w:pStyle w:val="FirstParagraph"/>
      </w:pPr>
      <w:r>
        <w:t xml:space="preserve">Several operational constraints shaped the system architecture:</w:t>
      </w:r>
    </w:p>
    <w:p>
      <w:pPr>
        <w:numPr>
          <w:ilvl w:val="0"/>
          <w:numId w:val="1007"/>
        </w:numPr>
      </w:pPr>
      <w:r>
        <w:rPr>
          <w:bCs/>
          <w:b/>
        </w:rPr>
        <w:t xml:space="preserve">Privacy mandate:</w:t>
      </w:r>
      <w:r>
        <w:t xml:space="preserve"> </w:t>
      </w:r>
      <w:r>
        <w:t xml:space="preserve">No raw video may leave the local network. This eliminates cloud inference services and requires all ML computation to occur on-premise.</w:t>
      </w:r>
    </w:p>
    <w:p>
      <w:pPr>
        <w:numPr>
          <w:ilvl w:val="0"/>
          <w:numId w:val="1007"/>
        </w:numPr>
      </w:pPr>
      <w:r>
        <w:rPr>
          <w:bCs/>
          <w:b/>
        </w:rPr>
        <w:t xml:space="preserve">Real-time requirement:</w:t>
      </w:r>
      <w:r>
        <w:t xml:space="preserve"> </w:t>
      </w:r>
      <w:r>
        <w:t xml:space="preserve">The robot must respond to emotional cues within human-perceptible latency bounds. The target is p50 latency ≤ 120 ms, with inference running at ≥ 25 FPS.</w:t>
      </w:r>
    </w:p>
    <w:p>
      <w:pPr>
        <w:numPr>
          <w:ilvl w:val="0"/>
          <w:numId w:val="1007"/>
        </w:numPr>
      </w:pPr>
      <w:r>
        <w:rPr>
          <w:bCs/>
          <w:b/>
        </w:rPr>
        <w:t xml:space="preserve">Resource budget:</w:t>
      </w:r>
      <w:r>
        <w:t xml:space="preserve"> </w:t>
      </w:r>
      <w:r>
        <w:t xml:space="preserve">The Jetson Xavier NX has 8 GB of shared GPU/CPU memory. The emotion inference engine must operate within a 2.5 GB GPU memory budget to leave headroom for the robot’s other processes (SLAM, motor control, audio processing).</w:t>
      </w:r>
    </w:p>
    <w:p>
      <w:pPr>
        <w:numPr>
          <w:ilvl w:val="0"/>
          <w:numId w:val="1007"/>
        </w:numPr>
      </w:pPr>
      <w:r>
        <w:rPr>
          <w:bCs/>
          <w:b/>
        </w:rPr>
        <w:t xml:space="preserve">Reproducibility:</w:t>
      </w:r>
      <w:r>
        <w:t xml:space="preserve"> </w:t>
      </w:r>
      <w:r>
        <w:t xml:space="preserve">Every training run, evaluation, and deployment must be fully traceable — from training data hash to model checkpoint to deployment configuration — enabling rollback to any prior state.</w:t>
      </w:r>
    </w:p>
    <w:p>
      <w:pPr>
        <w:numPr>
          <w:ilvl w:val="0"/>
          <w:numId w:val="1007"/>
        </w:numPr>
      </w:pPr>
      <w:r>
        <w:rPr>
          <w:bCs/>
          <w:b/>
        </w:rPr>
        <w:t xml:space="preserve">Human-in-the-loop:</w:t>
      </w:r>
      <w:r>
        <w:t xml:space="preserve"> </w:t>
      </w:r>
      <w:r>
        <w:t xml:space="preserve">The system supports human review of training data (labeling, promotion, rejection) and deployment decisions (gate approval, rollback authorization), ensuring that no model is deployed without explicit validation.</w:t>
      </w:r>
    </w:p>
    <w:p>
      <w:r>
        <w:pict>
          <v:rect style="width:0;height:1.5pt" o:hralign="center" o:hrstd="t" o:hr="t"/>
        </w:pict>
      </w:r>
    </w:p>
    <w:bookmarkEnd w:id="39"/>
    <w:bookmarkEnd w:id="40"/>
    <w:bookmarkStart w:id="47" w:name="chapter-4-related-work"/>
    <w:p>
      <w:pPr>
        <w:pStyle w:val="Heading2"/>
      </w:pPr>
      <w:r>
        <w:t xml:space="preserve">Chapter 4: Related Work</w:t>
      </w:r>
    </w:p>
    <w:bookmarkStart w:id="41" w:name="emotion-recognition-in-social-robotics"/>
    <w:p>
      <w:pPr>
        <w:pStyle w:val="Heading3"/>
      </w:pPr>
      <w:r>
        <w:t xml:space="preserve">4.1 Emotion Recognition in Social Robotics</w:t>
      </w:r>
    </w:p>
    <w:p>
      <w:pPr>
        <w:pStyle w:val="FirstParagraph"/>
      </w:pPr>
      <w:r>
        <w:t xml:space="preserve">The integration of emotion recognition into social robots has been explored across several platforms and application domains. Breazeal’s Kismet (2003) was among the first robots to use facial expression analysis for affective interaction, employing a simple feature-based approach to detect six basic emotions and modulate the robot’s own facial expressions accordingly. More recently, SoftBank’s Pepper robot incorporated a commercial emotion recognition module based on deep learning, though its accuracy and cross-cultural reliability have been subjects of criticism (Cavallo et al., 2018).</w:t>
      </w:r>
    </w:p>
    <w:p>
      <w:pPr>
        <w:pStyle w:val="BodyText"/>
      </w:pPr>
      <w:r>
        <w:t xml:space="preserve">Churamani et al. (2020) demonstrated continual learning for emotion recognition on the iCub robot, using incremental updates to adapt to individual users’ expression patterns over time. Their work highlights the importance of personalization in social robotics FER, but relies on cloud-based compute for model updates — a design choice incompatible with privacy-first architectures. Spezialetti et al. (2020) surveyed emotion recognition approaches in human-robot interaction, identifying real-time performance, robustness to environmental variation, and ethical data handling as the three primary open challenges — all of which the present work addresses.</w:t>
      </w:r>
    </w:p>
    <w:p>
      <w:pPr>
        <w:pStyle w:val="BodyText"/>
      </w:pPr>
      <w:r>
        <w:t xml:space="preserve">A distinguishing feature of our approach compared to prior social robotics FER systems is the explicit treatment of</w:t>
      </w:r>
      <w:r>
        <w:t xml:space="preserve"> </w:t>
      </w:r>
      <w:r>
        <w:rPr>
          <w:iCs/>
          <w:i/>
        </w:rPr>
        <w:t xml:space="preserve">error asymmetry</w:t>
      </w:r>
      <w:r>
        <w:t xml:space="preserve">: we do not merely optimize for aggregate accuracy but analyze the downstream behavioral consequences of specific misclassification patterns. This perspective — that a robot which over-diagnoses sadness creates worse user experiences than one which under-detects happiness — drives both the statistical analysis methodology and the deployment decision.</w:t>
      </w:r>
    </w:p>
    <w:bookmarkEnd w:id="41"/>
    <w:bookmarkStart w:id="42" w:name="X8988653dd28ab0e290b4f32bc57fa2f845c8e98"/>
    <w:p>
      <w:pPr>
        <w:pStyle w:val="Heading3"/>
      </w:pPr>
      <w:r>
        <w:t xml:space="preserve">4.2 EfficientNet and Lightweight Architectures for Edge Deployment</w:t>
      </w:r>
    </w:p>
    <w:p>
      <w:pPr>
        <w:pStyle w:val="FirstParagraph"/>
      </w:pPr>
      <w:r>
        <w:t xml:space="preserve">EfficientNet (Tan &amp; Le, 2019) introduced compound scaling — jointly optimizing network depth, width, and input resolution — to achieve superior accuracy-efficiency trade-offs compared to prior architectures. EfficientNet-B0, the baseline variant, achieves 77.1% top-1 accuracy on ImageNet with only 5.3 million parameters, making it well-suited for edge deployment on resource-constrained devices like the Jetson Xavier NX.</w:t>
      </w:r>
    </w:p>
    <w:p>
      <w:pPr>
        <w:pStyle w:val="BodyText"/>
      </w:pPr>
      <w:r>
        <w:t xml:space="preserve">For FER specifically, Savchenko (2021, 2022) demonstrated that EfficientNet-B0 pre-trained on VGGFace2 and fine-tuned on AffectNet (the HSEmotion framework) achieves state-of-the-art results on multiple FER benchmarks while maintaining the compact architecture needed for mobile and edge deployment. The</w:t>
      </w:r>
      <w:r>
        <w:t xml:space="preserve"> </w:t>
      </w:r>
      <w:r>
        <w:rPr>
          <w:rStyle w:val="VerbatimChar"/>
        </w:rPr>
        <w:t xml:space="preserve">enet_b0_8_best_vgaf</w:t>
      </w:r>
      <w:r>
        <w:t xml:space="preserve"> </w:t>
      </w:r>
      <w:r>
        <w:t xml:space="preserve">checkpoint used in our work was trained on approximately 3.3 million face images across 8 Ekman emotion classes, providing a rich face-specific feature representation as the starting point for transfer learning.</w:t>
      </w:r>
    </w:p>
    <w:p>
      <w:pPr>
        <w:pStyle w:val="BodyText"/>
      </w:pPr>
      <w:r>
        <w:t xml:space="preserve">Alternative lightweight architectures considered for this project include MobileNetV3 (Howard et al., 2019), which offers marginally lower latency but weaker feature representations for FER tasks, and ShuffleNetV2 (Ma et al., 2018), which prioritizes inference speed over representational capacity. EfficientNet-B0 was selected because the HSEmotion pre-training provides face-specific features that would need to be learned from scratch with architectures lacking equivalent pre-trained checkpoints.</w:t>
      </w:r>
    </w:p>
    <w:bookmarkEnd w:id="42"/>
    <w:bookmarkStart w:id="43" w:name="X3bc7b0d843475511a3cac3f0196157c0171375c"/>
    <w:p>
      <w:pPr>
        <w:pStyle w:val="Heading3"/>
      </w:pPr>
      <w:r>
        <w:t xml:space="preserve">4.3 Synthetic Data for Training Emotion Classifiers</w:t>
      </w:r>
    </w:p>
    <w:p>
      <w:pPr>
        <w:pStyle w:val="FirstParagraph"/>
      </w:pPr>
      <w:r>
        <w:t xml:space="preserve">The use of synthetic data for training computer vision models has gained traction as generative models have improved in fidelity. Varol et al. (2017) demonstrated that synthetic body pose data could train models that generalize to real images, while Wood et al. (2021) showed that synthetically rendered faces could be used for face recognition training. In the FER domain, Kollias and Zafeiriou (2020) explored data augmentation with GAN-generated facial expressions, finding that synthetic augmentation improved classification performance when combined with real training data.</w:t>
      </w:r>
    </w:p>
    <w:p>
      <w:pPr>
        <w:pStyle w:val="BodyText"/>
      </w:pPr>
      <w:r>
        <w:t xml:space="preserve">Our work differs from these approaches in a critical respect: we train</w:t>
      </w:r>
      <w:r>
        <w:t xml:space="preserve"> </w:t>
      </w:r>
      <w:r>
        <w:rPr>
          <w:iCs/>
          <w:i/>
        </w:rPr>
        <w:t xml:space="preserve">exclusively</w:t>
      </w:r>
      <w:r>
        <w:t xml:space="preserve"> </w:t>
      </w:r>
      <w:r>
        <w:t xml:space="preserve">on AI-generated synthetic face videos (produced by the Luma generative model), with no real photographs in the training or validation sets. Real-world data appears only at test time (894 AffectNet images). This extreme synthetic-only training regime makes the generalization gap analysis (Chapter 7) particularly informative — it measures the raw capability of modern generative models to serve as the sole training data source for production FER systems.</w:t>
      </w:r>
    </w:p>
    <w:p>
      <w:pPr>
        <w:pStyle w:val="BodyText"/>
      </w:pPr>
      <w:r>
        <w:t xml:space="preserve">The face cropping preprocessing step proved decisive for synthetic-to-real transfer. In run_0104 (without face cropping), full-scene synthetic frames yielded test F1 = 0.43. In run_0107 (with face cropping enabled), the same models achieved test F1 = 0.78 — a near-doubling of performance. This result suggests that synthetic face generators introduce systematic background artifacts that are absent in real photographs; removing the background via face detection eliminates this domain-specific confound.</w:t>
      </w:r>
    </w:p>
    <w:bookmarkEnd w:id="43"/>
    <w:bookmarkStart w:id="44" w:name="Xea22172f851c4ea41c83e10588e9b4a4eef626d"/>
    <w:p>
      <w:pPr>
        <w:pStyle w:val="Heading3"/>
      </w:pPr>
      <w:r>
        <w:t xml:space="preserve">4.4 Model Calibration in Safety-Critical Applications</w:t>
      </w:r>
    </w:p>
    <w:p>
      <w:pPr>
        <w:pStyle w:val="FirstParagraph"/>
      </w:pPr>
      <w:r>
        <w:t xml:space="preserve">Guo et al. (2017) demonstrated that modern deep neural networks are systematically overconfident — their predicted probabilities are higher than their actual accuracy warrants. This miscalibration is particularly problematic in applications where confidence scores drive downstream decisions, such as autonomous driving (Michelmore et al., 2018), medical diagnosis (Jiang et al., 2012), and, as in our case, robot behavior selection.</w:t>
      </w:r>
    </w:p>
    <w:p>
      <w:pPr>
        <w:pStyle w:val="BodyText"/>
      </w:pPr>
      <w:r>
        <w:t xml:space="preserve">Temperature scaling (Guo et al., 2017) is the standard post-hoc calibration technique: a single scalar parameter</w:t>
      </w:r>
      <w:r>
        <w:t xml:space="preserve"> </w:t>
      </w:r>
      <m:oMath>
        <m:r>
          <m:t>T</m:t>
        </m:r>
      </m:oMath>
      <w:r>
        <w:t xml:space="preserve"> </w:t>
      </w:r>
      <w:r>
        <w:t xml:space="preserve">is learned on a held-out validation set to rescale logits before softmax, reducing overconfidence without affecting classification accuracy. Platt scaling (Platt, 1999) and isotonic regression (Zadrozny &amp; Elkan, 2002) offer alternatives with different bias-variance trade-offs.</w:t>
      </w:r>
    </w:p>
    <w:p>
      <w:pPr>
        <w:pStyle w:val="BodyText"/>
      </w:pPr>
      <w:r>
        <w:t xml:space="preserve">Our system currently achieves ECE of 0.102 (V1) and 0.096 (V2) on real-world test data — both within the 0.12 deployment threshold but with room for improvement. Temperature scaling is identified as the highest-priority post-deployment enhancement (Chapter 9), with the potential to reduce ECE to approximately 0.06 at zero accuracy cost.</w:t>
      </w:r>
    </w:p>
    <w:bookmarkEnd w:id="44"/>
    <w:bookmarkStart w:id="45" w:name="X872110a570606135a959ec219be78093c78b2a4"/>
    <w:p>
      <w:pPr>
        <w:pStyle w:val="Heading3"/>
      </w:pPr>
      <w:r>
        <w:t xml:space="preserve">4.5 Quality Gates and MLOps for Model Deployment</w:t>
      </w:r>
    </w:p>
    <w:p>
      <w:pPr>
        <w:pStyle w:val="FirstParagraph"/>
      </w:pPr>
      <w:r>
        <w:t xml:space="preserve">The concept of automated quality gates for model deployment draws from both software engineering (continuous integration/continuous deployment) and the emerging MLOps discipline. Google’s TFX framework (Baylor et al., 2017) introduced the concept of model validation as a pipeline stage, where a model must pass predefined metric thresholds before being promoted to serving. Netflix’s Metaflow (Tuulos et al., 2019) and MLflow (Zaharia et al., 2018) provide experiment tracking and model versioning infrastructure.</w:t>
      </w:r>
    </w:p>
    <w:p>
      <w:pPr>
        <w:pStyle w:val="BodyText"/>
      </w:pPr>
      <w:r>
        <w:t xml:space="preserve">Our Gate A architecture extends these concepts with two innovations. First, the two-tier structure (Gate A-val for synthetic validation, Gate A-deploy for real-world test) explicitly acknowledges domain shift as a permanent feature of the training pipeline rather than a bug to be eliminated. Second, the gates include</w:t>
      </w:r>
      <w:r>
        <w:t xml:space="preserve"> </w:t>
      </w:r>
      <w:r>
        <w:rPr>
          <w:iCs/>
          <w:i/>
        </w:rPr>
        <w:t xml:space="preserve">per-class</w:t>
      </w:r>
      <w:r>
        <w:t xml:space="preserve"> </w:t>
      </w:r>
      <w:r>
        <w:t xml:space="preserve">F1 thresholds in addition to aggregate metrics, preventing the deployment of models that achieve high overall accuracy by excelling on the majority class while neglecting minorities — a failure mode that standard MLOps pipelines do not guard against.</w:t>
      </w:r>
    </w:p>
    <w:bookmarkEnd w:id="45"/>
    <w:bookmarkStart w:id="46" w:name="X568ce52f06f553c122928fb2af058f08e28f48a"/>
    <w:p>
      <w:pPr>
        <w:pStyle w:val="Heading3"/>
      </w:pPr>
      <w:r>
        <w:t xml:space="preserve">4.6 Orchestration and Agent-Based ML Pipelines</w:t>
      </w:r>
    </w:p>
    <w:p>
      <w:pPr>
        <w:pStyle w:val="FirstParagraph"/>
      </w:pPr>
      <w:r>
        <w:t xml:space="preserve">Multi-agent systems for ML pipeline orchestration have been explored in both academic and industrial settings. Kubeflow Pipelines (Google, 2019) and Apache Airflow (Apache Foundation, 2015) provide DAG-based workflow orchestration for ML workloads. More recently, agent-based approaches have emerged where autonomous agents manage specific stages of the ML lifecycle, communicating through events and shared state (Weng et al., 2023).</w:t>
      </w:r>
    </w:p>
    <w:p>
      <w:pPr>
        <w:pStyle w:val="BodyText"/>
      </w:pPr>
      <w:r>
        <w:t xml:space="preserve">Our 10-agent n8n-based system represents a practical middle ground between monolithic pipeline scripts and fully autonomous agent swarms. Each agent has a clearly defined responsibility (ingestion, labeling, promotion, reconciliation, training, evaluation, deployment, privacy, observability, gesture execution), operates within explicit safety constraints, and communicates through PostgreSQL state and n8n workflow triggers. The system is designed for auditability — every agent action is logged with timestamps, checksums, and correlation IDs — and for human override — any agent’s automated decision can be intercepted and modified by a human operator.</w:t>
      </w:r>
    </w:p>
    <w:p>
      <w:r>
        <w:pict>
          <v:rect style="width:0;height:1.5pt" o:hralign="center" o:hrstd="t" o:hr="t"/>
        </w:pict>
      </w:r>
    </w:p>
    <w:bookmarkEnd w:id="46"/>
    <w:bookmarkEnd w:id="47"/>
    <w:bookmarkStart w:id="72" w:name="X67aea034c4684b8fe09faf234a1dd4325aa9451"/>
    <w:p>
      <w:pPr>
        <w:pStyle w:val="Heading2"/>
      </w:pPr>
      <w:r>
        <w:t xml:space="preserve">Chapter 5: System Architecture and Methodology</w:t>
      </w:r>
    </w:p>
    <w:bookmarkStart w:id="48" w:name="overall-architecture"/>
    <w:p>
      <w:pPr>
        <w:pStyle w:val="Heading3"/>
      </w:pPr>
      <w:r>
        <w:t xml:space="preserve">5.1 Overall Architecture</w:t>
      </w:r>
    </w:p>
    <w:p>
      <w:pPr>
        <w:pStyle w:val="FirstParagraph"/>
      </w:pPr>
      <w:r>
        <w:t xml:space="preserve">The Reachy Emotion Classification System follows a three-tier architecture spanning data management, model lifecycle, and real-time inference. The tiers map to the three hardware nodes described in Chapter 3, with clear API boundaries between them.</w:t>
      </w:r>
    </w:p>
    <w:p>
      <w:pPr>
        <w:pStyle w:val="BodyText"/>
      </w:pPr>
      <w:r>
        <w:rPr>
          <w:bCs/>
          <w:b/>
        </w:rPr>
        <w:t xml:space="preserve">Tier 1 — Data Management and Training (Ubuntu 1):</w:t>
      </w:r>
      <w:r>
        <w:t xml:space="preserve"> </w:t>
      </w:r>
      <w:r>
        <w:t xml:space="preserve">Hosts the FastAPI-based Media Mover service, PostgreSQL database, MLflow experiment server, and PyTorch training environment. This tier handles video ingestion, metadata extraction, thumbnail generation, dataset curation, model training, and evaluation. All GPU-intensive computation occurs here.</w:t>
      </w:r>
    </w:p>
    <w:p>
      <w:pPr>
        <w:pStyle w:val="BodyText"/>
      </w:pPr>
      <w:r>
        <w:rPr>
          <w:bCs/>
          <w:b/>
        </w:rPr>
        <w:t xml:space="preserve">Tier 2 — User Interface and Monitoring (Ubuntu 2):</w:t>
      </w:r>
      <w:r>
        <w:t xml:space="preserve"> </w:t>
      </w:r>
      <w:r>
        <w:t xml:space="preserve">Hosts the Streamlit web application behind an Nginx reverse proxy with HTTPS termination. The UI provides pages for video browsing, labeling, promotion approval, training dashboard, evaluation results, model comparison, and fine-tuning configuration. This tier communicates with Tier 1 exclusively through the FastAPI REST API.</w:t>
      </w:r>
    </w:p>
    <w:p>
      <w:pPr>
        <w:pStyle w:val="BodyText"/>
      </w:pPr>
      <w:r>
        <w:rPr>
          <w:bCs/>
          <w:b/>
        </w:rPr>
        <w:t xml:space="preserve">Tier 3 — Edge Inference and Actuation (Jetson Xavier NX):</w:t>
      </w:r>
      <w:r>
        <w:t xml:space="preserve"> </w:t>
      </w:r>
      <w:r>
        <w:t xml:space="preserve">Hosts the DeepStream-based real-time inference pipeline, the emotion-to-gesture mapping system, and the gRPC client for Reachy Mini actuation. Trained models arrive as ONNX files from Tier 1, are converted to TensorRT engines on-device, and integrated into the DeepStream pipeline configuration.</w:t>
      </w:r>
    </w:p>
    <w:bookmarkEnd w:id="48"/>
    <w:bookmarkStart w:id="52" w:name="model-architecture"/>
    <w:p>
      <w:pPr>
        <w:pStyle w:val="Heading3"/>
      </w:pPr>
      <w:r>
        <w:t xml:space="preserve">5.2 Model Architecture</w:t>
      </w:r>
    </w:p>
    <w:bookmarkStart w:id="49" w:name="efficientnet-b0-backbone"/>
    <w:p>
      <w:pPr>
        <w:pStyle w:val="Heading4"/>
      </w:pPr>
      <w:r>
        <w:t xml:space="preserve">5.2.1 EfficientNet-B0 Backbone</w:t>
      </w:r>
    </w:p>
    <w:p>
      <w:pPr>
        <w:pStyle w:val="FirstParagraph"/>
      </w:pPr>
      <w:r>
        <w:t xml:space="preserve">EfficientNet-B0 (Tan &amp; Le, 2019) uses a mobile inverted bottleneck (MBConv) architecture with squeeze-and-excitation optimization. The network processes 224×224 RGB input images through seven stages of MBConv blocks with progressively increasing channel dimensions (32 → 1280), producing a 1280-dimensional feature vector after global average pooling.</w:t>
      </w:r>
    </w:p>
    <w:p>
      <w:pPr>
        <w:pStyle w:val="BodyText"/>
      </w:pPr>
      <w:r>
        <w:t xml:space="preserve">The HSEmotion pre-trained checkpoint (</w:t>
      </w:r>
      <w:r>
        <w:rPr>
          <w:rStyle w:val="VerbatimChar"/>
        </w:rPr>
        <w:t xml:space="preserve">enet_b0_8_best_vgaf</w:t>
      </w:r>
      <w:r>
        <w:t xml:space="preserve">) was trained in two stages: first on VGGFace2 for face recognition (~3.3M images, 9,131 identities), then fine-tuned on AffectNet for 8-class emotion classification (~450K labeled face images). This two-stage pre-training produces a backbone that encodes both identity-invariant facial geometry and expression-specific features — a substantially stronger starting point for FER transfer learning than ImageNet pre-training.</w:t>
      </w:r>
    </w:p>
    <w:bookmarkEnd w:id="49"/>
    <w:bookmarkStart w:id="50" w:name="classification-head"/>
    <w:p>
      <w:pPr>
        <w:pStyle w:val="Heading4"/>
      </w:pPr>
      <w:r>
        <w:t xml:space="preserve">5.2.2 Classification Head</w:t>
      </w:r>
    </w:p>
    <w:p>
      <w:pPr>
        <w:pStyle w:val="FirstParagraph"/>
      </w:pPr>
      <w:r>
        <w:t xml:space="preserve">The original 8-class classification head from HSEmotion is replaced with a new 3-class head designed for the project’s emotion taxonomy (happy, sad, neutral):</w:t>
      </w:r>
    </w:p>
    <w:p>
      <w:pPr>
        <w:pStyle w:val="SourceCode"/>
      </w:pPr>
      <w:r>
        <w:rPr>
          <w:rStyle w:val="VerbatimChar"/>
        </w:rPr>
        <w:t xml:space="preserve">ClassificationHead(</w:t>
      </w:r>
      <w:r>
        <w:br/>
      </w:r>
      <w:r>
        <w:rPr>
          <w:rStyle w:val="VerbatimChar"/>
        </w:rPr>
        <w:t xml:space="preserve">    Dropout(p=0.3)</w:t>
      </w:r>
      <w:r>
        <w:br/>
      </w:r>
      <w:r>
        <w:rPr>
          <w:rStyle w:val="VerbatimChar"/>
        </w:rPr>
        <w:t xml:space="preserve">    Linear(1280 → 3)</w:t>
      </w:r>
      <w:r>
        <w:br/>
      </w:r>
      <w:r>
        <w:rPr>
          <w:rStyle w:val="VerbatimChar"/>
        </w:rPr>
        <w:t xml:space="preserve">)</w:t>
      </w:r>
    </w:p>
    <w:p>
      <w:pPr>
        <w:pStyle w:val="FirstParagraph"/>
      </w:pPr>
      <w:r>
        <w:t xml:space="preserve">This head contains approximately 3,843 trainable parameters (1280 × 3 weights + 3 biases). The dropout layer provides regularization during training to prevent overfitting on the relatively small synthetic dataset.</w:t>
      </w:r>
    </w:p>
    <w:bookmarkEnd w:id="50"/>
    <w:bookmarkStart w:id="51" w:name="model-variants"/>
    <w:p>
      <w:pPr>
        <w:pStyle w:val="Heading4"/>
      </w:pPr>
      <w:r>
        <w:t xml:space="preserve">5.2.3 Model Variants</w:t>
      </w:r>
    </w:p>
    <w:p>
      <w:pPr>
        <w:pStyle w:val="FirstParagraph"/>
      </w:pPr>
      <w:r>
        <w:rPr>
          <w:bCs/>
          <w:b/>
        </w:rPr>
        <w:t xml:space="preserve">Table 5. Variant 1 vs. Variant 2 architectural comparison.</w:t>
      </w:r>
    </w:p>
    <w:tbl>
      <w:tblPr>
        <w:tblStyle w:val="Table"/>
        <w:tblW w:type="pct" w:w="5000"/>
        <w:tblLook w:firstRow="1" w:lastRow="0" w:firstColumn="0" w:lastColumn="0" w:noHBand="0" w:noVBand="0" w:val="0020"/>
        <w:jc w:val="start"/>
      </w:tblPr>
      <w:tblGrid>
        <w:gridCol w:w="1552"/>
        <w:gridCol w:w="2950"/>
        <w:gridCol w:w="3416"/>
      </w:tblGrid>
      <w:tr>
        <w:trPr>
          <w:tblHeader w:val="true"/>
        </w:trPr>
        <w:tc>
          <w:tcPr/>
          <w:p>
            <w:pPr>
              <w:pStyle w:val="Compact"/>
              <w:jc w:val="left"/>
            </w:pPr>
            <w:r>
              <w:t xml:space="preserve">Property</w:t>
            </w:r>
          </w:p>
        </w:tc>
        <w:tc>
          <w:tcPr/>
          <w:p>
            <w:pPr>
              <w:pStyle w:val="Compact"/>
              <w:jc w:val="left"/>
            </w:pPr>
            <w:r>
              <w:t xml:space="preserve">Variant 1 (Frozen)</w:t>
            </w:r>
          </w:p>
        </w:tc>
        <w:tc>
          <w:tcPr/>
          <w:p>
            <w:pPr>
              <w:pStyle w:val="Compact"/>
              <w:jc w:val="left"/>
            </w:pPr>
            <w:r>
              <w:t xml:space="preserve">Variant 2 (Fine-Tuned)</w:t>
            </w:r>
          </w:p>
        </w:tc>
      </w:tr>
      <w:tr>
        <w:tc>
          <w:tcPr/>
          <w:p>
            <w:pPr>
              <w:pStyle w:val="Compact"/>
              <w:jc w:val="left"/>
            </w:pPr>
            <w:r>
              <w:rPr>
                <w:bCs/>
                <w:b/>
              </w:rPr>
              <w:t xml:space="preserve">Backbone state</w:t>
            </w:r>
          </w:p>
        </w:tc>
        <w:tc>
          <w:tcPr/>
          <w:p>
            <w:pPr>
              <w:pStyle w:val="Compact"/>
              <w:jc w:val="left"/>
            </w:pPr>
            <w:r>
              <w:t xml:space="preserve">Completely frozen</w:t>
            </w:r>
          </w:p>
        </w:tc>
        <w:tc>
          <w:tcPr/>
          <w:p>
            <w:pPr>
              <w:pStyle w:val="Compact"/>
              <w:jc w:val="left"/>
            </w:pPr>
            <w:r>
              <w:t xml:space="preserve">blocks.5, blocks.6, conv_head unfrozen</w:t>
            </w:r>
          </w:p>
        </w:tc>
      </w:tr>
      <w:tr>
        <w:tc>
          <w:tcPr/>
          <w:p>
            <w:pPr>
              <w:pStyle w:val="Compact"/>
              <w:jc w:val="left"/>
            </w:pPr>
            <w:r>
              <w:rPr>
                <w:bCs/>
                <w:b/>
              </w:rPr>
              <w:t xml:space="preserve">Trainable parameters</w:t>
            </w:r>
          </w:p>
        </w:tc>
        <w:tc>
          <w:tcPr/>
          <w:p>
            <w:pPr>
              <w:pStyle w:val="Compact"/>
              <w:jc w:val="left"/>
            </w:pPr>
            <w:r>
              <w:t xml:space="preserve">~4,000 (head only)</w:t>
            </w:r>
          </w:p>
        </w:tc>
        <w:tc>
          <w:tcPr/>
          <w:p>
            <w:pPr>
              <w:pStyle w:val="Compact"/>
              <w:jc w:val="left"/>
            </w:pPr>
            <w:r>
              <w:t xml:space="preserve">~500,000 (head + backbone layers)</w:t>
            </w:r>
          </w:p>
        </w:tc>
      </w:tr>
      <w:tr>
        <w:tc>
          <w:tcPr/>
          <w:p>
            <w:pPr>
              <w:pStyle w:val="Compact"/>
              <w:jc w:val="left"/>
            </w:pPr>
            <w:r>
              <w:rPr>
                <w:bCs/>
                <w:b/>
              </w:rPr>
              <w:t xml:space="preserve">Training phases</w:t>
            </w:r>
          </w:p>
        </w:tc>
        <w:tc>
          <w:tcPr/>
          <w:p>
            <w:pPr>
              <w:pStyle w:val="Compact"/>
              <w:jc w:val="left"/>
            </w:pPr>
            <w:r>
              <w:t xml:space="preserve">Single phase</w:t>
            </w:r>
          </w:p>
        </w:tc>
        <w:tc>
          <w:tcPr/>
          <w:p>
            <w:pPr>
              <w:pStyle w:val="Compact"/>
              <w:jc w:val="left"/>
            </w:pPr>
            <w:r>
              <w:t xml:space="preserve">Two-phase: frozen (epochs 1-5) → selective unfreezing</w:t>
            </w:r>
          </w:p>
        </w:tc>
      </w:tr>
      <w:tr>
        <w:tc>
          <w:tcPr/>
          <w:p>
            <w:pPr>
              <w:pStyle w:val="Compact"/>
              <w:jc w:val="left"/>
            </w:pPr>
            <w:r>
              <w:rPr>
                <w:bCs/>
                <w:b/>
              </w:rPr>
              <w:t xml:space="preserve">Optimization</w:t>
            </w:r>
          </w:p>
        </w:tc>
        <w:tc>
          <w:tcPr/>
          <w:p>
            <w:pPr>
              <w:pStyle w:val="Compact"/>
              <w:jc w:val="left"/>
            </w:pPr>
            <w:r>
              <w:t xml:space="preserve">Single training run</w:t>
            </w:r>
          </w:p>
        </w:tc>
        <w:tc>
          <w:tcPr/>
          <w:p>
            <w:pPr>
              <w:pStyle w:val="Compact"/>
              <w:jc w:val="left"/>
            </w:pPr>
            <w:r>
              <w:t xml:space="preserve">90-trial automated hyperparameter sweep</w:t>
            </w:r>
          </w:p>
        </w:tc>
      </w:tr>
      <w:tr>
        <w:tc>
          <w:tcPr/>
          <w:p>
            <w:pPr>
              <w:pStyle w:val="Compact"/>
              <w:jc w:val="left"/>
            </w:pPr>
            <w:r>
              <w:rPr>
                <w:bCs/>
                <w:b/>
              </w:rPr>
              <w:t xml:space="preserve">Best learning rate</w:t>
            </w:r>
          </w:p>
        </w:tc>
        <w:tc>
          <w:tcPr/>
          <w:p>
            <w:pPr>
              <w:pStyle w:val="Compact"/>
              <w:jc w:val="left"/>
            </w:pPr>
            <w:r>
              <w:t xml:space="preserve">1e-4</w:t>
            </w:r>
          </w:p>
        </w:tc>
        <w:tc>
          <w:tcPr/>
          <w:p>
            <w:pPr>
              <w:pStyle w:val="Compact"/>
              <w:jc w:val="left"/>
            </w:pPr>
            <w:r>
              <w:t xml:space="preserve">3e-4</w:t>
            </w:r>
          </w:p>
        </w:tc>
      </w:tr>
      <w:tr>
        <w:tc>
          <w:tcPr/>
          <w:p>
            <w:pPr>
              <w:pStyle w:val="Compact"/>
              <w:jc w:val="left"/>
            </w:pPr>
            <w:r>
              <w:rPr>
                <w:bCs/>
                <w:b/>
              </w:rPr>
              <w:t xml:space="preserve">Label smoothing</w:t>
            </w:r>
          </w:p>
        </w:tc>
        <w:tc>
          <w:tcPr/>
          <w:p>
            <w:pPr>
              <w:pStyle w:val="Compact"/>
              <w:jc w:val="left"/>
            </w:pPr>
            <w:r>
              <w:t xml:space="preserve">0.15</w:t>
            </w:r>
          </w:p>
        </w:tc>
        <w:tc>
          <w:tcPr/>
          <w:p>
            <w:pPr>
              <w:pStyle w:val="Compact"/>
              <w:jc w:val="left"/>
            </w:pPr>
            <w:r>
              <w:t xml:space="preserve">0.10</w:t>
            </w:r>
          </w:p>
        </w:tc>
      </w:tr>
      <w:tr>
        <w:tc>
          <w:tcPr/>
          <w:p>
            <w:pPr>
              <w:pStyle w:val="Compact"/>
              <w:jc w:val="left"/>
            </w:pPr>
            <w:r>
              <w:rPr>
                <w:bCs/>
                <w:b/>
              </w:rPr>
              <w:t xml:space="preserve">Dropout</w:t>
            </w:r>
          </w:p>
        </w:tc>
        <w:tc>
          <w:tcPr/>
          <w:p>
            <w:pPr>
              <w:pStyle w:val="Compact"/>
              <w:jc w:val="left"/>
            </w:pPr>
            <w:r>
              <w:t xml:space="preserve">0.3</w:t>
            </w:r>
          </w:p>
        </w:tc>
        <w:tc>
          <w:tcPr/>
          <w:p>
            <w:pPr>
              <w:pStyle w:val="Compact"/>
              <w:jc w:val="left"/>
            </w:pPr>
            <w:r>
              <w:t xml:space="preserve">0.3</w:t>
            </w:r>
          </w:p>
        </w:tc>
      </w:tr>
      <w:tr>
        <w:tc>
          <w:tcPr/>
          <w:p>
            <w:pPr>
              <w:pStyle w:val="Compact"/>
              <w:jc w:val="left"/>
            </w:pPr>
            <w:r>
              <w:rPr>
                <w:bCs/>
                <w:b/>
              </w:rPr>
              <w:t xml:space="preserve">Mixup alpha</w:t>
            </w:r>
          </w:p>
        </w:tc>
        <w:tc>
          <w:tcPr/>
          <w:p>
            <w:pPr>
              <w:pStyle w:val="Compact"/>
              <w:jc w:val="left"/>
            </w:pPr>
            <w:r>
              <w:t xml:space="preserve">0.2</w:t>
            </w:r>
          </w:p>
        </w:tc>
        <w:tc>
          <w:tcPr/>
          <w:p>
            <w:pPr>
              <w:pStyle w:val="Compact"/>
              <w:jc w:val="left"/>
            </w:pPr>
            <w:r>
              <w:t xml:space="preserve">0.2</w:t>
            </w:r>
          </w:p>
        </w:tc>
      </w:tr>
      <w:tr>
        <w:tc>
          <w:tcPr/>
          <w:p>
            <w:pPr>
              <w:pStyle w:val="Compact"/>
              <w:jc w:val="left"/>
            </w:pPr>
            <w:r>
              <w:rPr>
                <w:bCs/>
                <w:b/>
              </w:rPr>
              <w:t xml:space="preserve">Training epochs</w:t>
            </w:r>
          </w:p>
        </w:tc>
        <w:tc>
          <w:tcPr/>
          <w:p>
            <w:pPr>
              <w:pStyle w:val="Compact"/>
              <w:jc w:val="left"/>
            </w:pPr>
            <w:r>
              <w:t xml:space="preserve">24 (early stopping)</w:t>
            </w:r>
          </w:p>
        </w:tc>
        <w:tc>
          <w:tcPr/>
          <w:p>
            <w:pPr>
              <w:pStyle w:val="Compact"/>
              <w:jc w:val="left"/>
            </w:pPr>
            <w:r>
              <w:t xml:space="preserve">5 frozen + variable unfrozen</w:t>
            </w:r>
          </w:p>
        </w:tc>
      </w:tr>
      <w:tr>
        <w:tc>
          <w:tcPr/>
          <w:p>
            <w:pPr>
              <w:pStyle w:val="Compact"/>
              <w:jc w:val="left"/>
            </w:pPr>
            <w:r>
              <w:rPr>
                <w:bCs/>
                <w:b/>
              </w:rPr>
              <w:t xml:space="preserve">GPU time</w:t>
            </w:r>
          </w:p>
        </w:tc>
        <w:tc>
          <w:tcPr/>
          <w:p>
            <w:pPr>
              <w:pStyle w:val="Compact"/>
              <w:jc w:val="left"/>
            </w:pPr>
            <w:r>
              <w:t xml:space="preserve">~2 hours</w:t>
            </w:r>
          </w:p>
        </w:tc>
        <w:tc>
          <w:tcPr/>
          <w:p>
            <w:pPr>
              <w:pStyle w:val="Compact"/>
              <w:jc w:val="left"/>
            </w:pPr>
            <w:r>
              <w:t xml:space="preserve">~26 hours (sweep)</w:t>
            </w:r>
          </w:p>
        </w:tc>
      </w:tr>
    </w:tbl>
    <w:p>
      <w:pPr>
        <w:pStyle w:val="BodyText"/>
      </w:pPr>
      <w:r>
        <w:t xml:space="preserve">Variant 1 trains only the classification head while preserving the pre-trained backbone features entirely. This strategy bets that the VGGFace2+AffectNet features are sufficiently general to support 3-class classification without adaptation.</w:t>
      </w:r>
    </w:p>
    <w:p>
      <w:pPr>
        <w:pStyle w:val="BodyText"/>
      </w:pPr>
      <w:r>
        <w:t xml:space="preserve">Variant 2 starts from the Variant 1 checkpoint and selectively unfreezes the final convolutional blocks (blocks.5, blocks.6, and conv_head), allowing approximately 500,000 additional parameters to be updated with a reduced learning rate (1/10 of the head learning rate). This differential learning rate strategy follows established best practices for fine-tuning pre-trained networks (Howard &amp; Ruder, 2018). The selective unfreezing targets layers that encode increasingly abstract and task-specific features while preserving the lower layers that encode generalizable visual primitives.</w:t>
      </w:r>
    </w:p>
    <w:bookmarkEnd w:id="51"/>
    <w:bookmarkEnd w:id="52"/>
    <w:bookmarkStart w:id="57" w:name="training-methodology"/>
    <w:p>
      <w:pPr>
        <w:pStyle w:val="Heading3"/>
      </w:pPr>
      <w:r>
        <w:t xml:space="preserve">5.3 Training Methodology</w:t>
      </w:r>
    </w:p>
    <w:bookmarkStart w:id="53" w:name="training-data"/>
    <w:p>
      <w:pPr>
        <w:pStyle w:val="Heading4"/>
      </w:pPr>
      <w:r>
        <w:t xml:space="preserve">5.3.1 Training Data</w:t>
      </w:r>
    </w:p>
    <w:p>
      <w:pPr>
        <w:pStyle w:val="FirstParagraph"/>
      </w:pPr>
      <w:r>
        <w:rPr>
          <w:bCs/>
          <w:b/>
        </w:rPr>
        <w:t xml:space="preserve">Table 3. Training data composition by emotion class.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Happy</w:t>
            </w:r>
          </w:p>
        </w:tc>
        <w:tc>
          <w:tcPr/>
          <w:p>
            <w:pPr>
              <w:pStyle w:val="Compact"/>
              <w:jc w:val="left"/>
            </w:pPr>
            <w:r>
              <w:t xml:space="preserve">Sad</w:t>
            </w:r>
          </w:p>
        </w:tc>
        <w:tc>
          <w:tcPr/>
          <w:p>
            <w:pPr>
              <w:pStyle w:val="Compact"/>
              <w:jc w:val="left"/>
            </w:pPr>
            <w:r>
              <w:t xml:space="preserve">Neutral</w:t>
            </w:r>
          </w:p>
        </w:tc>
        <w:tc>
          <w:tcPr/>
          <w:p>
            <w:pPr>
              <w:pStyle w:val="Compact"/>
              <w:jc w:val="left"/>
            </w:pPr>
            <w:r>
              <w:t xml:space="preserve">Total</w:t>
            </w:r>
          </w:p>
        </w:tc>
      </w:tr>
      <w:tr>
        <w:tc>
          <w:tcPr/>
          <w:p>
            <w:pPr>
              <w:pStyle w:val="Compact"/>
              <w:jc w:val="left"/>
            </w:pPr>
            <w:r>
              <w:rPr>
                <w:bCs/>
                <w:b/>
              </w:rPr>
              <w:t xml:space="preserve">Source videos</w:t>
            </w:r>
          </w:p>
        </w:tc>
        <w:tc>
          <w:tcPr/>
          <w:p>
            <w:pPr>
              <w:pStyle w:val="Compact"/>
              <w:jc w:val="left"/>
            </w:pPr>
            <w:r>
              <w:t xml:space="preserve">3,589</w:t>
            </w:r>
          </w:p>
        </w:tc>
        <w:tc>
          <w:tcPr/>
          <w:p>
            <w:pPr>
              <w:pStyle w:val="Compact"/>
              <w:jc w:val="left"/>
            </w:pPr>
            <w:r>
              <w:t xml:space="preserve">5,015</w:t>
            </w:r>
          </w:p>
        </w:tc>
        <w:tc>
          <w:tcPr/>
          <w:p>
            <w:pPr>
              <w:pStyle w:val="Compact"/>
              <w:jc w:val="left"/>
            </w:pPr>
            <w:r>
              <w:t xml:space="preserve">3,307</w:t>
            </w:r>
          </w:p>
        </w:tc>
        <w:tc>
          <w:tcPr/>
          <w:p>
            <w:pPr>
              <w:pStyle w:val="Compact"/>
              <w:jc w:val="left"/>
            </w:pPr>
            <w:r>
              <w:rPr>
                <w:bCs/>
                <w:b/>
              </w:rPr>
              <w:t xml:space="preserve">11,911</w:t>
            </w:r>
          </w:p>
        </w:tc>
      </w:tr>
      <w:tr>
        <w:tc>
          <w:tcPr/>
          <w:p>
            <w:pPr>
              <w:pStyle w:val="Compact"/>
              <w:jc w:val="left"/>
            </w:pPr>
            <w:r>
              <w:rPr>
                <w:bCs/>
                <w:b/>
              </w:rPr>
              <w:t xml:space="preserve">Training frames</w:t>
            </w:r>
            <w:r>
              <w:t xml:space="preserve"> </w:t>
            </w:r>
            <w:r>
              <w:t xml:space="preserve">(75%)</w:t>
            </w:r>
          </w:p>
        </w:tc>
        <w:tc>
          <w:tcPr/>
          <w:p>
            <w:pPr>
              <w:pStyle w:val="Compact"/>
              <w:jc w:val="left"/>
            </w:pPr>
            <w:r>
              <w:t xml:space="preserve">26,723</w:t>
            </w:r>
          </w:p>
        </w:tc>
        <w:tc>
          <w:tcPr/>
          <w:p>
            <w:pPr>
              <w:pStyle w:val="Compact"/>
              <w:jc w:val="left"/>
            </w:pPr>
            <w:r>
              <w:t xml:space="preserve">35,227</w:t>
            </w:r>
          </w:p>
        </w:tc>
        <w:tc>
          <w:tcPr/>
          <w:p>
            <w:pPr>
              <w:pStyle w:val="Compact"/>
              <w:jc w:val="left"/>
            </w:pPr>
            <w:r>
              <w:t xml:space="preserve">24,569</w:t>
            </w:r>
          </w:p>
        </w:tc>
        <w:tc>
          <w:tcPr/>
          <w:p>
            <w:pPr>
              <w:pStyle w:val="Compact"/>
              <w:jc w:val="left"/>
            </w:pPr>
            <w:r>
              <w:rPr>
                <w:bCs/>
                <w:b/>
              </w:rPr>
              <w:t xml:space="preserve">86,519</w:t>
            </w:r>
          </w:p>
        </w:tc>
      </w:tr>
      <w:tr>
        <w:tc>
          <w:tcPr/>
          <w:p>
            <w:pPr>
              <w:pStyle w:val="Compact"/>
              <w:jc w:val="left"/>
            </w:pPr>
            <w:r>
              <w:rPr>
                <w:bCs/>
                <w:b/>
              </w:rPr>
              <w:t xml:space="preserve">Validation frames</w:t>
            </w:r>
            <w:r>
              <w:t xml:space="preserve"> </w:t>
            </w:r>
            <w:r>
              <w:t xml:space="preserve">(25%)</w:t>
            </w:r>
          </w:p>
        </w:tc>
        <w:tc>
          <w:tcPr/>
          <w:p>
            <w:pPr>
              <w:pStyle w:val="Compact"/>
              <w:jc w:val="left"/>
            </w:pPr>
            <w:r>
              <w:t xml:space="preserve">8,908</w:t>
            </w:r>
          </w:p>
        </w:tc>
        <w:tc>
          <w:tcPr/>
          <w:p>
            <w:pPr>
              <w:pStyle w:val="Compact"/>
              <w:jc w:val="left"/>
            </w:pPr>
            <w:r>
              <w:t xml:space="preserve">11,742</w:t>
            </w:r>
          </w:p>
        </w:tc>
        <w:tc>
          <w:tcPr/>
          <w:p>
            <w:pPr>
              <w:pStyle w:val="Compact"/>
              <w:jc w:val="left"/>
            </w:pPr>
            <w:r>
              <w:t xml:space="preserve">8,190</w:t>
            </w:r>
          </w:p>
        </w:tc>
        <w:tc>
          <w:tcPr/>
          <w:p>
            <w:pPr>
              <w:pStyle w:val="Compact"/>
              <w:jc w:val="left"/>
            </w:pPr>
            <w:r>
              <w:rPr>
                <w:bCs/>
                <w:b/>
              </w:rPr>
              <w:t xml:space="preserve">28,840</w:t>
            </w:r>
          </w:p>
        </w:tc>
      </w:tr>
    </w:tbl>
    <w:p>
      <w:pPr>
        <w:pStyle w:val="BodyText"/>
      </w:pPr>
      <w:r>
        <w:t xml:space="preserve">All training and validation data consists of AI-generated synthetic face videos produced by the Luma generative model. Videos were generated with explicit emotion prompts (e.g.,</w:t>
      </w:r>
      <w:r>
        <w:t xml:space="preserve"> </w:t>
      </w:r>
      <w:r>
        <w:t xml:space="preserve">“</w:t>
      </w:r>
      <w:r>
        <w:t xml:space="preserve">a person expressing happiness</w:t>
      </w:r>
      <w:r>
        <w:t xml:space="preserve">”</w:t>
      </w:r>
      <w:r>
        <w:t xml:space="preserve">), ingested through the automated pipeline, labeled by human reviewers, and promoted to the training dataset. Frame extraction was performed with face detection and cropping enabled, producing tightly cropped face images that remove background context.</w:t>
      </w:r>
    </w:p>
    <w:p>
      <w:pPr>
        <w:pStyle w:val="BodyText"/>
      </w:pPr>
      <w:r>
        <w:t xml:space="preserve">The 75/25 train/validation split is performed per-run using a consistent random seed, ensuring that frames from the same source video never appear in both splits. This prevents data leakage that would inflate synthetic validation metrics.</w:t>
      </w:r>
    </w:p>
    <w:bookmarkEnd w:id="53"/>
    <w:bookmarkStart w:id="54" w:name="data-augmentation"/>
    <w:p>
      <w:pPr>
        <w:pStyle w:val="Heading4"/>
      </w:pPr>
      <w:r>
        <w:t xml:space="preserve">5.3.2 Data Augmentation</w:t>
      </w:r>
    </w:p>
    <w:p>
      <w:pPr>
        <w:pStyle w:val="FirstParagraph"/>
      </w:pPr>
      <w:r>
        <w:t xml:space="preserve">Training employs several augmentation strategies to improve generalization:</w:t>
      </w:r>
    </w:p>
    <w:p>
      <w:pPr>
        <w:numPr>
          <w:ilvl w:val="0"/>
          <w:numId w:val="1008"/>
        </w:numPr>
        <w:pStyle w:val="Compact"/>
      </w:pPr>
      <w:r>
        <w:rPr>
          <w:bCs/>
          <w:b/>
        </w:rPr>
        <w:t xml:space="preserve">Mixup augmentation</w:t>
      </w:r>
      <w:r>
        <w:t xml:space="preserve"> </w:t>
      </w:r>
      <w:r>
        <w:t xml:space="preserve">(Zhang et al., 2018) with α = 0.2, which creates virtual training examples by linearly interpolating between pairs of images and their labels. This has been shown to improve calibration and reduce overconfidence.</w:t>
      </w:r>
    </w:p>
    <w:p>
      <w:pPr>
        <w:numPr>
          <w:ilvl w:val="0"/>
          <w:numId w:val="1008"/>
        </w:numPr>
        <w:pStyle w:val="Compact"/>
      </w:pPr>
      <w:r>
        <w:rPr>
          <w:bCs/>
          <w:b/>
        </w:rPr>
        <w:t xml:space="preserve">Label smoothing</w:t>
      </w:r>
      <w:r>
        <w:t xml:space="preserve"> </w:t>
      </w:r>
      <w:r>
        <w:t xml:space="preserve">with factor 0.15 (V1) or 0.10 (V2), which replaces hard 0/1 targets with soft targets (e.g., [0.05, 0.05, 0.90]), preventing the network from becoming overconfident on training examples.</w:t>
      </w:r>
    </w:p>
    <w:p>
      <w:pPr>
        <w:numPr>
          <w:ilvl w:val="0"/>
          <w:numId w:val="1008"/>
        </w:numPr>
        <w:pStyle w:val="Compact"/>
      </w:pPr>
      <w:r>
        <w:rPr>
          <w:bCs/>
          <w:b/>
        </w:rPr>
        <w:t xml:space="preserve">Standard image augmentations</w:t>
      </w:r>
      <w:r>
        <w:t xml:space="preserve"> </w:t>
      </w:r>
      <w:r>
        <w:t xml:space="preserve">including random horizontal flipping, slight rotation, color jitter, and random cropping — applied via PyTorch transforms during training data loading.</w:t>
      </w:r>
    </w:p>
    <w:bookmarkEnd w:id="54"/>
    <w:bookmarkStart w:id="55" w:name="training-procedure"/>
    <w:p>
      <w:pPr>
        <w:pStyle w:val="Heading4"/>
      </w:pPr>
      <w:r>
        <w:t xml:space="preserve">5.3.3 Training Procedure</w:t>
      </w:r>
    </w:p>
    <w:p>
      <w:pPr>
        <w:pStyle w:val="FirstParagraph"/>
      </w:pPr>
      <w:r>
        <w:t xml:space="preserve">Training follows a two-phase strategy:</w:t>
      </w:r>
    </w:p>
    <w:p>
      <w:pPr>
        <w:pStyle w:val="BodyText"/>
      </w:pPr>
      <w:r>
        <w:rPr>
          <w:bCs/>
          <w:b/>
        </w:rPr>
        <w:t xml:space="preserve">Phase 1 — Frozen backbone (all variants):</w:t>
      </w:r>
      <w:r>
        <w:t xml:space="preserve"> </w:t>
      </w:r>
      <w:r>
        <w:t xml:space="preserve">The EfficientNet-B0 backbone is completely frozen. Only the 3-class classification head is trained using AdamW optimizer with learning rate 1e-4, weight decay 1e-2, and a cosine annealing learning rate schedule with linear warmup over the first 5% of training steps. Mixed precision training (FP16) is enabled via PyTorch’s automatic mixed precision (AMP) module.</w:t>
      </w:r>
    </w:p>
    <w:p>
      <w:pPr>
        <w:pStyle w:val="BodyText"/>
      </w:pPr>
      <w:r>
        <w:rPr>
          <w:bCs/>
          <w:b/>
        </w:rPr>
        <w:t xml:space="preserve">Phase 2 — Selective unfreezing (Variant 2 only):</w:t>
      </w:r>
      <w:r>
        <w:t xml:space="preserve"> </w:t>
      </w:r>
      <w:r>
        <w:t xml:space="preserve">After the frozen phase (5 epochs), the final backbone blocks (blocks.5, blocks.6, conv_head) are unfrozen. These layers receive a learning rate of LR/10 (differential learning rate), while the classification head continues at the full learning rate. This phase allows the model to adapt its higher-level representations to the target domain while preserving lower-level visual features.</w:t>
      </w:r>
    </w:p>
    <w:p>
      <w:pPr>
        <w:pStyle w:val="BodyText"/>
      </w:pPr>
      <w:r>
        <w:rPr>
          <w:bCs/>
          <w:b/>
        </w:rPr>
        <w:t xml:space="preserve">Early stopping:</w:t>
      </w:r>
      <w:r>
        <w:t xml:space="preserve"> </w:t>
      </w:r>
      <w:r>
        <w:t xml:space="preserve">Training monitors validation F1 macro with patience of 10 epochs. If validation F1 does not improve for 10 consecutive epochs, training stops and the best checkpoint is restored. For Variant 1 (run_0107), this triggered at epoch 24.</w:t>
      </w:r>
    </w:p>
    <w:p>
      <w:pPr>
        <w:pStyle w:val="BodyText"/>
      </w:pPr>
      <w:r>
        <w:rPr>
          <w:bCs/>
          <w:b/>
        </w:rPr>
        <w:t xml:space="preserve">Loss function:</w:t>
      </w:r>
      <w:r>
        <w:t xml:space="preserve"> </w:t>
      </w:r>
      <w:r>
        <w:t xml:space="preserve">Cross-entropy loss with label smoothing, optionally weighted by inverse class frequency to address class imbalance in the training data.</w:t>
      </w:r>
    </w:p>
    <w:bookmarkEnd w:id="55"/>
    <w:bookmarkStart w:id="56" w:name="hyperparameter-optimization-variant-2"/>
    <w:p>
      <w:pPr>
        <w:pStyle w:val="Heading4"/>
      </w:pPr>
      <w:r>
        <w:t xml:space="preserve">5.3.4 Hyperparameter Optimization (Variant 2)</w:t>
      </w:r>
    </w:p>
    <w:p>
      <w:pPr>
        <w:pStyle w:val="FirstParagraph"/>
      </w:pPr>
      <w:r>
        <w:t xml:space="preserve">Variant 2 underwent a systematic hyperparameter search conducted in two stages:</w:t>
      </w:r>
    </w:p>
    <w:p>
      <w:pPr>
        <w:pStyle w:val="BodyText"/>
      </w:pPr>
      <w:r>
        <w:rPr>
          <w:bCs/>
          <w:b/>
        </w:rPr>
        <w:t xml:space="preserve">Stage 1:</w:t>
      </w:r>
      <w:r>
        <w:t xml:space="preserve"> </w:t>
      </w:r>
      <w:r>
        <w:t xml:space="preserve">85 trials exploring the following hyperparameter space:</w:t>
      </w:r>
      <w:r>
        <w:t xml:space="preserve"> </w:t>
      </w:r>
      <w:r>
        <w:t xml:space="preserve">- Learning rate: {1e-4, 2e-4, 3e-4, 5e-4}</w:t>
      </w:r>
      <w:r>
        <w:t xml:space="preserve"> </w:t>
      </w:r>
      <w:r>
        <w:t xml:space="preserve">- Label smoothing: {0.05, 0.10, 0.15, 0.20}</w:t>
      </w:r>
      <w:r>
        <w:t xml:space="preserve"> </w:t>
      </w:r>
      <w:r>
        <w:t xml:space="preserve">- Dropout: {0.2, 0.3, 0.4, 0.5}</w:t>
      </w:r>
      <w:r>
        <w:t xml:space="preserve"> </w:t>
      </w:r>
      <w:r>
        <w:t xml:space="preserve">- Freeze epochs: {3, 5, 7}</w:t>
      </w:r>
      <w:r>
        <w:t xml:space="preserve"> </w:t>
      </w:r>
      <w:r>
        <w:t xml:space="preserve">- Mixup alpha: {0.0, 0.1, 0.2, 0.3}</w:t>
      </w:r>
      <w:r>
        <w:t xml:space="preserve"> </w:t>
      </w:r>
      <w:r>
        <w:t xml:space="preserve">- Unfreeze layers: {blocks.6+conv_head, blocks.5+blocks.6+conv_head}</w:t>
      </w:r>
    </w:p>
    <w:p>
      <w:pPr>
        <w:pStyle w:val="BodyText"/>
      </w:pPr>
      <w:r>
        <w:rPr>
          <w:bCs/>
          <w:b/>
        </w:rPr>
        <w:t xml:space="preserve">Stage 2:</w:t>
      </w:r>
      <w:r>
        <w:t xml:space="preserve"> </w:t>
      </w:r>
      <w:r>
        <w:t xml:space="preserve">The top 5 configurations from Stage 1 were promoted to extended evaluation with more epochs and detailed metric collection. The best configuration (dropout=0.3, freeze_epochs=5, label_smoothing=0.10, lr=3e-4, mixup_alpha=0.2) achieved a synthetic composite score of 0.921 and near-perfect synthetic validation metrics (F1=0.9996, ECE=0.0755).</w:t>
      </w:r>
    </w:p>
    <w:p>
      <w:pPr>
        <w:pStyle w:val="BodyText"/>
      </w:pPr>
      <w:r>
        <w:t xml:space="preserve">Total sweep GPU time was approximately 26 hours.</w:t>
      </w:r>
    </w:p>
    <w:bookmarkEnd w:id="56"/>
    <w:bookmarkEnd w:id="57"/>
    <w:bookmarkStart w:id="61" w:name="evaluation-methodology"/>
    <w:p>
      <w:pPr>
        <w:pStyle w:val="Heading3"/>
      </w:pPr>
      <w:r>
        <w:t xml:space="preserve">5.4 Evaluation Methodology</w:t>
      </w:r>
    </w:p>
    <w:bookmarkStart w:id="58" w:name="test-dataset"/>
    <w:p>
      <w:pPr>
        <w:pStyle w:val="Heading4"/>
      </w:pPr>
      <w:r>
        <w:t xml:space="preserve">5.4.1 Test Dataset</w:t>
      </w:r>
    </w:p>
    <w:p>
      <w:pPr>
        <w:pStyle w:val="FirstParagraph"/>
      </w:pPr>
      <w:r>
        <w:rPr>
          <w:bCs/>
          <w:b/>
        </w:rPr>
        <w:t xml:space="preserve">Table 4. AffectNet real-world test set composition.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Count</w:t>
            </w:r>
          </w:p>
        </w:tc>
        <w:tc>
          <w:tcPr/>
          <w:p>
            <w:pPr>
              <w:pStyle w:val="Compact"/>
              <w:jc w:val="left"/>
            </w:pPr>
            <w:r>
              <w:t xml:space="preserve">Proportion</w:t>
            </w:r>
          </w:p>
        </w:tc>
      </w:tr>
      <w:tr>
        <w:tc>
          <w:tcPr/>
          <w:p>
            <w:pPr>
              <w:pStyle w:val="Compact"/>
              <w:jc w:val="left"/>
            </w:pPr>
            <w:r>
              <w:t xml:space="preserve">Happy</w:t>
            </w:r>
          </w:p>
        </w:tc>
        <w:tc>
          <w:tcPr/>
          <w:p>
            <w:pPr>
              <w:pStyle w:val="Compact"/>
              <w:jc w:val="left"/>
            </w:pPr>
            <w:r>
              <w:t xml:space="preserve">435</w:t>
            </w:r>
          </w:p>
        </w:tc>
        <w:tc>
          <w:tcPr/>
          <w:p>
            <w:pPr>
              <w:pStyle w:val="Compact"/>
              <w:jc w:val="left"/>
            </w:pPr>
            <w:r>
              <w:t xml:space="preserve">48.7%</w:t>
            </w:r>
          </w:p>
        </w:tc>
      </w:tr>
      <w:tr>
        <w:tc>
          <w:tcPr/>
          <w:p>
            <w:pPr>
              <w:pStyle w:val="Compact"/>
              <w:jc w:val="left"/>
            </w:pPr>
            <w:r>
              <w:t xml:space="preserve">Sad</w:t>
            </w:r>
          </w:p>
        </w:tc>
        <w:tc>
          <w:tcPr/>
          <w:p>
            <w:pPr>
              <w:pStyle w:val="Compact"/>
              <w:jc w:val="left"/>
            </w:pPr>
            <w:r>
              <w:t xml:space="preserve">160</w:t>
            </w:r>
          </w:p>
        </w:tc>
        <w:tc>
          <w:tcPr/>
          <w:p>
            <w:pPr>
              <w:pStyle w:val="Compact"/>
              <w:jc w:val="left"/>
            </w:pPr>
            <w:r>
              <w:t xml:space="preserve">17.9%</w:t>
            </w:r>
          </w:p>
        </w:tc>
      </w:tr>
      <w:tr>
        <w:tc>
          <w:tcPr/>
          <w:p>
            <w:pPr>
              <w:pStyle w:val="Compact"/>
              <w:jc w:val="left"/>
            </w:pPr>
            <w:r>
              <w:t xml:space="preserve">Neutral</w:t>
            </w:r>
          </w:p>
        </w:tc>
        <w:tc>
          <w:tcPr/>
          <w:p>
            <w:pPr>
              <w:pStyle w:val="Compact"/>
              <w:jc w:val="left"/>
            </w:pPr>
            <w:r>
              <w:t xml:space="preserve">299</w:t>
            </w:r>
          </w:p>
        </w:tc>
        <w:tc>
          <w:tcPr/>
          <w:p>
            <w:pPr>
              <w:pStyle w:val="Compact"/>
              <w:jc w:val="left"/>
            </w:pPr>
            <w:r>
              <w:t xml:space="preserve">33.4%</w:t>
            </w:r>
          </w:p>
        </w:tc>
      </w:tr>
      <w:tr>
        <w:tc>
          <w:tcPr/>
          <w:p>
            <w:pPr>
              <w:pStyle w:val="Compact"/>
              <w:jc w:val="left"/>
            </w:pPr>
            <w:r>
              <w:rPr>
                <w:bCs/>
                <w:b/>
              </w:rPr>
              <w:t xml:space="preserve">Total</w:t>
            </w:r>
          </w:p>
        </w:tc>
        <w:tc>
          <w:tcPr/>
          <w:p>
            <w:pPr>
              <w:pStyle w:val="Compact"/>
              <w:jc w:val="left"/>
            </w:pPr>
            <w:r>
              <w:rPr>
                <w:bCs/>
                <w:b/>
              </w:rPr>
              <w:t xml:space="preserve">894</w:t>
            </w:r>
          </w:p>
        </w:tc>
        <w:tc>
          <w:tcPr/>
          <w:p>
            <w:pPr>
              <w:pStyle w:val="Compact"/>
              <w:jc w:val="left"/>
            </w:pPr>
            <w:r>
              <w:rPr>
                <w:bCs/>
                <w:b/>
              </w:rPr>
              <w:t xml:space="preserve">100%</w:t>
            </w:r>
          </w:p>
        </w:tc>
      </w:tr>
    </w:tbl>
    <w:p>
      <w:pPr>
        <w:pStyle w:val="BodyText"/>
      </w:pPr>
      <w:r>
        <w:t xml:space="preserve">The test set consists of 894 real photographs from the AffectNet academic dataset (Mollahosseini et al., 2017), with ground truth labels provided by the dataset authors. Neither model has seen any real photographs during training or validation. The class distribution is imbalanced, with happy comprising nearly half the test set and sad comprising less than one-fifth — a distribution that must be accounted for in the statistical analysis.</w:t>
      </w:r>
    </w:p>
    <w:bookmarkEnd w:id="58"/>
    <w:bookmarkStart w:id="59" w:name="metrics"/>
    <w:p>
      <w:pPr>
        <w:pStyle w:val="Heading4"/>
      </w:pPr>
      <w:r>
        <w:t xml:space="preserve">5.4.2 Metrics</w:t>
      </w:r>
    </w:p>
    <w:p>
      <w:pPr>
        <w:pStyle w:val="FirstParagraph"/>
      </w:pPr>
      <w:r>
        <w:t xml:space="preserve">The evaluation framework computes the following metrics:</w:t>
      </w:r>
    </w:p>
    <w:p>
      <w:pPr>
        <w:pStyle w:val="BodyText"/>
      </w:pPr>
      <w:r>
        <w:rPr>
          <w:bCs/>
          <w:b/>
        </w:rPr>
        <w:t xml:space="preserve">Classification metrics:</w:t>
      </w:r>
      <w:r>
        <w:t xml:space="preserve"> </w:t>
      </w:r>
      <w:r>
        <w:t xml:space="preserve">-</w:t>
      </w:r>
      <w:r>
        <w:t xml:space="preserve"> </w:t>
      </w:r>
      <w:r>
        <w:rPr>
          <w:bCs/>
          <w:b/>
        </w:rPr>
        <w:t xml:space="preserve">Accuracy:</w:t>
      </w:r>
      <w:r>
        <w:t xml:space="preserve"> </w:t>
      </w:r>
      <w:r>
        <w:t xml:space="preserve">Overall fraction of correct predictions.</w:t>
      </w:r>
      <w:r>
        <w:t xml:space="preserve"> </w:t>
      </w:r>
      <w:r>
        <w:t xml:space="preserve">-</w:t>
      </w:r>
      <w:r>
        <w:t xml:space="preserve"> </w:t>
      </w:r>
      <w:r>
        <w:rPr>
          <w:bCs/>
          <w:b/>
        </w:rPr>
        <w:t xml:space="preserve">F1 Macro:</w:t>
      </w:r>
      <w:r>
        <w:t xml:space="preserve"> </w:t>
      </w:r>
      <w:r>
        <w:t xml:space="preserve">Unweighted mean of per-class F1 scores. This is the primary deployment metric because it gives equal weight to all three classes regardless of their test set frequency.</w:t>
      </w:r>
      <w:r>
        <w:t xml:space="preserve"> </w:t>
      </w:r>
      <w:r>
        <w:t xml:space="preserve">-</w:t>
      </w:r>
      <w:r>
        <w:t xml:space="preserve"> </w:t>
      </w:r>
      <w:r>
        <w:rPr>
          <w:bCs/>
          <w:b/>
        </w:rPr>
        <w:t xml:space="preserve">Balanced Accuracy:</w:t>
      </w:r>
      <w:r>
        <w:t xml:space="preserve"> </w:t>
      </w:r>
      <w:r>
        <w:t xml:space="preserve">Mean of per-class recall values. Like F1 macro, this resists inflation from majority-class performance.</w:t>
      </w:r>
      <w:r>
        <w:t xml:space="preserve"> </w:t>
      </w:r>
      <w:r>
        <w:t xml:space="preserve">-</w:t>
      </w:r>
      <w:r>
        <w:t xml:space="preserve"> </w:t>
      </w:r>
      <w:r>
        <w:rPr>
          <w:bCs/>
          <w:b/>
        </w:rPr>
        <w:t xml:space="preserve">Precision Macro:</w:t>
      </w:r>
      <w:r>
        <w:t xml:space="preserve"> </w:t>
      </w:r>
      <w:r>
        <w:t xml:space="preserve">Unweighted mean of per-class precision.</w:t>
      </w:r>
      <w:r>
        <w:t xml:space="preserve"> </w:t>
      </w:r>
      <w:r>
        <w:t xml:space="preserve">-</w:t>
      </w:r>
      <w:r>
        <w:t xml:space="preserve"> </w:t>
      </w:r>
      <w:r>
        <w:rPr>
          <w:bCs/>
          <w:b/>
        </w:rPr>
        <w:t xml:space="preserve">Recall Macro:</w:t>
      </w:r>
      <w:r>
        <w:t xml:space="preserve"> </w:t>
      </w:r>
      <w:r>
        <w:t xml:space="preserve">Unweighted mean of per-class recall.</w:t>
      </w:r>
      <w:r>
        <w:t xml:space="preserve"> </w:t>
      </w:r>
      <w:r>
        <w:t xml:space="preserve">-</w:t>
      </w:r>
      <w:r>
        <w:t xml:space="preserve"> </w:t>
      </w:r>
      <w:r>
        <w:rPr>
          <w:bCs/>
          <w:b/>
        </w:rPr>
        <w:t xml:space="preserve">Per-class F1:</w:t>
      </w:r>
      <w:r>
        <w:t xml:space="preserve"> </w:t>
      </w:r>
      <w:r>
        <w:t xml:space="preserve">Individual F1 scores for happy, sad, and neutral.</w:t>
      </w:r>
    </w:p>
    <w:p>
      <w:pPr>
        <w:pStyle w:val="BodyText"/>
      </w:pPr>
      <w:r>
        <w:rPr>
          <w:bCs/>
          <w:b/>
        </w:rPr>
        <w:t xml:space="preserve">Calibration metrics:</w:t>
      </w:r>
      <w:r>
        <w:t xml:space="preserve"> </w:t>
      </w:r>
      <w:r>
        <w:t xml:space="preserve">-</w:t>
      </w:r>
      <w:r>
        <w:t xml:space="preserve"> </w:t>
      </w:r>
      <w:r>
        <w:rPr>
          <w:bCs/>
          <w:b/>
        </w:rPr>
        <w:t xml:space="preserve">Expected Calibration Error (ECE):</w:t>
      </w:r>
      <w:r>
        <w:t xml:space="preserve"> </w:t>
      </w:r>
      <w:r>
        <w:t xml:space="preserve">Average gap between confidence and accuracy across 10 equal-width confidence bins. Lower is better.</w:t>
      </w:r>
      <w:r>
        <w:t xml:space="preserve"> </w:t>
      </w:r>
      <w:r>
        <w:t xml:space="preserve">-</w:t>
      </w:r>
      <w:r>
        <w:t xml:space="preserve"> </w:t>
      </w:r>
      <w:r>
        <w:rPr>
          <w:bCs/>
          <w:b/>
        </w:rPr>
        <w:t xml:space="preserve">Maximum Calibration Error (MCE):</w:t>
      </w:r>
      <w:r>
        <w:t xml:space="preserve"> </w:t>
      </w:r>
      <w:r>
        <w:t xml:space="preserve">Worst-case gap across confidence bins. Sensitive to outlier bins and noisy with small test sets.</w:t>
      </w:r>
      <w:r>
        <w:t xml:space="preserve"> </w:t>
      </w:r>
      <w:r>
        <w:t xml:space="preserve">-</w:t>
      </w:r>
      <w:r>
        <w:t xml:space="preserve"> </w:t>
      </w:r>
      <w:r>
        <w:rPr>
          <w:bCs/>
          <w:b/>
        </w:rPr>
        <w:t xml:space="preserve">Brier Score:</w:t>
      </w:r>
      <w:r>
        <w:t xml:space="preserve"> </w:t>
      </w:r>
      <w:r>
        <w:t xml:space="preserve">Mean squared error between predicted probability vectors and one-hot encoded true labels. A proper scoring rule that decomposes into calibration and refinement components.</w:t>
      </w:r>
    </w:p>
    <w:bookmarkEnd w:id="59"/>
    <w:bookmarkStart w:id="60" w:name="quality-gates"/>
    <w:p>
      <w:pPr>
        <w:pStyle w:val="Heading4"/>
      </w:pPr>
      <w:r>
        <w:t xml:space="preserve">5.4.3 Quality Gates</w:t>
      </w:r>
    </w:p>
    <w:p>
      <w:pPr>
        <w:pStyle w:val="FirstParagraph"/>
      </w:pPr>
      <w:r>
        <w:rPr>
          <w:bCs/>
          <w:b/>
        </w:rPr>
        <w:t xml:space="preserve">Table 6. Gate A validation-tier thresholds (synthetic validation).</w:t>
      </w:r>
    </w:p>
    <w:tbl>
      <w:tblPr>
        <w:tblStyle w:val="Table"/>
        <w:tblW w:type="pct" w:w="5000"/>
        <w:tblLook w:firstRow="1" w:lastRow="0" w:firstColumn="0" w:lastColumn="0" w:noHBand="0" w:noVBand="0" w:val="0020"/>
        <w:jc w:val="start"/>
      </w:tblPr>
      <w:tblGrid>
        <w:gridCol w:w="2262"/>
        <w:gridCol w:w="3111"/>
        <w:gridCol w:w="2545"/>
      </w:tblGrid>
      <w:tr>
        <w:trPr>
          <w:tblHeader w:val="true"/>
        </w:trPr>
        <w:tc>
          <w:tcPr/>
          <w:p>
            <w:pPr>
              <w:pStyle w:val="Compact"/>
              <w:jc w:val="left"/>
            </w:pPr>
            <w:r>
              <w:t xml:space="preserve">Metric</w:t>
            </w:r>
          </w:p>
        </w:tc>
        <w:tc>
          <w:tcPr/>
          <w:p>
            <w:pPr>
              <w:pStyle w:val="Compact"/>
              <w:jc w:val="left"/>
            </w:pPr>
            <w:r>
              <w:t xml:space="preserve">Threshold</w:t>
            </w:r>
          </w:p>
        </w:tc>
        <w:tc>
          <w:tcPr/>
          <w:p>
            <w:pPr>
              <w:pStyle w:val="Compact"/>
              <w:jc w:val="left"/>
            </w:pPr>
            <w:r>
              <w:t xml:space="preserve">Purpose</w:t>
            </w:r>
          </w:p>
        </w:tc>
      </w:tr>
      <w:tr>
        <w:tc>
          <w:tcPr/>
          <w:p>
            <w:pPr>
              <w:pStyle w:val="Compact"/>
              <w:jc w:val="left"/>
            </w:pPr>
            <w:r>
              <w:t xml:space="preserve">F1 Macro</w:t>
            </w:r>
          </w:p>
        </w:tc>
        <w:tc>
          <w:tcPr/>
          <w:p>
            <w:pPr>
              <w:pStyle w:val="Compact"/>
              <w:jc w:val="left"/>
            </w:pPr>
            <w:r>
              <w:t xml:space="preserve">≥ 0.84</w:t>
            </w:r>
          </w:p>
        </w:tc>
        <w:tc>
          <w:tcPr/>
          <w:p>
            <w:pPr>
              <w:pStyle w:val="Compact"/>
              <w:jc w:val="left"/>
            </w:pPr>
            <w:r>
              <w:t xml:space="preserve">Minimum classification quality</w:t>
            </w:r>
          </w:p>
        </w:tc>
      </w:tr>
      <w:tr>
        <w:tc>
          <w:tcPr/>
          <w:p>
            <w:pPr>
              <w:pStyle w:val="Compact"/>
              <w:jc w:val="left"/>
            </w:pPr>
            <w:r>
              <w:t xml:space="preserve">Balanced Accuracy</w:t>
            </w:r>
          </w:p>
        </w:tc>
        <w:tc>
          <w:tcPr/>
          <w:p>
            <w:pPr>
              <w:pStyle w:val="Compact"/>
              <w:jc w:val="left"/>
            </w:pPr>
            <w:r>
              <w:t xml:space="preserve">≥ 0.85</w:t>
            </w:r>
          </w:p>
        </w:tc>
        <w:tc>
          <w:tcPr/>
          <w:p>
            <w:pPr>
              <w:pStyle w:val="Compact"/>
              <w:jc w:val="left"/>
            </w:pPr>
            <w:r>
              <w:t xml:space="preserve">Guards against class imbalance exploitation</w:t>
            </w:r>
          </w:p>
        </w:tc>
      </w:tr>
      <w:tr>
        <w:tc>
          <w:tcPr/>
          <w:p>
            <w:pPr>
              <w:pStyle w:val="Compact"/>
              <w:jc w:val="left"/>
            </w:pPr>
            <w:r>
              <w:t xml:space="preserve">Per-class F1</w:t>
            </w:r>
          </w:p>
        </w:tc>
        <w:tc>
          <w:tcPr/>
          <w:p>
            <w:pPr>
              <w:pStyle w:val="Compact"/>
              <w:jc w:val="left"/>
            </w:pPr>
            <w:r>
              <w:t xml:space="preserve">≥ 0.75</w:t>
            </w:r>
          </w:p>
        </w:tc>
        <w:tc>
          <w:tcPr/>
          <w:p>
            <w:pPr>
              <w:pStyle w:val="Compact"/>
              <w:jc w:val="left"/>
            </w:pPr>
            <w:r>
              <w:t xml:space="preserve">No single class neglected</w:t>
            </w:r>
          </w:p>
        </w:tc>
      </w:tr>
      <w:tr>
        <w:tc>
          <w:tcPr/>
          <w:p>
            <w:pPr>
              <w:pStyle w:val="Compact"/>
              <w:jc w:val="left"/>
            </w:pPr>
            <w:r>
              <w:t xml:space="preserve">ECE</w:t>
            </w:r>
          </w:p>
        </w:tc>
        <w:tc>
          <w:tcPr/>
          <w:p>
            <w:pPr>
              <w:pStyle w:val="Compact"/>
              <w:jc w:val="left"/>
            </w:pPr>
            <w:r>
              <w:t xml:space="preserve">≤ 0.12</w:t>
            </w:r>
          </w:p>
        </w:tc>
        <w:tc>
          <w:tcPr/>
          <w:p>
            <w:pPr>
              <w:pStyle w:val="Compact"/>
              <w:jc w:val="left"/>
            </w:pPr>
            <w:r>
              <w:t xml:space="preserve">Confidence reliability</w:t>
            </w:r>
          </w:p>
        </w:tc>
      </w:tr>
      <w:tr>
        <w:tc>
          <w:tcPr/>
          <w:p>
            <w:pPr>
              <w:pStyle w:val="Compact"/>
              <w:jc w:val="left"/>
            </w:pPr>
            <w:r>
              <w:t xml:space="preserve">Brier</w:t>
            </w:r>
          </w:p>
        </w:tc>
        <w:tc>
          <w:tcPr/>
          <w:p>
            <w:pPr>
              <w:pStyle w:val="Compact"/>
              <w:jc w:val="left"/>
            </w:pPr>
            <w:r>
              <w:t xml:space="preserve">≤ 0.16</w:t>
            </w:r>
          </w:p>
        </w:tc>
        <w:tc>
          <w:tcPr/>
          <w:p>
            <w:pPr>
              <w:pStyle w:val="Compact"/>
              <w:jc w:val="left"/>
            </w:pPr>
            <w:r>
              <w:t xml:space="preserve">Proper scoring rule compliance</w:t>
            </w:r>
          </w:p>
        </w:tc>
      </w:tr>
    </w:tbl>
    <w:p>
      <w:pPr>
        <w:pStyle w:val="BodyText"/>
      </w:pPr>
      <w:r>
        <w:rPr>
          <w:bCs/>
          <w:b/>
        </w:rPr>
        <w:t xml:space="preserve">Table 7. Gate A deploy-tier thresholds (real-world test, per ADR 011).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Threshold</w:t>
            </w:r>
          </w:p>
        </w:tc>
        <w:tc>
          <w:tcPr/>
          <w:p>
            <w:pPr>
              <w:pStyle w:val="Compact"/>
              <w:jc w:val="left"/>
            </w:pPr>
            <w:r>
              <w:t xml:space="preserve">Purpose</w:t>
            </w:r>
          </w:p>
        </w:tc>
      </w:tr>
      <w:tr>
        <w:tc>
          <w:tcPr/>
          <w:p>
            <w:pPr>
              <w:pStyle w:val="Compact"/>
              <w:jc w:val="left"/>
            </w:pPr>
            <w:r>
              <w:t xml:space="preserve">F1 Macro</w:t>
            </w:r>
          </w:p>
        </w:tc>
        <w:tc>
          <w:tcPr/>
          <w:p>
            <w:pPr>
              <w:pStyle w:val="Compact"/>
              <w:jc w:val="left"/>
            </w:pPr>
            <w:r>
              <w:t xml:space="preserve">≥ 0.75</w:t>
            </w:r>
          </w:p>
        </w:tc>
        <w:tc>
          <w:tcPr/>
          <w:p>
            <w:pPr>
              <w:pStyle w:val="Compact"/>
              <w:jc w:val="left"/>
            </w:pPr>
            <w:r>
              <w:t xml:space="preserve">Minimum real-world accuracy</w:t>
            </w:r>
          </w:p>
        </w:tc>
      </w:tr>
      <w:tr>
        <w:tc>
          <w:tcPr/>
          <w:p>
            <w:pPr>
              <w:pStyle w:val="Compact"/>
              <w:jc w:val="left"/>
            </w:pPr>
            <w:r>
              <w:t xml:space="preserve">Balanced Accuracy</w:t>
            </w:r>
          </w:p>
        </w:tc>
        <w:tc>
          <w:tcPr/>
          <w:p>
            <w:pPr>
              <w:pStyle w:val="Compact"/>
              <w:jc w:val="left"/>
            </w:pPr>
            <w:r>
              <w:t xml:space="preserve">≥ 0.75</w:t>
            </w:r>
          </w:p>
        </w:tc>
        <w:tc>
          <w:tcPr/>
          <w:p>
            <w:pPr>
              <w:pStyle w:val="Compact"/>
              <w:jc w:val="left"/>
            </w:pPr>
            <w:r>
              <w:t xml:space="preserve">Real-world class balance</w:t>
            </w:r>
          </w:p>
        </w:tc>
      </w:tr>
      <w:tr>
        <w:tc>
          <w:tcPr/>
          <w:p>
            <w:pPr>
              <w:pStyle w:val="Compact"/>
              <w:jc w:val="left"/>
            </w:pPr>
            <w:r>
              <w:t xml:space="preserve">Per-class F1</w:t>
            </w:r>
          </w:p>
        </w:tc>
        <w:tc>
          <w:tcPr/>
          <w:p>
            <w:pPr>
              <w:pStyle w:val="Compact"/>
              <w:jc w:val="left"/>
            </w:pPr>
            <w:r>
              <w:t xml:space="preserve">≥ 0.70</w:t>
            </w:r>
          </w:p>
        </w:tc>
        <w:tc>
          <w:tcPr/>
          <w:p>
            <w:pPr>
              <w:pStyle w:val="Compact"/>
              <w:jc w:val="left"/>
            </w:pPr>
            <w:r>
              <w:t xml:space="preserve">No class systematically neglected</w:t>
            </w:r>
          </w:p>
        </w:tc>
      </w:tr>
      <w:tr>
        <w:tc>
          <w:tcPr/>
          <w:p>
            <w:pPr>
              <w:pStyle w:val="Compact"/>
              <w:jc w:val="left"/>
            </w:pPr>
            <w:r>
              <w:t xml:space="preserve">ECE</w:t>
            </w:r>
          </w:p>
        </w:tc>
        <w:tc>
          <w:tcPr/>
          <w:p>
            <w:pPr>
              <w:pStyle w:val="Compact"/>
              <w:jc w:val="left"/>
            </w:pPr>
            <w:r>
              <w:t xml:space="preserve">≤ 0.12</w:t>
            </w:r>
          </w:p>
        </w:tc>
        <w:tc>
          <w:tcPr/>
          <w:p>
            <w:pPr>
              <w:pStyle w:val="Compact"/>
              <w:jc w:val="left"/>
            </w:pPr>
            <w:r>
              <w:t xml:space="preserve">Confidence reliability</w:t>
            </w:r>
          </w:p>
        </w:tc>
      </w:tr>
    </w:tbl>
    <w:p>
      <w:pPr>
        <w:pStyle w:val="BodyText"/>
      </w:pPr>
      <w:r>
        <w:t xml:space="preserve">Gate A-val controls ONNX model export in the training pipeline. Gate A-deploy controls promotion to the Jetson deployment. The deploy tier has lower thresholds to accommodate the inherent synthetic-to-real generalization gap, while still ensuring operationally adequate performance.</w:t>
      </w:r>
    </w:p>
    <w:bookmarkEnd w:id="60"/>
    <w:bookmarkEnd w:id="61"/>
    <w:bookmarkStart w:id="66" w:name="deployment-pipeline"/>
    <w:p>
      <w:pPr>
        <w:pStyle w:val="Heading3"/>
      </w:pPr>
      <w:r>
        <w:t xml:space="preserve">5.5 Deployment Pipeline</w:t>
      </w:r>
    </w:p>
    <w:bookmarkStart w:id="62" w:name="model-export"/>
    <w:p>
      <w:pPr>
        <w:pStyle w:val="Heading4"/>
      </w:pPr>
      <w:r>
        <w:t xml:space="preserve">5.5.1 Model Export</w:t>
      </w:r>
    </w:p>
    <w:p>
      <w:pPr>
        <w:pStyle w:val="FirstParagraph"/>
      </w:pPr>
      <w:r>
        <w:t xml:space="preserve">Models that pass Gate A-val are exported from PyTorch to ONNX format using</w:t>
      </w:r>
      <w:r>
        <w:t xml:space="preserve"> </w:t>
      </w:r>
      <w:r>
        <w:rPr>
          <w:rStyle w:val="VerbatimChar"/>
        </w:rPr>
        <w:t xml:space="preserve">torch.onnx.export()</w:t>
      </w:r>
      <w:r>
        <w:t xml:space="preserve"> </w:t>
      </w:r>
      <w:r>
        <w:t xml:space="preserve">with dynamic batch size support and opset version 13. The export process validates output consistency between PyTorch and ONNX inference on a set of test inputs.</w:t>
      </w:r>
    </w:p>
    <w:bookmarkEnd w:id="62"/>
    <w:bookmarkStart w:id="63" w:name="tensorrt-conversion"/>
    <w:p>
      <w:pPr>
        <w:pStyle w:val="Heading4"/>
      </w:pPr>
      <w:r>
        <w:t xml:space="preserve">5.5.2 TensorRT Conversion</w:t>
      </w:r>
    </w:p>
    <w:p>
      <w:pPr>
        <w:pStyle w:val="FirstParagraph"/>
      </w:pPr>
      <w:r>
        <w:t xml:space="preserve">On the Jetson Xavier NX, ONNX models are converted to TensorRT engines using</w:t>
      </w:r>
      <w:r>
        <w:t xml:space="preserve"> </w:t>
      </w:r>
      <w:r>
        <w:rPr>
          <w:rStyle w:val="VerbatimChar"/>
        </w:rPr>
        <w:t xml:space="preserve">trtexec</w:t>
      </w:r>
      <w:r>
        <w:t xml:space="preserve"> </w:t>
      </w:r>
      <w:r>
        <w:t xml:space="preserve">with FP16 precision mode. TensorRT applies several optimizations:</w:t>
      </w:r>
    </w:p>
    <w:p>
      <w:pPr>
        <w:numPr>
          <w:ilvl w:val="0"/>
          <w:numId w:val="1009"/>
        </w:numPr>
        <w:pStyle w:val="Compact"/>
      </w:pPr>
      <w:r>
        <w:rPr>
          <w:bCs/>
          <w:b/>
        </w:rPr>
        <w:t xml:space="preserve">Layer fusion:</w:t>
      </w:r>
      <w:r>
        <w:t xml:space="preserve"> </w:t>
      </w:r>
      <w:r>
        <w:t xml:space="preserve">Combining sequential operations (Conv → BN → ReLU) into single GPU kernels.</w:t>
      </w:r>
    </w:p>
    <w:p>
      <w:pPr>
        <w:numPr>
          <w:ilvl w:val="0"/>
          <w:numId w:val="1009"/>
        </w:numPr>
        <w:pStyle w:val="Compact"/>
      </w:pPr>
      <w:r>
        <w:rPr>
          <w:bCs/>
          <w:b/>
        </w:rPr>
        <w:t xml:space="preserve">Precision calibration:</w:t>
      </w:r>
      <w:r>
        <w:t xml:space="preserve"> </w:t>
      </w:r>
      <w:r>
        <w:t xml:space="preserve">Reducing weight and activation precision from FP32 to FP16, halving memory bandwidth requirements with minimal accuracy loss.</w:t>
      </w:r>
    </w:p>
    <w:p>
      <w:pPr>
        <w:numPr>
          <w:ilvl w:val="0"/>
          <w:numId w:val="1009"/>
        </w:numPr>
        <w:pStyle w:val="Compact"/>
      </w:pPr>
      <w:r>
        <w:rPr>
          <w:bCs/>
          <w:b/>
        </w:rPr>
        <w:t xml:space="preserve">Kernel auto-tuning:</w:t>
      </w:r>
      <w:r>
        <w:t xml:space="preserve"> </w:t>
      </w:r>
      <w:r>
        <w:t xml:space="preserve">Selecting the fastest GPU kernel implementation for each layer based on the specific hardware (Volta GPU architecture in the Xavier NX).</w:t>
      </w:r>
    </w:p>
    <w:bookmarkEnd w:id="63"/>
    <w:bookmarkStart w:id="64" w:name="deepstream-integration"/>
    <w:p>
      <w:pPr>
        <w:pStyle w:val="Heading4"/>
      </w:pPr>
      <w:r>
        <w:t xml:space="preserve">5.5.3 DeepStream Integration</w:t>
      </w:r>
    </w:p>
    <w:p>
      <w:pPr>
        <w:pStyle w:val="FirstParagraph"/>
      </w:pPr>
      <w:r>
        <w:t xml:space="preserve">The TensorRT engine is integrated into NVIDIA’s DeepStream SDK, which provides an optimized video analytics pipeline. The DeepStream configuration specifies:</w:t>
      </w:r>
    </w:p>
    <w:p>
      <w:pPr>
        <w:numPr>
          <w:ilvl w:val="0"/>
          <w:numId w:val="1010"/>
        </w:numPr>
        <w:pStyle w:val="Compact"/>
      </w:pPr>
      <w:r>
        <w:t xml:space="preserve">Input resolution: 224×224 (matching EfficientNet-B0’s training resolution)</w:t>
      </w:r>
    </w:p>
    <w:p>
      <w:pPr>
        <w:numPr>
          <w:ilvl w:val="0"/>
          <w:numId w:val="1010"/>
        </w:numPr>
        <w:pStyle w:val="Compact"/>
      </w:pPr>
      <w:r>
        <w:t xml:space="preserve">Batch size: 1 (single-face inference)</w:t>
      </w:r>
    </w:p>
    <w:p>
      <w:pPr>
        <w:numPr>
          <w:ilvl w:val="0"/>
          <w:numId w:val="1010"/>
        </w:numPr>
        <w:pStyle w:val="Compact"/>
      </w:pPr>
      <w:r>
        <w:t xml:space="preserve">Network mode: FP16</w:t>
      </w:r>
    </w:p>
    <w:p>
      <w:pPr>
        <w:numPr>
          <w:ilvl w:val="0"/>
          <w:numId w:val="1010"/>
        </w:numPr>
        <w:pStyle w:val="Compact"/>
      </w:pPr>
      <w:r>
        <w:t xml:space="preserve">Preprocessing: Mean subtraction (123.675, 116.28, 103.53) and scaling (1/58.395)</w:t>
      </w:r>
    </w:p>
    <w:p>
      <w:pPr>
        <w:numPr>
          <w:ilvl w:val="0"/>
          <w:numId w:val="1010"/>
        </w:numPr>
        <w:pStyle w:val="Compact"/>
      </w:pPr>
      <w:r>
        <w:t xml:space="preserve">Output parsing: Softmax probability extraction for 3-class classification</w:t>
      </w:r>
    </w:p>
    <w:p>
      <w:pPr>
        <w:pStyle w:val="FirstParagraph"/>
      </w:pPr>
      <w:r>
        <w:t xml:space="preserve">The complete inference pipeline (video frame → face detection → crop → resize → inference → softmax → emotion label + confidence) achieves p50 latency ≤ 120 ms and GPU memory usage ≤ 0.8 GB on the Jetson Xavier NX.</w:t>
      </w:r>
    </w:p>
    <w:bookmarkEnd w:id="64"/>
    <w:bookmarkStart w:id="65" w:name="deployment-safety"/>
    <w:p>
      <w:pPr>
        <w:pStyle w:val="Heading4"/>
      </w:pPr>
      <w:r>
        <w:t xml:space="preserve">5.5.4 Deployment Safety</w:t>
      </w:r>
    </w:p>
    <w:p>
      <w:pPr>
        <w:pStyle w:val="FirstParagraph"/>
      </w:pPr>
      <w:r>
        <w:t xml:space="preserve">Before any model is promoted from shadow to production, the Deployment Agent (Agent 7) performs the following safety checks:</w:t>
      </w:r>
    </w:p>
    <w:p>
      <w:pPr>
        <w:numPr>
          <w:ilvl w:val="0"/>
          <w:numId w:val="1011"/>
        </w:numPr>
        <w:pStyle w:val="Compact"/>
      </w:pPr>
      <w:r>
        <w:rPr>
          <w:bCs/>
          <w:b/>
        </w:rPr>
        <w:t xml:space="preserve">Backup existing engine:</w:t>
      </w:r>
      <w:r>
        <w:t xml:space="preserve"> </w:t>
      </w:r>
      <w:r>
        <w:t xml:space="preserve">The currently deployed TensorRT engine is copied to a timestamped backup location.</w:t>
      </w:r>
    </w:p>
    <w:p>
      <w:pPr>
        <w:numPr>
          <w:ilvl w:val="0"/>
          <w:numId w:val="1011"/>
        </w:numPr>
        <w:pStyle w:val="Compact"/>
      </w:pPr>
      <w:r>
        <w:rPr>
          <w:bCs/>
          <w:b/>
        </w:rPr>
        <w:t xml:space="preserve">Gate B validation:</w:t>
      </w:r>
      <w:r>
        <w:t xml:space="preserve"> </w:t>
      </w:r>
      <w:r>
        <w:t xml:space="preserve">The new engine is tested against runtime requirements: FPS ≥ 25, latency p50 ≤ 120 ms, GPU memory ≤ 2.5 GB.</w:t>
      </w:r>
    </w:p>
    <w:p>
      <w:pPr>
        <w:numPr>
          <w:ilvl w:val="0"/>
          <w:numId w:val="1011"/>
        </w:numPr>
        <w:pStyle w:val="Compact"/>
      </w:pPr>
      <w:r>
        <w:rPr>
          <w:bCs/>
          <w:b/>
        </w:rPr>
        <w:t xml:space="preserve">Automatic rollback:</w:t>
      </w:r>
      <w:r>
        <w:t xml:space="preserve"> </w:t>
      </w:r>
      <w:r>
        <w:t xml:space="preserve">If Gate B fails, the backup engine is automatically restored and the deployment is marked as failed.</w:t>
      </w:r>
    </w:p>
    <w:p>
      <w:pPr>
        <w:numPr>
          <w:ilvl w:val="0"/>
          <w:numId w:val="1011"/>
        </w:numPr>
        <w:pStyle w:val="Compact"/>
      </w:pPr>
      <w:r>
        <w:rPr>
          <w:bCs/>
          <w:b/>
        </w:rPr>
        <w:t xml:space="preserve">Deployment metadata:</w:t>
      </w:r>
      <w:r>
        <w:t xml:space="preserve"> </w:t>
      </w:r>
      <w:r>
        <w:t xml:space="preserve">Engine version, model variant, metrics, and deployment timestamp are recorded in PostgreSQL.</w:t>
      </w:r>
    </w:p>
    <w:bookmarkEnd w:id="65"/>
    <w:bookmarkEnd w:id="66"/>
    <w:bookmarkStart w:id="67" w:name="agent-orchestration-system"/>
    <w:p>
      <w:pPr>
        <w:pStyle w:val="Heading3"/>
      </w:pPr>
      <w:r>
        <w:t xml:space="preserve">5.6 Agent Orchestration System</w:t>
      </w:r>
    </w:p>
    <w:p>
      <w:pPr>
        <w:pStyle w:val="FirstParagraph"/>
      </w:pPr>
      <w:r>
        <w:t xml:space="preserve">The 10-agent n8n orchestration system automates the complete ML lifecycle. Each agent is implemented as an n8n workflow with defined triggers, actions, and state transitions.</w:t>
      </w:r>
    </w:p>
    <w:p>
      <w:pPr>
        <w:pStyle w:val="BodyText"/>
      </w:pPr>
      <w:r>
        <w:rPr>
          <w:bCs/>
          <w:b/>
        </w:rPr>
        <w:t xml:space="preserve">Agent 1 — Ingest Agent:</w:t>
      </w:r>
      <w:r>
        <w:t xml:space="preserve"> </w:t>
      </w:r>
      <w:r>
        <w:t xml:space="preserve">Receives new videos via webhook or file system watch, computes SHA-256 checksums, extracts metadata (duration, FPS, resolution), generates thumbnails, and registers entries in PostgreSQL.</w:t>
      </w:r>
    </w:p>
    <w:p>
      <w:pPr>
        <w:pStyle w:val="BodyText"/>
      </w:pPr>
      <w:r>
        <w:rPr>
          <w:bCs/>
          <w:b/>
        </w:rPr>
        <w:t xml:space="preserve">Agent 2 — Labeling Agent:</w:t>
      </w:r>
      <w:r>
        <w:t xml:space="preserve"> </w:t>
      </w:r>
      <w:r>
        <w:t xml:space="preserve">Manages human-assisted classification with 3-class enforcement (happy, sad, neutral). Interfaces with the web UI to update per-class counts and balance status. Stages accepted clips from temporary to training directories.</w:t>
      </w:r>
    </w:p>
    <w:p>
      <w:pPr>
        <w:pStyle w:val="BodyText"/>
      </w:pPr>
      <w:r>
        <w:rPr>
          <w:bCs/>
          <w:b/>
        </w:rPr>
        <w:t xml:space="preserve">Agent 3 — Promotion/Curation Agent:</w:t>
      </w:r>
      <w:r>
        <w:t xml:space="preserve"> </w:t>
      </w:r>
      <w:r>
        <w:t xml:space="preserve">Orchestrates controlled movement of media between filesystem stages. Handles frame extraction, train/validation splitting, and class balance verification.</w:t>
      </w:r>
    </w:p>
    <w:p>
      <w:pPr>
        <w:pStyle w:val="BodyText"/>
      </w:pPr>
      <w:r>
        <w:rPr>
          <w:bCs/>
          <w:b/>
        </w:rPr>
        <w:t xml:space="preserve">Agent 4 — Reconciler/Audit Agent:</w:t>
      </w:r>
      <w:r>
        <w:t xml:space="preserve"> </w:t>
      </w:r>
      <w:r>
        <w:t xml:space="preserve">Ensures filesystem-database consistency by recomputing checksums, detecting orphans and duplicates, and rebuilding manifests when drift is detected.</w:t>
      </w:r>
    </w:p>
    <w:p>
      <w:pPr>
        <w:pStyle w:val="BodyText"/>
      </w:pPr>
      <w:r>
        <w:rPr>
          <w:bCs/>
          <w:b/>
        </w:rPr>
        <w:t xml:space="preserve">Agent 5 — Training Orchestrator:</w:t>
      </w:r>
      <w:r>
        <w:t xml:space="preserve"> </w:t>
      </w:r>
      <w:r>
        <w:t xml:space="preserve">Triggers EfficientNet-B0 fine-tuning when dataset balance and size thresholds are met. Manages the two-phase training process, records metrics to MLflow, and validates Gate A-val requirements before ONNX export.</w:t>
      </w:r>
    </w:p>
    <w:p>
      <w:pPr>
        <w:pStyle w:val="BodyText"/>
      </w:pPr>
      <w:r>
        <w:rPr>
          <w:bCs/>
          <w:b/>
        </w:rPr>
        <w:t xml:space="preserve">Agent 6 — Evaluation Agent:</w:t>
      </w:r>
      <w:r>
        <w:t xml:space="preserve"> </w:t>
      </w:r>
      <w:r>
        <w:t xml:space="preserve">Runs inference on test sets, computes comprehensive metrics, validates both Gate A tiers, and generates evaluation reports with confusion matrices.</w:t>
      </w:r>
    </w:p>
    <w:p>
      <w:pPr>
        <w:pStyle w:val="BodyText"/>
      </w:pPr>
      <w:r>
        <w:rPr>
          <w:bCs/>
          <w:b/>
        </w:rPr>
        <w:t xml:space="preserve">Agent 7 — Deployment Agent:</w:t>
      </w:r>
      <w:r>
        <w:t xml:space="preserve"> </w:t>
      </w:r>
      <w:r>
        <w:t xml:space="preserve">Promotes validated models through shadow → canary → rollout stages with explicit approval gates. Handles ONNX → TensorRT conversion, DeepStream configuration updates, and automatic rollback on Gate B failure.</w:t>
      </w:r>
    </w:p>
    <w:p>
      <w:pPr>
        <w:pStyle w:val="BodyText"/>
      </w:pPr>
      <w:r>
        <w:rPr>
          <w:bCs/>
          <w:b/>
        </w:rPr>
        <w:t xml:space="preserve">Agent 8 — Privacy/Retention Agent:</w:t>
      </w:r>
      <w:r>
        <w:t xml:space="preserve"> </w:t>
      </w:r>
      <w:r>
        <w:t xml:space="preserve">Enforces local-first policy, manages TTL-based automatic purging of temporary media, and logs all deletion events for audit compliance.</w:t>
      </w:r>
    </w:p>
    <w:p>
      <w:pPr>
        <w:pStyle w:val="BodyText"/>
      </w:pPr>
      <w:r>
        <w:rPr>
          <w:bCs/>
          <w:b/>
        </w:rPr>
        <w:t xml:space="preserve">Agent 9 — Observability/Telemetry Agent:</w:t>
      </w:r>
      <w:r>
        <w:t xml:space="preserve"> </w:t>
      </w:r>
      <w:r>
        <w:t xml:space="preserve">Aggregates system metrics from all agents, publishes to Prometheus, and triggers alerts when error budgets or SLOs are breached.</w:t>
      </w:r>
    </w:p>
    <w:p>
      <w:pPr>
        <w:pStyle w:val="BodyText"/>
      </w:pPr>
      <w:r>
        <w:rPr>
          <w:bCs/>
          <w:b/>
        </w:rPr>
        <w:t xml:space="preserve">Agent 10 — Reachy Gesture Agent:</w:t>
      </w:r>
      <w:r>
        <w:t xml:space="preserve"> </w:t>
      </w:r>
      <w:r>
        <w:t xml:space="preserve">Executes physical gestures on the Reachy Mini robot based on emotion context. Maps detected emotions to gesture sequences via a behavioral profile lookup, with a 5-tier confidence-based expressiveness modulation system.</w:t>
      </w:r>
    </w:p>
    <w:bookmarkEnd w:id="67"/>
    <w:bookmarkStart w:id="71" w:name="emotional-intelligence-layer"/>
    <w:p>
      <w:pPr>
        <w:pStyle w:val="Heading3"/>
      </w:pPr>
      <w:r>
        <w:t xml:space="preserve">5.7 Emotional Intelligence Layer</w:t>
      </w:r>
    </w:p>
    <w:p>
      <w:pPr>
        <w:pStyle w:val="FirstParagraph"/>
      </w:pPr>
      <w:r>
        <w:t xml:space="preserve">Beyond basic emotion classification, the system includes an Emotional Intelligence Layer (Phase 2) that translates detected emotions into nuanced behavioral responses:</w:t>
      </w:r>
    </w:p>
    <w:bookmarkStart w:id="68" w:name="ekman-taxonomy-mapping"/>
    <w:p>
      <w:pPr>
        <w:pStyle w:val="Heading4"/>
      </w:pPr>
      <w:r>
        <w:t xml:space="preserve">5.7.1 Ekman Taxonomy Mapping</w:t>
      </w:r>
    </w:p>
    <w:p>
      <w:pPr>
        <w:pStyle w:val="FirstParagraph"/>
      </w:pPr>
      <w:r>
        <w:t xml:space="preserve">Phase 1 operates with 3 classes (happy, sad, neutral), but the behavioral profile system is designed for the full 8-class Ekman taxonomy. Each emotion maps to an</w:t>
      </w:r>
      <w:r>
        <w:t xml:space="preserve"> </w:t>
      </w:r>
      <w:r>
        <w:rPr>
          <w:rStyle w:val="VerbatimChar"/>
        </w:rPr>
        <w:t xml:space="preserve">EkmanBehaviorProfile</w:t>
      </w:r>
      <w:r>
        <w:t xml:space="preserve"> </w:t>
      </w:r>
      <w:r>
        <w:t xml:space="preserve">that specifies:</w:t>
      </w:r>
    </w:p>
    <w:p>
      <w:pPr>
        <w:numPr>
          <w:ilvl w:val="0"/>
          <w:numId w:val="1012"/>
        </w:numPr>
        <w:pStyle w:val="Compact"/>
      </w:pPr>
      <w:r>
        <w:rPr>
          <w:bCs/>
          <w:b/>
        </w:rPr>
        <w:t xml:space="preserve">Response strategy:</w:t>
      </w:r>
      <w:r>
        <w:t xml:space="preserve"> </w:t>
      </w:r>
      <w:r>
        <w:t xml:space="preserve">High-level behavioral goal (e.g.,</w:t>
      </w:r>
      <w:r>
        <w:t xml:space="preserve"> </w:t>
      </w:r>
      <w:r>
        <w:t xml:space="preserve">“</w:t>
      </w:r>
      <w:r>
        <w:t xml:space="preserve">amplify_positive</w:t>
      </w:r>
      <w:r>
        <w:t xml:space="preserve">”</w:t>
      </w:r>
      <w:r>
        <w:t xml:space="preserve"> </w:t>
      </w:r>
      <w:r>
        <w:t xml:space="preserve">for happy,</w:t>
      </w:r>
      <w:r>
        <w:t xml:space="preserve"> </w:t>
      </w:r>
      <w:r>
        <w:t xml:space="preserve">“</w:t>
      </w:r>
      <w:r>
        <w:t xml:space="preserve">provide_support</w:t>
      </w:r>
      <w:r>
        <w:t xml:space="preserve">”</w:t>
      </w:r>
      <w:r>
        <w:t xml:space="preserve"> </w:t>
      </w:r>
      <w:r>
        <w:t xml:space="preserve">for sad,</w:t>
      </w:r>
      <w:r>
        <w:t xml:space="preserve"> </w:t>
      </w:r>
      <w:r>
        <w:t xml:space="preserve">“</w:t>
      </w:r>
      <w:r>
        <w:t xml:space="preserve">de_escalate</w:t>
      </w:r>
      <w:r>
        <w:t xml:space="preserve">”</w:t>
      </w:r>
      <w:r>
        <w:t xml:space="preserve"> </w:t>
      </w:r>
      <w:r>
        <w:t xml:space="preserve">for anger)</w:t>
      </w:r>
    </w:p>
    <w:p>
      <w:pPr>
        <w:numPr>
          <w:ilvl w:val="0"/>
          <w:numId w:val="1012"/>
        </w:numPr>
        <w:pStyle w:val="Compact"/>
      </w:pPr>
      <w:r>
        <w:rPr>
          <w:bCs/>
          <w:b/>
        </w:rPr>
        <w:t xml:space="preserve">LLM tone guidance:</w:t>
      </w:r>
      <w:r>
        <w:t xml:space="preserve"> </w:t>
      </w:r>
      <w:r>
        <w:t xml:space="preserve">Natural language instructions injected into the LLM system prompt to modulate conversational style</w:t>
      </w:r>
    </w:p>
    <w:p>
      <w:pPr>
        <w:numPr>
          <w:ilvl w:val="0"/>
          <w:numId w:val="1012"/>
        </w:numPr>
        <w:pStyle w:val="Compact"/>
      </w:pPr>
      <w:r>
        <w:rPr>
          <w:bCs/>
          <w:b/>
        </w:rPr>
        <w:t xml:space="preserve">Gesture keywords:</w:t>
      </w:r>
      <w:r>
        <w:t xml:space="preserve"> </w:t>
      </w:r>
      <w:r>
        <w:t xml:space="preserve">Ordered list of preferred physical gestures (e.g., THUMBS_UP, CELEBRATE for happy; EMPATHY, COMFORT for sad)</w:t>
      </w:r>
    </w:p>
    <w:p>
      <w:pPr>
        <w:numPr>
          <w:ilvl w:val="0"/>
          <w:numId w:val="1012"/>
        </w:numPr>
        <w:pStyle w:val="Compact"/>
      </w:pPr>
      <w:r>
        <w:rPr>
          <w:bCs/>
          <w:b/>
        </w:rPr>
        <w:t xml:space="preserve">Expressiveness hint:</w:t>
      </w:r>
      <w:r>
        <w:t xml:space="preserve"> </w:t>
      </w:r>
      <w:r>
        <w:t xml:space="preserve">Starting expressiveness tier, overridden by the confidence-based modulation system</w:t>
      </w:r>
    </w:p>
    <w:p>
      <w:pPr>
        <w:numPr>
          <w:ilvl w:val="0"/>
          <w:numId w:val="1012"/>
        </w:numPr>
        <w:pStyle w:val="Compact"/>
      </w:pPr>
      <w:r>
        <w:rPr>
          <w:bCs/>
          <w:b/>
        </w:rPr>
        <w:t xml:space="preserve">De-escalation flag:</w:t>
      </w:r>
      <w:r>
        <w:t xml:space="preserve"> </w:t>
      </w:r>
      <w:r>
        <w:t xml:space="preserve">Whether the emotion requires cautious, calming behavior</w:t>
      </w:r>
    </w:p>
    <w:p>
      <w:pPr>
        <w:numPr>
          <w:ilvl w:val="0"/>
          <w:numId w:val="1012"/>
        </w:numPr>
        <w:pStyle w:val="Compact"/>
      </w:pPr>
      <w:r>
        <w:rPr>
          <w:bCs/>
          <w:b/>
        </w:rPr>
        <w:t xml:space="preserve">Validation flag:</w:t>
      </w:r>
      <w:r>
        <w:t xml:space="preserve"> </w:t>
      </w:r>
      <w:r>
        <w:t xml:space="preserve">Whether to validate the user’s feelings before offering support</w:t>
      </w:r>
    </w:p>
    <w:bookmarkEnd w:id="68"/>
    <w:bookmarkStart w:id="69" w:name="confidence-based-gesture-modulation"/>
    <w:p>
      <w:pPr>
        <w:pStyle w:val="Heading4"/>
      </w:pPr>
      <w:r>
        <w:t xml:space="preserve">5.7.2 Confidence-Based Gesture Modulation</w:t>
      </w:r>
    </w:p>
    <w:p>
      <w:pPr>
        <w:pStyle w:val="FirstParagraph"/>
      </w:pPr>
      <w:r>
        <w:t xml:space="preserve">The gesture modulation system maps prediction confidence to a 5-tier expressiveness scale:</w:t>
      </w:r>
    </w:p>
    <w:tbl>
      <w:tblPr>
        <w:tblStyle w:val="Table"/>
        <w:tblW w:type="pct" w:w="5000"/>
        <w:tblLook w:firstRow="1" w:lastRow="0" w:firstColumn="0" w:lastColumn="0" w:noHBand="0" w:noVBand="0" w:val="0020"/>
        <w:jc w:val="start"/>
      </w:tblPr>
      <w:tblGrid>
        <w:gridCol w:w="669"/>
        <w:gridCol w:w="1896"/>
        <w:gridCol w:w="1784"/>
        <w:gridCol w:w="1896"/>
        <w:gridCol w:w="1673"/>
      </w:tblGrid>
      <w:tr>
        <w:trPr>
          <w:tblHeader w:val="true"/>
        </w:trPr>
        <w:tc>
          <w:tcPr/>
          <w:p>
            <w:pPr>
              <w:pStyle w:val="Compact"/>
              <w:jc w:val="left"/>
            </w:pPr>
            <w:r>
              <w:t xml:space="preserve">Tier</w:t>
            </w:r>
          </w:p>
        </w:tc>
        <w:tc>
          <w:tcPr/>
          <w:p>
            <w:pPr>
              <w:pStyle w:val="Compact"/>
              <w:jc w:val="left"/>
            </w:pPr>
            <w:r>
              <w:t xml:space="preserve">Confidence Range</w:t>
            </w:r>
          </w:p>
        </w:tc>
        <w:tc>
          <w:tcPr/>
          <w:p>
            <w:pPr>
              <w:pStyle w:val="Compact"/>
              <w:jc w:val="left"/>
            </w:pPr>
            <w:r>
              <w:t xml:space="preserve">Expressiveness</w:t>
            </w:r>
          </w:p>
        </w:tc>
        <w:tc>
          <w:tcPr/>
          <w:p>
            <w:pPr>
              <w:pStyle w:val="Compact"/>
              <w:jc w:val="left"/>
            </w:pPr>
            <w:r>
              <w:t xml:space="preserve">Example (Happy)</w:t>
            </w:r>
          </w:p>
        </w:tc>
        <w:tc>
          <w:tcPr/>
          <w:p>
            <w:pPr>
              <w:pStyle w:val="Compact"/>
              <w:jc w:val="left"/>
            </w:pPr>
            <w:r>
              <w:t xml:space="preserve">Example (Sad)</w:t>
            </w:r>
          </w:p>
        </w:tc>
      </w:tr>
      <w:tr>
        <w:tc>
          <w:tcPr/>
          <w:p>
            <w:pPr>
              <w:pStyle w:val="Compact"/>
              <w:jc w:val="left"/>
            </w:pPr>
            <w:r>
              <w:t xml:space="preserve">1</w:t>
            </w:r>
          </w:p>
        </w:tc>
        <w:tc>
          <w:tcPr/>
          <w:p>
            <w:pPr>
              <w:pStyle w:val="Compact"/>
              <w:jc w:val="left"/>
            </w:pPr>
            <w:r>
              <w:t xml:space="preserve">&lt; 0.60</w:t>
            </w:r>
          </w:p>
        </w:tc>
        <w:tc>
          <w:tcPr/>
          <w:p>
            <w:pPr>
              <w:pStyle w:val="Compact"/>
              <w:jc w:val="left"/>
            </w:pPr>
            <w:r>
              <w:rPr>
                <w:bCs/>
                <w:b/>
              </w:rPr>
              <w:t xml:space="preserve">Abstain</w:t>
            </w:r>
          </w:p>
        </w:tc>
        <w:tc>
          <w:tcPr/>
          <w:p>
            <w:pPr>
              <w:pStyle w:val="Compact"/>
              <w:jc w:val="left"/>
            </w:pPr>
            <w:r>
              <w:t xml:space="preserve">No gesture (maintain current state)</w:t>
            </w:r>
          </w:p>
        </w:tc>
        <w:tc>
          <w:tcPr/>
          <w:p>
            <w:pPr>
              <w:pStyle w:val="Compact"/>
              <w:jc w:val="left"/>
            </w:pPr>
            <w:r>
              <w:t xml:space="preserve">No gesture</w:t>
            </w:r>
          </w:p>
        </w:tc>
      </w:tr>
      <w:tr>
        <w:tc>
          <w:tcPr/>
          <w:p>
            <w:pPr>
              <w:pStyle w:val="Compact"/>
              <w:jc w:val="left"/>
            </w:pPr>
            <w:r>
              <w:t xml:space="preserve">2</w:t>
            </w:r>
          </w:p>
        </w:tc>
        <w:tc>
          <w:tcPr/>
          <w:p>
            <w:pPr>
              <w:pStyle w:val="Compact"/>
              <w:jc w:val="left"/>
            </w:pPr>
            <w:r>
              <w:t xml:space="preserve">0.60 – 0.70</w:t>
            </w:r>
          </w:p>
        </w:tc>
        <w:tc>
          <w:tcPr/>
          <w:p>
            <w:pPr>
              <w:pStyle w:val="Compact"/>
              <w:jc w:val="left"/>
            </w:pPr>
            <w:r>
              <w:rPr>
                <w:bCs/>
                <w:b/>
              </w:rPr>
              <w:t xml:space="preserve">Minimal</w:t>
            </w:r>
          </w:p>
        </w:tc>
        <w:tc>
          <w:tcPr/>
          <w:p>
            <w:pPr>
              <w:pStyle w:val="Compact"/>
              <w:jc w:val="left"/>
            </w:pPr>
            <w:r>
              <w:t xml:space="preserve">Subtle nod</w:t>
            </w:r>
          </w:p>
        </w:tc>
        <w:tc>
          <w:tcPr/>
          <w:p>
            <w:pPr>
              <w:pStyle w:val="Compact"/>
              <w:jc w:val="left"/>
            </w:pPr>
            <w:r>
              <w:t xml:space="preserve">Slight lean</w:t>
            </w:r>
          </w:p>
        </w:tc>
      </w:tr>
      <w:tr>
        <w:tc>
          <w:tcPr/>
          <w:p>
            <w:pPr>
              <w:pStyle w:val="Compact"/>
              <w:jc w:val="left"/>
            </w:pPr>
            <w:r>
              <w:t xml:space="preserve">3</w:t>
            </w:r>
          </w:p>
        </w:tc>
        <w:tc>
          <w:tcPr/>
          <w:p>
            <w:pPr>
              <w:pStyle w:val="Compact"/>
              <w:jc w:val="left"/>
            </w:pPr>
            <w:r>
              <w:t xml:space="preserve">0.70 – 0.80</w:t>
            </w:r>
          </w:p>
        </w:tc>
        <w:tc>
          <w:tcPr/>
          <w:p>
            <w:pPr>
              <w:pStyle w:val="Compact"/>
              <w:jc w:val="left"/>
            </w:pPr>
            <w:r>
              <w:rPr>
                <w:bCs/>
                <w:b/>
              </w:rPr>
              <w:t xml:space="preserve">Moderate</w:t>
            </w:r>
          </w:p>
        </w:tc>
        <w:tc>
          <w:tcPr/>
          <w:p>
            <w:pPr>
              <w:pStyle w:val="Compact"/>
              <w:jc w:val="left"/>
            </w:pPr>
            <w:r>
              <w:t xml:space="preserve">Gentle wave</w:t>
            </w:r>
          </w:p>
        </w:tc>
        <w:tc>
          <w:tcPr/>
          <w:p>
            <w:pPr>
              <w:pStyle w:val="Compact"/>
              <w:jc w:val="left"/>
            </w:pPr>
            <w:r>
              <w:t xml:space="preserve">Empathetic nod</w:t>
            </w:r>
          </w:p>
        </w:tc>
      </w:tr>
      <w:tr>
        <w:tc>
          <w:tcPr/>
          <w:p>
            <w:pPr>
              <w:pStyle w:val="Compact"/>
              <w:jc w:val="left"/>
            </w:pPr>
            <w:r>
              <w:t xml:space="preserve">4</w:t>
            </w:r>
          </w:p>
        </w:tc>
        <w:tc>
          <w:tcPr/>
          <w:p>
            <w:pPr>
              <w:pStyle w:val="Compact"/>
              <w:jc w:val="left"/>
            </w:pPr>
            <w:r>
              <w:t xml:space="preserve">0.80 – 0.90</w:t>
            </w:r>
          </w:p>
        </w:tc>
        <w:tc>
          <w:tcPr/>
          <w:p>
            <w:pPr>
              <w:pStyle w:val="Compact"/>
              <w:jc w:val="left"/>
            </w:pPr>
            <w:r>
              <w:rPr>
                <w:bCs/>
                <w:b/>
              </w:rPr>
              <w:t xml:space="preserve">Full</w:t>
            </w:r>
          </w:p>
        </w:tc>
        <w:tc>
          <w:tcPr/>
          <w:p>
            <w:pPr>
              <w:pStyle w:val="Compact"/>
              <w:jc w:val="left"/>
            </w:pPr>
            <w:r>
              <w:t xml:space="preserve">Enthusiastic wave</w:t>
            </w:r>
          </w:p>
        </w:tc>
        <w:tc>
          <w:tcPr/>
          <w:p>
            <w:pPr>
              <w:pStyle w:val="Compact"/>
              <w:jc w:val="left"/>
            </w:pPr>
            <w:r>
              <w:t xml:space="preserve">Comfort gesture</w:t>
            </w:r>
          </w:p>
        </w:tc>
      </w:tr>
      <w:tr>
        <w:tc>
          <w:tcPr/>
          <w:p>
            <w:pPr>
              <w:pStyle w:val="Compact"/>
              <w:jc w:val="left"/>
            </w:pPr>
            <w:r>
              <w:t xml:space="preserve">5</w:t>
            </w:r>
          </w:p>
        </w:tc>
        <w:tc>
          <w:tcPr/>
          <w:p>
            <w:pPr>
              <w:pStyle w:val="Compact"/>
              <w:jc w:val="left"/>
            </w:pPr>
            <w:r>
              <w:t xml:space="preserve">&gt; 0.90</w:t>
            </w:r>
          </w:p>
        </w:tc>
        <w:tc>
          <w:tcPr/>
          <w:p>
            <w:pPr>
              <w:pStyle w:val="Compact"/>
              <w:jc w:val="left"/>
            </w:pPr>
            <w:r>
              <w:rPr>
                <w:bCs/>
                <w:b/>
              </w:rPr>
              <w:t xml:space="preserve">Maximum</w:t>
            </w:r>
          </w:p>
        </w:tc>
        <w:tc>
          <w:tcPr/>
          <w:p>
            <w:pPr>
              <w:pStyle w:val="Compact"/>
              <w:jc w:val="left"/>
            </w:pPr>
            <w:r>
              <w:t xml:space="preserve">Celebration gesture</w:t>
            </w:r>
          </w:p>
        </w:tc>
        <w:tc>
          <w:tcPr/>
          <w:p>
            <w:pPr>
              <w:pStyle w:val="Compact"/>
              <w:jc w:val="left"/>
            </w:pPr>
            <w:r>
              <w:t xml:space="preserve">Hug gesture</w:t>
            </w:r>
          </w:p>
        </w:tc>
      </w:tr>
    </w:tbl>
    <w:p>
      <w:pPr>
        <w:pStyle w:val="BodyText"/>
      </w:pPr>
      <w:r>
        <w:t xml:space="preserve">This system ensures that the robot’s physical expressiveness is proportional to the model’s certainty. Low-confidence predictions produce subtle or no responses, preventing the robot from making dramatic gestures based on uncertain inputs. The 0.60 abstention threshold and 0.15 margin requirement (described in §2.4) provide additional safety against ambiguous inputs.</w:t>
      </w:r>
    </w:p>
    <w:bookmarkEnd w:id="69"/>
    <w:bookmarkStart w:id="70" w:name="llm-prompt-conditioning"/>
    <w:p>
      <w:pPr>
        <w:pStyle w:val="Heading4"/>
      </w:pPr>
      <w:r>
        <w:t xml:space="preserve">5.7.3 LLM Prompt Conditioning</w:t>
      </w:r>
    </w:p>
    <w:p>
      <w:pPr>
        <w:pStyle w:val="FirstParagraph"/>
      </w:pPr>
      <w:r>
        <w:t xml:space="preserve">When a conversational LLM is integrated, the detected emotion and confidence score are injected into the system prompt to modulate the LLM’s response style. For example, a sad detection with high confidence would produce a system prompt that includes:</w:t>
      </w:r>
    </w:p>
    <w:p>
      <w:pPr>
        <w:pStyle w:val="BlockText"/>
      </w:pPr>
      <w:r>
        <w:rPr>
          <w:iCs/>
          <w:i/>
        </w:rPr>
        <w:t xml:space="preserve">“</w:t>
      </w:r>
      <w:r>
        <w:rPr>
          <w:iCs/>
          <w:i/>
        </w:rPr>
        <w:t xml:space="preserve">Be gentle, patient, and understanding. Validate feelings without trying to fix them immediately. Use soft, comforting language. Listen more than you speak. Acknowledge it is okay to feel sad.</w:t>
      </w:r>
      <w:r>
        <w:rPr>
          <w:iCs/>
          <w:i/>
        </w:rPr>
        <w:t xml:space="preserve">”</w:t>
      </w:r>
    </w:p>
    <w:p>
      <w:pPr>
        <w:pStyle w:val="FirstParagraph"/>
      </w:pPr>
      <w:r>
        <w:t xml:space="preserve">This emotion-conditioned prompting allows the robot’s verbal responses to align with its physical gestures, creating a coherent emotional interaction.</w:t>
      </w:r>
    </w:p>
    <w:p>
      <w:r>
        <w:pict>
          <v:rect style="width:0;height:1.5pt" o:hralign="center" o:hrstd="t" o:hr="t"/>
        </w:pict>
      </w:r>
    </w:p>
    <w:bookmarkEnd w:id="70"/>
    <w:bookmarkEnd w:id="71"/>
    <w:bookmarkEnd w:id="72"/>
    <w:bookmarkStart w:id="83" w:name="chapter-6-experiments-and-results"/>
    <w:p>
      <w:pPr>
        <w:pStyle w:val="Heading2"/>
      </w:pPr>
      <w:r>
        <w:t xml:space="preserve">Chapter 6: Experiments and Results</w:t>
      </w:r>
    </w:p>
    <w:bookmarkStart w:id="73" w:name="experimental-setup"/>
    <w:p>
      <w:pPr>
        <w:pStyle w:val="Heading3"/>
      </w:pPr>
      <w:r>
        <w:t xml:space="preserve">6.1 Experimental Setup</w:t>
      </w:r>
    </w:p>
    <w:p>
      <w:pPr>
        <w:pStyle w:val="FirstParagraph"/>
      </w:pPr>
      <w:r>
        <w:t xml:space="preserve">All experiments were conducted on the Ubuntu 1 training node equipped with an NVIDIA GPU workstation running PyTorch 2.x with CUDA. Training used mixed precision (FP16) via PyTorch AMP. Both model variants were trained on identical data splits from run_0107, ensuring a fair comparison.</w:t>
      </w:r>
    </w:p>
    <w:p>
      <w:pPr>
        <w:pStyle w:val="BodyText"/>
      </w:pPr>
      <w:r>
        <w:rPr>
          <w:bCs/>
          <w:b/>
        </w:rPr>
        <w:t xml:space="preserve">Table 8. Hyperparameter configurations for run_0107.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Variant 1</w:t>
            </w:r>
          </w:p>
        </w:tc>
        <w:tc>
          <w:tcPr/>
          <w:p>
            <w:pPr>
              <w:pStyle w:val="Compact"/>
              <w:jc w:val="left"/>
            </w:pPr>
            <w:r>
              <w:t xml:space="preserve">Variant 2</w:t>
            </w:r>
          </w:p>
        </w:tc>
      </w:tr>
      <w:tr>
        <w:tc>
          <w:tcPr/>
          <w:p>
            <w:pPr>
              <w:pStyle w:val="Compact"/>
              <w:jc w:val="left"/>
            </w:pPr>
            <w:r>
              <w:t xml:space="preserve">Base learning rate</w:t>
            </w:r>
          </w:p>
        </w:tc>
        <w:tc>
          <w:tcPr/>
          <w:p>
            <w:pPr>
              <w:pStyle w:val="Compact"/>
              <w:jc w:val="left"/>
            </w:pPr>
            <w:r>
              <w:t xml:space="preserve">1e-4</w:t>
            </w:r>
          </w:p>
        </w:tc>
        <w:tc>
          <w:tcPr/>
          <w:p>
            <w:pPr>
              <w:pStyle w:val="Compact"/>
              <w:jc w:val="left"/>
            </w:pPr>
            <w:r>
              <w:t xml:space="preserve">3e-4</w:t>
            </w:r>
          </w:p>
        </w:tc>
      </w:tr>
      <w:tr>
        <w:tc>
          <w:tcPr/>
          <w:p>
            <w:pPr>
              <w:pStyle w:val="Compact"/>
              <w:jc w:val="left"/>
            </w:pPr>
            <w:r>
              <w:t xml:space="preserve">Backbone LR multiplier</w:t>
            </w:r>
          </w:p>
        </w:tc>
        <w:tc>
          <w:tcPr/>
          <w:p>
            <w:pPr>
              <w:pStyle w:val="Compact"/>
              <w:jc w:val="left"/>
            </w:pPr>
            <w:r>
              <w:t xml:space="preserve">N/A (frozen)</w:t>
            </w:r>
          </w:p>
        </w:tc>
        <w:tc>
          <w:tcPr/>
          <w:p>
            <w:pPr>
              <w:pStyle w:val="Compact"/>
              <w:jc w:val="left"/>
            </w:pPr>
            <w:r>
              <w:t xml:space="preserve">0.1×</w:t>
            </w:r>
          </w:p>
        </w:tc>
      </w:tr>
      <w:tr>
        <w:tc>
          <w:tcPr/>
          <w:p>
            <w:pPr>
              <w:pStyle w:val="Compact"/>
              <w:jc w:val="left"/>
            </w:pPr>
            <w:r>
              <w:t xml:space="preserve">Optimizer</w:t>
            </w:r>
          </w:p>
        </w:tc>
        <w:tc>
          <w:tcPr/>
          <w:p>
            <w:pPr>
              <w:pStyle w:val="Compact"/>
              <w:jc w:val="left"/>
            </w:pPr>
            <w:r>
              <w:t xml:space="preserve">AdamW</w:t>
            </w:r>
          </w:p>
        </w:tc>
        <w:tc>
          <w:tcPr/>
          <w:p>
            <w:pPr>
              <w:pStyle w:val="Compact"/>
              <w:jc w:val="left"/>
            </w:pPr>
            <w:r>
              <w:t xml:space="preserve">AdamW</w:t>
            </w:r>
          </w:p>
        </w:tc>
      </w:tr>
      <w:tr>
        <w:tc>
          <w:tcPr/>
          <w:p>
            <w:pPr>
              <w:pStyle w:val="Compact"/>
              <w:jc w:val="left"/>
            </w:pPr>
            <w:r>
              <w:t xml:space="preserve">Weight decay</w:t>
            </w:r>
          </w:p>
        </w:tc>
        <w:tc>
          <w:tcPr/>
          <w:p>
            <w:pPr>
              <w:pStyle w:val="Compact"/>
              <w:jc w:val="left"/>
            </w:pPr>
            <w:r>
              <w:t xml:space="preserve">1e-2</w:t>
            </w:r>
          </w:p>
        </w:tc>
        <w:tc>
          <w:tcPr/>
          <w:p>
            <w:pPr>
              <w:pStyle w:val="Compact"/>
              <w:jc w:val="left"/>
            </w:pPr>
            <w:r>
              <w:t xml:space="preserve">1e-2</w:t>
            </w:r>
          </w:p>
        </w:tc>
      </w:tr>
      <w:tr>
        <w:tc>
          <w:tcPr/>
          <w:p>
            <w:pPr>
              <w:pStyle w:val="Compact"/>
              <w:jc w:val="left"/>
            </w:pPr>
            <w:r>
              <w:t xml:space="preserve">LR schedule</w:t>
            </w:r>
          </w:p>
        </w:tc>
        <w:tc>
          <w:tcPr/>
          <w:p>
            <w:pPr>
              <w:pStyle w:val="Compact"/>
              <w:jc w:val="left"/>
            </w:pPr>
            <w:r>
              <w:t xml:space="preserve">Cosine annealing + warmup</w:t>
            </w:r>
          </w:p>
        </w:tc>
        <w:tc>
          <w:tcPr/>
          <w:p>
            <w:pPr>
              <w:pStyle w:val="Compact"/>
              <w:jc w:val="left"/>
            </w:pPr>
            <w:r>
              <w:t xml:space="preserve">Cosine annealing + warmup</w:t>
            </w:r>
          </w:p>
        </w:tc>
      </w:tr>
      <w:tr>
        <w:tc>
          <w:tcPr/>
          <w:p>
            <w:pPr>
              <w:pStyle w:val="Compact"/>
              <w:jc w:val="left"/>
            </w:pPr>
            <w:r>
              <w:t xml:space="preserve">Label smoothing</w:t>
            </w:r>
          </w:p>
        </w:tc>
        <w:tc>
          <w:tcPr/>
          <w:p>
            <w:pPr>
              <w:pStyle w:val="Compact"/>
              <w:jc w:val="left"/>
            </w:pPr>
            <w:r>
              <w:t xml:space="preserve">0.15</w:t>
            </w:r>
          </w:p>
        </w:tc>
        <w:tc>
          <w:tcPr/>
          <w:p>
            <w:pPr>
              <w:pStyle w:val="Compact"/>
              <w:jc w:val="left"/>
            </w:pPr>
            <w:r>
              <w:t xml:space="preserve">0.10</w:t>
            </w:r>
          </w:p>
        </w:tc>
      </w:tr>
      <w:tr>
        <w:tc>
          <w:tcPr/>
          <w:p>
            <w:pPr>
              <w:pStyle w:val="Compact"/>
              <w:jc w:val="left"/>
            </w:pPr>
            <w:r>
              <w:t xml:space="preserve">Dropout</w:t>
            </w:r>
          </w:p>
        </w:tc>
        <w:tc>
          <w:tcPr/>
          <w:p>
            <w:pPr>
              <w:pStyle w:val="Compact"/>
              <w:jc w:val="left"/>
            </w:pPr>
            <w:r>
              <w:t xml:space="preserve">0.3</w:t>
            </w:r>
          </w:p>
        </w:tc>
        <w:tc>
          <w:tcPr/>
          <w:p>
            <w:pPr>
              <w:pStyle w:val="Compact"/>
              <w:jc w:val="left"/>
            </w:pPr>
            <w:r>
              <w:t xml:space="preserve">0.3</w:t>
            </w:r>
          </w:p>
        </w:tc>
      </w:tr>
      <w:tr>
        <w:tc>
          <w:tcPr/>
          <w:p>
            <w:pPr>
              <w:pStyle w:val="Compact"/>
              <w:jc w:val="left"/>
            </w:pPr>
            <w:r>
              <w:t xml:space="preserve">Mixup alpha</w:t>
            </w:r>
          </w:p>
        </w:tc>
        <w:tc>
          <w:tcPr/>
          <w:p>
            <w:pPr>
              <w:pStyle w:val="Compact"/>
              <w:jc w:val="left"/>
            </w:pPr>
            <w:r>
              <w:t xml:space="preserve">0.2</w:t>
            </w:r>
          </w:p>
        </w:tc>
        <w:tc>
          <w:tcPr/>
          <w:p>
            <w:pPr>
              <w:pStyle w:val="Compact"/>
              <w:jc w:val="left"/>
            </w:pPr>
            <w:r>
              <w:t xml:space="preserve">0.2</w:t>
            </w:r>
          </w:p>
        </w:tc>
      </w:tr>
      <w:tr>
        <w:tc>
          <w:tcPr/>
          <w:p>
            <w:pPr>
              <w:pStyle w:val="Compact"/>
              <w:jc w:val="left"/>
            </w:pPr>
            <w:r>
              <w:t xml:space="preserve">Batch size</w:t>
            </w:r>
          </w:p>
        </w:tc>
        <w:tc>
          <w:tcPr/>
          <w:p>
            <w:pPr>
              <w:pStyle w:val="Compact"/>
              <w:jc w:val="left"/>
            </w:pPr>
            <w:r>
              <w:t xml:space="preserve">32</w:t>
            </w:r>
          </w:p>
        </w:tc>
        <w:tc>
          <w:tcPr/>
          <w:p>
            <w:pPr>
              <w:pStyle w:val="Compact"/>
              <w:jc w:val="left"/>
            </w:pPr>
            <w:r>
              <w:t xml:space="preserve">32</w:t>
            </w:r>
          </w:p>
        </w:tc>
      </w:tr>
      <w:tr>
        <w:tc>
          <w:tcPr/>
          <w:p>
            <w:pPr>
              <w:pStyle w:val="Compact"/>
              <w:jc w:val="left"/>
            </w:pPr>
            <w:r>
              <w:t xml:space="preserve">Freeze epochs</w:t>
            </w:r>
          </w:p>
        </w:tc>
        <w:tc>
          <w:tcPr/>
          <w:p>
            <w:pPr>
              <w:pStyle w:val="Compact"/>
              <w:jc w:val="left"/>
            </w:pPr>
            <w:r>
              <w:t xml:space="preserve">All (backbone always frozen)</w:t>
            </w:r>
          </w:p>
        </w:tc>
        <w:tc>
          <w:tcPr/>
          <w:p>
            <w:pPr>
              <w:pStyle w:val="Compact"/>
              <w:jc w:val="left"/>
            </w:pPr>
            <w:r>
              <w:t xml:space="preserve">5</w:t>
            </w:r>
          </w:p>
        </w:tc>
      </w:tr>
      <w:tr>
        <w:tc>
          <w:tcPr/>
          <w:p>
            <w:pPr>
              <w:pStyle w:val="Compact"/>
              <w:jc w:val="left"/>
            </w:pPr>
            <w:r>
              <w:t xml:space="preserve">Early stopping patience</w:t>
            </w:r>
          </w:p>
        </w:tc>
        <w:tc>
          <w:tcPr/>
          <w:p>
            <w:pPr>
              <w:pStyle w:val="Compact"/>
              <w:jc w:val="left"/>
            </w:pPr>
            <w:r>
              <w:t xml:space="preserve">10 epochs</w:t>
            </w:r>
          </w:p>
        </w:tc>
        <w:tc>
          <w:tcPr/>
          <w:p>
            <w:pPr>
              <w:pStyle w:val="Compact"/>
              <w:jc w:val="left"/>
            </w:pPr>
            <w:r>
              <w:t xml:space="preserve">10 epochs</w:t>
            </w:r>
          </w:p>
        </w:tc>
      </w:tr>
      <w:tr>
        <w:tc>
          <w:tcPr/>
          <w:p>
            <w:pPr>
              <w:pStyle w:val="Compact"/>
              <w:jc w:val="left"/>
            </w:pPr>
            <w:r>
              <w:t xml:space="preserve">Stopped at epoch</w:t>
            </w:r>
          </w:p>
        </w:tc>
        <w:tc>
          <w:tcPr/>
          <w:p>
            <w:pPr>
              <w:pStyle w:val="Compact"/>
              <w:jc w:val="left"/>
            </w:pPr>
            <w:r>
              <w:t xml:space="preserve">24</w:t>
            </w:r>
          </w:p>
        </w:tc>
        <w:tc>
          <w:tcPr/>
          <w:p>
            <w:pPr>
              <w:pStyle w:val="Compact"/>
              <w:jc w:val="left"/>
            </w:pPr>
            <w:r>
              <w:t xml:space="preserve">Variable (sweep)</w:t>
            </w:r>
          </w:p>
        </w:tc>
      </w:tr>
    </w:tbl>
    <w:bookmarkEnd w:id="73"/>
    <w:bookmarkStart w:id="74" w:name="the-face-cropping-discovery"/>
    <w:p>
      <w:pPr>
        <w:pStyle w:val="Heading3"/>
      </w:pPr>
      <w:r>
        <w:t xml:space="preserve">6.2 The Face Cropping Discovery</w:t>
      </w:r>
    </w:p>
    <w:p>
      <w:pPr>
        <w:pStyle w:val="FirstParagraph"/>
      </w:pPr>
      <w:r>
        <w:t xml:space="preserve">An important finding during the development process was the critical impact of face cropping on synthetic-to-real generalization. Prior to run_0107, frame extraction from synthetic videos captured the full scene — including AI-generated backgrounds, body poses, and environmental context. When tested on AffectNet photographs (which are tightly cropped face images), both variants performed poorly.</w:t>
      </w:r>
    </w:p>
    <w:p>
      <w:pPr>
        <w:pStyle w:val="BodyText"/>
      </w:pPr>
      <w:r>
        <w:rPr>
          <w:bCs/>
          <w:b/>
        </w:rPr>
        <w:t xml:space="preserve">Table 9. Impact of face cropping on test performance (run_0104 vs. run_0107).</w:t>
      </w:r>
    </w:p>
    <w:tbl>
      <w:tblPr>
        <w:tblStyle w:val="Table"/>
        <w:tblW w:type="pct" w:w="5000"/>
        <w:tblLook w:firstRow="1" w:lastRow="0" w:firstColumn="0" w:lastColumn="0" w:noHBand="0" w:noVBand="0" w:val="0020"/>
        <w:jc w:val="start"/>
      </w:tblPr>
      <w:tblGrid>
        <w:gridCol w:w="2578"/>
        <w:gridCol w:w="2026"/>
        <w:gridCol w:w="2026"/>
        <w:gridCol w:w="1289"/>
      </w:tblGrid>
      <w:tr>
        <w:trPr>
          <w:tblHeader w:val="true"/>
        </w:trPr>
        <w:tc>
          <w:tcPr/>
          <w:p>
            <w:pPr>
              <w:pStyle w:val="Compact"/>
              <w:jc w:val="left"/>
            </w:pPr>
            <w:r>
              <w:t xml:space="preserve">Configuration</w:t>
            </w:r>
          </w:p>
        </w:tc>
        <w:tc>
          <w:tcPr/>
          <w:p>
            <w:pPr>
              <w:pStyle w:val="Compact"/>
              <w:jc w:val="left"/>
            </w:pPr>
            <w:r>
              <w:t xml:space="preserve">V1 Test F1</w:t>
            </w:r>
          </w:p>
        </w:tc>
        <w:tc>
          <w:tcPr/>
          <w:p>
            <w:pPr>
              <w:pStyle w:val="Compact"/>
              <w:jc w:val="left"/>
            </w:pPr>
            <w:r>
              <w:t xml:space="preserve">V2 Test F1</w:t>
            </w:r>
          </w:p>
        </w:tc>
        <w:tc>
          <w:tcPr/>
          <w:p>
            <w:pPr>
              <w:pStyle w:val="Compact"/>
              <w:jc w:val="left"/>
            </w:pPr>
            <w:r>
              <w:t xml:space="preserve">Notes</w:t>
            </w:r>
          </w:p>
        </w:tc>
      </w:tr>
      <w:tr>
        <w:tc>
          <w:tcPr/>
          <w:p>
            <w:pPr>
              <w:pStyle w:val="Compact"/>
              <w:jc w:val="left"/>
            </w:pPr>
            <w:r>
              <w:rPr>
                <w:bCs/>
                <w:b/>
              </w:rPr>
              <w:t xml:space="preserve">run_0104</w:t>
            </w:r>
            <w:r>
              <w:t xml:space="preserve"> </w:t>
            </w:r>
            <w:r>
              <w:t xml:space="preserve">(no face crop)</w:t>
            </w:r>
          </w:p>
        </w:tc>
        <w:tc>
          <w:tcPr/>
          <w:p>
            <w:pPr>
              <w:pStyle w:val="Compact"/>
              <w:jc w:val="left"/>
            </w:pPr>
            <w:r>
              <w:t xml:space="preserve">0.43</w:t>
            </w:r>
          </w:p>
        </w:tc>
        <w:tc>
          <w:tcPr/>
          <w:p>
            <w:pPr>
              <w:pStyle w:val="Compact"/>
              <w:jc w:val="left"/>
            </w:pPr>
            <w:r>
              <w:t xml:space="preserve">0.44</w:t>
            </w:r>
          </w:p>
        </w:tc>
        <w:tc>
          <w:tcPr/>
          <w:p>
            <w:pPr>
              <w:pStyle w:val="Compact"/>
              <w:jc w:val="left"/>
            </w:pPr>
            <w:r>
              <w:t xml:space="preserve">Full-scene synthetic frames</w:t>
            </w:r>
          </w:p>
        </w:tc>
      </w:tr>
      <w:tr>
        <w:tc>
          <w:tcPr/>
          <w:p>
            <w:pPr>
              <w:pStyle w:val="Compact"/>
              <w:jc w:val="left"/>
            </w:pPr>
            <w:r>
              <w:rPr>
                <w:bCs/>
                <w:b/>
              </w:rPr>
              <w:t xml:space="preserve">run_0107</w:t>
            </w:r>
            <w:r>
              <w:t xml:space="preserve"> </w:t>
            </w:r>
            <w:r>
              <w:t xml:space="preserve">(with face crop)</w:t>
            </w:r>
          </w:p>
        </w:tc>
        <w:tc>
          <w:tcPr/>
          <w:p>
            <w:pPr>
              <w:pStyle w:val="Compact"/>
              <w:jc w:val="left"/>
            </w:pPr>
            <w:r>
              <w:t xml:space="preserve">0.781</w:t>
            </w:r>
          </w:p>
        </w:tc>
        <w:tc>
          <w:tcPr/>
          <w:p>
            <w:pPr>
              <w:pStyle w:val="Compact"/>
              <w:jc w:val="left"/>
            </w:pPr>
            <w:r>
              <w:t xml:space="preserve">0.780</w:t>
            </w:r>
          </w:p>
        </w:tc>
        <w:tc>
          <w:tcPr/>
          <w:p>
            <w:pPr>
              <w:pStyle w:val="Compact"/>
              <w:jc w:val="left"/>
            </w:pPr>
            <w:r>
              <w:t xml:space="preserve">Face-detected and cropped frames</w:t>
            </w:r>
          </w:p>
        </w:tc>
      </w:tr>
      <w:tr>
        <w:tc>
          <w:tcPr/>
          <w:p>
            <w:pPr>
              <w:pStyle w:val="Compact"/>
              <w:jc w:val="left"/>
            </w:pPr>
            <w:r>
              <w:rPr>
                <w:bCs/>
                <w:b/>
              </w:rPr>
              <w:t xml:space="preserve">Improvement</w:t>
            </w:r>
          </w:p>
        </w:tc>
        <w:tc>
          <w:tcPr/>
          <w:p>
            <w:pPr>
              <w:pStyle w:val="Compact"/>
              <w:jc w:val="left"/>
            </w:pPr>
            <w:r>
              <w:t xml:space="preserve">+0.351 (+82%)</w:t>
            </w:r>
          </w:p>
        </w:tc>
        <w:tc>
          <w:tcPr/>
          <w:p>
            <w:pPr>
              <w:pStyle w:val="Compact"/>
              <w:jc w:val="left"/>
            </w:pPr>
            <w:r>
              <w:t xml:space="preserve">+0.340 (+77%)</w:t>
            </w:r>
          </w:p>
        </w:tc>
        <w:tc>
          <w:tcPr/>
          <w:p>
            <w:pPr>
              <w:pStyle w:val="Compact"/>
              <w:jc w:val="left"/>
            </w:pPr>
            <w:r>
              <w:t xml:space="preserve">Near-doubling of performance</w:t>
            </w:r>
          </w:p>
        </w:tc>
      </w:tr>
    </w:tbl>
    <w:p>
      <w:pPr>
        <w:pStyle w:val="BodyText"/>
      </w:pPr>
      <w:r>
        <w:t xml:space="preserve">This result demonstrates that the primary domain gap was not in the facial expressions themselves but in the</w:t>
      </w:r>
      <w:r>
        <w:t xml:space="preserve"> </w:t>
      </w:r>
      <w:r>
        <w:rPr>
          <w:iCs/>
          <w:i/>
        </w:rPr>
        <w:t xml:space="preserve">contextual information</w:t>
      </w:r>
      <w:r>
        <w:t xml:space="preserve"> </w:t>
      </w:r>
      <w:r>
        <w:t xml:space="preserve">surrounding the faces. Synthetic video generators produce coherent scenes with characteristic backgrounds, lighting, and body proportions that are absent from real-world face crops. By isolating the face through detection and cropping, we remove this domain-specific confound and allow the model to focus on facial features that generalize across domains.</w:t>
      </w:r>
    </w:p>
    <w:p>
      <w:pPr>
        <w:pStyle w:val="BodyText"/>
      </w:pPr>
      <w:r>
        <w:t xml:space="preserve">Face detection was performed using a pre-trained face detector model stored at</w:t>
      </w:r>
      <w:r>
        <w:t xml:space="preserve"> </w:t>
      </w:r>
      <w:r>
        <w:rPr>
          <w:rStyle w:val="VerbatimChar"/>
        </w:rPr>
        <w:t xml:space="preserve">trainer/models/face_detector/</w:t>
      </w:r>
      <w:r>
        <w:t xml:space="preserve">, with a confidence threshold of 0.5 and a target crop size of 224×224 pixels (matching the EfficientNet-B0 input resolution).</w:t>
      </w:r>
    </w:p>
    <w:bookmarkEnd w:id="74"/>
    <w:bookmarkStart w:id="75" w:name="synthetic-validation-results"/>
    <w:p>
      <w:pPr>
        <w:pStyle w:val="Heading3"/>
      </w:pPr>
      <w:r>
        <w:t xml:space="preserve">6.3 Synthetic Validation Results</w:t>
      </w:r>
    </w:p>
    <w:p>
      <w:pPr>
        <w:pStyle w:val="FirstParagraph"/>
      </w:pPr>
      <w:r>
        <w:t xml:space="preserve">On the synthetic validation set (28,840 frames), both variants achieve near-perfect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Variant 1</w:t>
            </w:r>
          </w:p>
        </w:tc>
        <w:tc>
          <w:tcPr/>
          <w:p>
            <w:pPr>
              <w:pStyle w:val="Compact"/>
              <w:jc w:val="left"/>
            </w:pPr>
            <w:r>
              <w:t xml:space="preserve">Variant 2</w:t>
            </w:r>
          </w:p>
        </w:tc>
      </w:tr>
      <w:tr>
        <w:tc>
          <w:tcPr/>
          <w:p>
            <w:pPr>
              <w:pStyle w:val="Compact"/>
              <w:jc w:val="left"/>
            </w:pPr>
            <w:r>
              <w:t xml:space="preserve">F1 Macro</w:t>
            </w:r>
          </w:p>
        </w:tc>
        <w:tc>
          <w:tcPr/>
          <w:p>
            <w:pPr>
              <w:pStyle w:val="Compact"/>
              <w:jc w:val="left"/>
            </w:pPr>
            <w:r>
              <w:t xml:space="preserve">0.990</w:t>
            </w:r>
          </w:p>
        </w:tc>
        <w:tc>
          <w:tcPr/>
          <w:p>
            <w:pPr>
              <w:pStyle w:val="Compact"/>
              <w:jc w:val="left"/>
            </w:pPr>
            <w:r>
              <w:t xml:space="preserve">0.999</w:t>
            </w:r>
          </w:p>
        </w:tc>
      </w:tr>
      <w:tr>
        <w:tc>
          <w:tcPr/>
          <w:p>
            <w:pPr>
              <w:pStyle w:val="Compact"/>
              <w:jc w:val="left"/>
            </w:pPr>
            <w:r>
              <w:t xml:space="preserve">Balanced Accuracy</w:t>
            </w:r>
          </w:p>
        </w:tc>
        <w:tc>
          <w:tcPr/>
          <w:p>
            <w:pPr>
              <w:pStyle w:val="Compact"/>
              <w:jc w:val="left"/>
            </w:pPr>
            <w:r>
              <w:t xml:space="preserve">0.991</w:t>
            </w:r>
          </w:p>
        </w:tc>
        <w:tc>
          <w:tcPr/>
          <w:p>
            <w:pPr>
              <w:pStyle w:val="Compact"/>
              <w:jc w:val="left"/>
            </w:pPr>
            <w:r>
              <w:t xml:space="preserve">0.999</w:t>
            </w:r>
          </w:p>
        </w:tc>
      </w:tr>
      <w:tr>
        <w:tc>
          <w:tcPr/>
          <w:p>
            <w:pPr>
              <w:pStyle w:val="Compact"/>
              <w:jc w:val="left"/>
            </w:pPr>
            <w:r>
              <w:t xml:space="preserve">ECE</w:t>
            </w:r>
          </w:p>
        </w:tc>
        <w:tc>
          <w:tcPr/>
          <w:p>
            <w:pPr>
              <w:pStyle w:val="Compact"/>
              <w:jc w:val="left"/>
            </w:pPr>
            <w:r>
              <w:t xml:space="preserve">0.124</w:t>
            </w:r>
          </w:p>
        </w:tc>
        <w:tc>
          <w:tcPr/>
          <w:p>
            <w:pPr>
              <w:pStyle w:val="Compact"/>
              <w:jc w:val="left"/>
            </w:pPr>
            <w:r>
              <w:t xml:space="preserve">0.076</w:t>
            </w:r>
          </w:p>
        </w:tc>
      </w:tr>
      <w:tr>
        <w:tc>
          <w:tcPr/>
          <w:p>
            <w:pPr>
              <w:pStyle w:val="Compact"/>
              <w:jc w:val="left"/>
            </w:pPr>
            <w:r>
              <w:t xml:space="preserve">Brier</w:t>
            </w:r>
          </w:p>
        </w:tc>
        <w:tc>
          <w:tcPr/>
          <w:p>
            <w:pPr>
              <w:pStyle w:val="Compact"/>
              <w:jc w:val="left"/>
            </w:pPr>
            <w:r>
              <w:t xml:space="preserve">0.050</w:t>
            </w:r>
          </w:p>
        </w:tc>
        <w:tc>
          <w:tcPr/>
          <w:p>
            <w:pPr>
              <w:pStyle w:val="Compact"/>
              <w:jc w:val="left"/>
            </w:pPr>
            <w:r>
              <w:t xml:space="preserve">0.010</w:t>
            </w:r>
          </w:p>
        </w:tc>
      </w:tr>
      <w:tr>
        <w:tc>
          <w:tcPr/>
          <w:p>
            <w:pPr>
              <w:pStyle w:val="Compact"/>
              <w:jc w:val="left"/>
            </w:pPr>
            <w:r>
              <w:t xml:space="preserve">Gate A-val</w:t>
            </w:r>
          </w:p>
        </w:tc>
        <w:tc>
          <w:tcPr/>
          <w:p>
            <w:pPr>
              <w:pStyle w:val="Compact"/>
              <w:jc w:val="left"/>
            </w:pPr>
            <w:r>
              <w:rPr>
                <w:bCs/>
                <w:b/>
              </w:rPr>
              <w:t xml:space="preserve">FAILED</w:t>
            </w:r>
            <w:r>
              <w:t xml:space="preserve"> </w:t>
            </w:r>
            <w:r>
              <w:t xml:space="preserve">(ECE)</w:t>
            </w:r>
          </w:p>
        </w:tc>
        <w:tc>
          <w:tcPr/>
          <w:p>
            <w:pPr>
              <w:pStyle w:val="Compact"/>
              <w:jc w:val="left"/>
            </w:pPr>
            <w:r>
              <w:rPr>
                <w:bCs/>
                <w:b/>
              </w:rPr>
              <w:t xml:space="preserve">PASSED</w:t>
            </w:r>
          </w:p>
        </w:tc>
      </w:tr>
    </w:tbl>
    <w:p>
      <w:pPr>
        <w:pStyle w:val="BodyText"/>
      </w:pPr>
      <w:r>
        <w:t xml:space="preserve">Variant 2’s near-perfect synthetic metrics (F1 = 0.999) are expected given that it has 125× more trainable parameters than Variant 1 and was optimized through 90 hyperparameter trials. However, this exceptional synthetic performance does not translate to equivalent real-world performance — a finding that motivates the two-tier gate architecture.</w:t>
      </w:r>
    </w:p>
    <w:p>
      <w:pPr>
        <w:pStyle w:val="BodyText"/>
      </w:pPr>
      <w:r>
        <w:t xml:space="preserve">Notably, Variant 1</w:t>
      </w:r>
      <w:r>
        <w:t xml:space="preserve"> </w:t>
      </w:r>
      <w:r>
        <w:rPr>
          <w:iCs/>
          <w:i/>
        </w:rPr>
        <w:t xml:space="preserve">fails</w:t>
      </w:r>
      <w:r>
        <w:t xml:space="preserve"> </w:t>
      </w:r>
      <w:r>
        <w:t xml:space="preserve">Gate A-val due to its ECE of 0.124 exceeding the 0.12 threshold by a narrow margin. This does not prevent deployment consideration because Gate A-val controls only ONNX export, while the deployment decision is governed by Gate A-deploy (which V1 passes on real-world data). This asymmetry — passing Gate A-deploy but failing Gate A-val — is architecturally sound because it reflects the model’s superior calibration on real data compared to synthetic data.</w:t>
      </w:r>
    </w:p>
    <w:bookmarkEnd w:id="75"/>
    <w:bookmarkStart w:id="76" w:name="real-world-test-results"/>
    <w:p>
      <w:pPr>
        <w:pStyle w:val="Heading3"/>
      </w:pPr>
      <w:r>
        <w:t xml:space="preserve">6.4 Real-World Test Results</w:t>
      </w:r>
    </w:p>
    <w:p>
      <w:pPr>
        <w:pStyle w:val="FirstParagraph"/>
      </w:pPr>
      <w:r>
        <w:rPr>
          <w:bCs/>
          <w:b/>
        </w:rPr>
        <w:t xml:space="preserve">Table 10. Head-to-head test results: V1 vs. V2 on AffectNet (894 images).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V1 run_0107</w:t>
            </w:r>
          </w:p>
        </w:tc>
        <w:tc>
          <w:tcPr/>
          <w:p>
            <w:pPr>
              <w:pStyle w:val="Compact"/>
              <w:jc w:val="left"/>
            </w:pPr>
            <w:r>
              <w:t xml:space="preserve">V2 run_0107</w:t>
            </w:r>
          </w:p>
        </w:tc>
        <w:tc>
          <w:tcPr/>
          <w:p>
            <w:pPr>
              <w:pStyle w:val="Compact"/>
              <w:jc w:val="left"/>
            </w:pPr>
            <w:r>
              <w:t xml:space="preserve">Delta (V1−V2)</w:t>
            </w:r>
          </w:p>
        </w:tc>
        <w:tc>
          <w:tcPr/>
          <w:p>
            <w:pPr>
              <w:pStyle w:val="Compact"/>
              <w:jc w:val="left"/>
            </w:pPr>
            <w:r>
              <w:t xml:space="preserve">Winner</w:t>
            </w:r>
          </w:p>
        </w:tc>
      </w:tr>
      <w:tr>
        <w:tc>
          <w:tcPr/>
          <w:p>
            <w:pPr>
              <w:pStyle w:val="Compact"/>
              <w:jc w:val="left"/>
            </w:pPr>
            <w:r>
              <w:rPr>
                <w:bCs/>
                <w:b/>
              </w:rPr>
              <w:t xml:space="preserve">F1 Macro</w:t>
            </w:r>
          </w:p>
        </w:tc>
        <w:tc>
          <w:tcPr/>
          <w:p>
            <w:pPr>
              <w:pStyle w:val="Compact"/>
              <w:jc w:val="left"/>
            </w:pPr>
            <w:r>
              <w:rPr>
                <w:bCs/>
                <w:b/>
              </w:rPr>
              <w:t xml:space="preserve">0.7807</w:t>
            </w:r>
          </w:p>
        </w:tc>
        <w:tc>
          <w:tcPr/>
          <w:p>
            <w:pPr>
              <w:pStyle w:val="Compact"/>
              <w:jc w:val="left"/>
            </w:pPr>
            <w:r>
              <w:t xml:space="preserve">0.7798</w:t>
            </w:r>
          </w:p>
        </w:tc>
        <w:tc>
          <w:tcPr/>
          <w:p>
            <w:pPr>
              <w:pStyle w:val="Compact"/>
              <w:jc w:val="left"/>
            </w:pPr>
            <w:r>
              <w:t xml:space="preserve">+0.0009</w:t>
            </w:r>
          </w:p>
        </w:tc>
        <w:tc>
          <w:tcPr/>
          <w:p>
            <w:pPr>
              <w:pStyle w:val="Compact"/>
              <w:jc w:val="left"/>
            </w:pPr>
            <w:r>
              <w:t xml:space="preserve">V1 (marginal)</w:t>
            </w:r>
          </w:p>
        </w:tc>
      </w:tr>
      <w:tr>
        <w:tc>
          <w:tcPr/>
          <w:p>
            <w:pPr>
              <w:pStyle w:val="Compact"/>
              <w:jc w:val="left"/>
            </w:pPr>
            <w:r>
              <w:rPr>
                <w:bCs/>
                <w:b/>
              </w:rPr>
              <w:t xml:space="preserve">Balanced Accuracy</w:t>
            </w:r>
          </w:p>
        </w:tc>
        <w:tc>
          <w:tcPr/>
          <w:p>
            <w:pPr>
              <w:pStyle w:val="Compact"/>
              <w:jc w:val="left"/>
            </w:pPr>
            <w:r>
              <w:t xml:space="preserve">0.7994</w:t>
            </w:r>
          </w:p>
        </w:tc>
        <w:tc>
          <w:tcPr/>
          <w:p>
            <w:pPr>
              <w:pStyle w:val="Compact"/>
              <w:jc w:val="left"/>
            </w:pPr>
            <w:r>
              <w:rPr>
                <w:bCs/>
                <w:b/>
              </w:rPr>
              <w:t xml:space="preserve">0.8118</w:t>
            </w:r>
          </w:p>
        </w:tc>
        <w:tc>
          <w:tcPr/>
          <w:p>
            <w:pPr>
              <w:pStyle w:val="Compact"/>
              <w:jc w:val="left"/>
            </w:pPr>
            <w:r>
              <w:t xml:space="preserve">−0.0124</w:t>
            </w:r>
          </w:p>
        </w:tc>
        <w:tc>
          <w:tcPr/>
          <w:p>
            <w:pPr>
              <w:pStyle w:val="Compact"/>
              <w:jc w:val="left"/>
            </w:pPr>
            <w:r>
              <w:t xml:space="preserve">V2</w:t>
            </w:r>
          </w:p>
        </w:tc>
      </w:tr>
      <w:tr>
        <w:tc>
          <w:tcPr/>
          <w:p>
            <w:pPr>
              <w:pStyle w:val="Compact"/>
              <w:jc w:val="left"/>
            </w:pPr>
            <w:r>
              <w:t xml:space="preserve">Accuracy</w:t>
            </w:r>
          </w:p>
        </w:tc>
        <w:tc>
          <w:tcPr/>
          <w:p>
            <w:pPr>
              <w:pStyle w:val="Compact"/>
              <w:jc w:val="left"/>
            </w:pPr>
            <w:r>
              <w:t xml:space="preserve">0.7707</w:t>
            </w:r>
          </w:p>
        </w:tc>
        <w:tc>
          <w:tcPr/>
          <w:p>
            <w:pPr>
              <w:pStyle w:val="Compact"/>
              <w:jc w:val="left"/>
            </w:pPr>
            <w:r>
              <w:rPr>
                <w:bCs/>
                <w:b/>
              </w:rPr>
              <w:t xml:space="preserve">0.8166</w:t>
            </w:r>
          </w:p>
        </w:tc>
        <w:tc>
          <w:tcPr/>
          <w:p>
            <w:pPr>
              <w:pStyle w:val="Compact"/>
              <w:jc w:val="left"/>
            </w:pPr>
            <w:r>
              <w:t xml:space="preserve">−0.0459</w:t>
            </w:r>
          </w:p>
        </w:tc>
        <w:tc>
          <w:tcPr/>
          <w:p>
            <w:pPr>
              <w:pStyle w:val="Compact"/>
              <w:jc w:val="left"/>
            </w:pPr>
            <w:r>
              <w:t xml:space="preserve">V2</w:t>
            </w:r>
          </w:p>
        </w:tc>
      </w:tr>
      <w:tr>
        <w:tc>
          <w:tcPr/>
          <w:p>
            <w:pPr>
              <w:pStyle w:val="Compact"/>
              <w:jc w:val="left"/>
            </w:pPr>
            <w:r>
              <w:t xml:space="preserve">Precision Macro</w:t>
            </w:r>
          </w:p>
        </w:tc>
        <w:tc>
          <w:tcPr/>
          <w:p>
            <w:pPr>
              <w:pStyle w:val="Compact"/>
              <w:jc w:val="left"/>
            </w:pPr>
            <w:r>
              <w:rPr>
                <w:bCs/>
                <w:b/>
              </w:rPr>
              <w:t xml:space="preserve">0.8106</w:t>
            </w:r>
          </w:p>
        </w:tc>
        <w:tc>
          <w:tcPr/>
          <w:p>
            <w:pPr>
              <w:pStyle w:val="Compact"/>
              <w:jc w:val="left"/>
            </w:pPr>
            <w:r>
              <w:t xml:space="preserve">0.7860</w:t>
            </w:r>
          </w:p>
        </w:tc>
        <w:tc>
          <w:tcPr/>
          <w:p>
            <w:pPr>
              <w:pStyle w:val="Compact"/>
              <w:jc w:val="left"/>
            </w:pPr>
            <w:r>
              <w:t xml:space="preserve">+0.0246</w:t>
            </w:r>
          </w:p>
        </w:tc>
        <w:tc>
          <w:tcPr/>
          <w:p>
            <w:pPr>
              <w:pStyle w:val="Compact"/>
              <w:jc w:val="left"/>
            </w:pPr>
            <w:r>
              <w:t xml:space="preserve">V1</w:t>
            </w:r>
          </w:p>
        </w:tc>
      </w:tr>
      <w:tr>
        <w:tc>
          <w:tcPr/>
          <w:p>
            <w:pPr>
              <w:pStyle w:val="Compact"/>
              <w:jc w:val="left"/>
            </w:pPr>
            <w:r>
              <w:t xml:space="preserve">Recall Macro</w:t>
            </w:r>
          </w:p>
        </w:tc>
        <w:tc>
          <w:tcPr/>
          <w:p>
            <w:pPr>
              <w:pStyle w:val="Compact"/>
              <w:jc w:val="left"/>
            </w:pPr>
            <w:r>
              <w:t xml:space="preserve">0.7994</w:t>
            </w:r>
          </w:p>
        </w:tc>
        <w:tc>
          <w:tcPr/>
          <w:p>
            <w:pPr>
              <w:pStyle w:val="Compact"/>
              <w:jc w:val="left"/>
            </w:pPr>
            <w:r>
              <w:rPr>
                <w:bCs/>
                <w:b/>
              </w:rPr>
              <w:t xml:space="preserve">0.8118</w:t>
            </w:r>
          </w:p>
        </w:tc>
        <w:tc>
          <w:tcPr/>
          <w:p>
            <w:pPr>
              <w:pStyle w:val="Compact"/>
              <w:jc w:val="left"/>
            </w:pPr>
            <w:r>
              <w:t xml:space="preserve">−0.0124</w:t>
            </w:r>
          </w:p>
        </w:tc>
        <w:tc>
          <w:tcPr/>
          <w:p>
            <w:pPr>
              <w:pStyle w:val="Compact"/>
              <w:jc w:val="left"/>
            </w:pPr>
            <w:r>
              <w:t xml:space="preserve">V2</w:t>
            </w:r>
          </w:p>
        </w:tc>
      </w:tr>
      <w:tr>
        <w:tc>
          <w:tcPr/>
          <w:p>
            <w:pPr>
              <w:pStyle w:val="Compact"/>
              <w:jc w:val="left"/>
            </w:pPr>
            <w:r>
              <w:rPr>
                <w:bCs/>
                <w:b/>
              </w:rPr>
              <w:t xml:space="preserve">F1 Happy</w:t>
            </w:r>
          </w:p>
        </w:tc>
        <w:tc>
          <w:tcPr/>
          <w:p>
            <w:pPr>
              <w:pStyle w:val="Compact"/>
              <w:jc w:val="left"/>
            </w:pPr>
            <w:r>
              <w:t xml:space="preserve">0.7770</w:t>
            </w:r>
          </w:p>
        </w:tc>
        <w:tc>
          <w:tcPr/>
          <w:p>
            <w:pPr>
              <w:pStyle w:val="Compact"/>
              <w:jc w:val="left"/>
            </w:pPr>
            <w:r>
              <w:rPr>
                <w:bCs/>
                <w:b/>
              </w:rPr>
              <w:t xml:space="preserve">0.9464</w:t>
            </w:r>
          </w:p>
        </w:tc>
        <w:tc>
          <w:tcPr/>
          <w:p>
            <w:pPr>
              <w:pStyle w:val="Compact"/>
              <w:jc w:val="left"/>
            </w:pPr>
            <w:r>
              <w:t xml:space="preserve">−0.1694</w:t>
            </w:r>
          </w:p>
        </w:tc>
        <w:tc>
          <w:tcPr/>
          <w:p>
            <w:pPr>
              <w:pStyle w:val="Compact"/>
              <w:jc w:val="left"/>
            </w:pPr>
            <w:r>
              <w:t xml:space="preserve">V2</w:t>
            </w:r>
          </w:p>
        </w:tc>
      </w:tr>
      <w:tr>
        <w:tc>
          <w:tcPr/>
          <w:p>
            <w:pPr>
              <w:pStyle w:val="Compact"/>
              <w:jc w:val="left"/>
            </w:pPr>
            <w:r>
              <w:rPr>
                <w:bCs/>
                <w:b/>
              </w:rPr>
              <w:t xml:space="preserve">F1 Sad</w:t>
            </w:r>
          </w:p>
        </w:tc>
        <w:tc>
          <w:tcPr/>
          <w:p>
            <w:pPr>
              <w:pStyle w:val="Compact"/>
              <w:jc w:val="left"/>
            </w:pPr>
            <w:r>
              <w:rPr>
                <w:bCs/>
                <w:b/>
              </w:rPr>
              <w:t xml:space="preserve">0.8224</w:t>
            </w:r>
          </w:p>
        </w:tc>
        <w:tc>
          <w:tcPr/>
          <w:p>
            <w:pPr>
              <w:pStyle w:val="Compact"/>
              <w:jc w:val="left"/>
            </w:pPr>
            <w:r>
              <w:t xml:space="preserve">0.6940</w:t>
            </w:r>
          </w:p>
        </w:tc>
        <w:tc>
          <w:tcPr/>
          <w:p>
            <w:pPr>
              <w:pStyle w:val="Compact"/>
              <w:jc w:val="left"/>
            </w:pPr>
            <w:r>
              <w:t xml:space="preserve">+0.1285</w:t>
            </w:r>
          </w:p>
        </w:tc>
        <w:tc>
          <w:tcPr/>
          <w:p>
            <w:pPr>
              <w:pStyle w:val="Compact"/>
              <w:jc w:val="left"/>
            </w:pPr>
            <w:r>
              <w:t xml:space="preserve">V1</w:t>
            </w:r>
          </w:p>
        </w:tc>
      </w:tr>
      <w:tr>
        <w:tc>
          <w:tcPr/>
          <w:p>
            <w:pPr>
              <w:pStyle w:val="Compact"/>
              <w:jc w:val="left"/>
            </w:pPr>
            <w:r>
              <w:rPr>
                <w:bCs/>
                <w:b/>
              </w:rPr>
              <w:t xml:space="preserve">F1 Neutral</w:t>
            </w:r>
          </w:p>
        </w:tc>
        <w:tc>
          <w:tcPr/>
          <w:p>
            <w:pPr>
              <w:pStyle w:val="Compact"/>
              <w:jc w:val="left"/>
            </w:pPr>
            <w:r>
              <w:rPr>
                <w:bCs/>
                <w:b/>
              </w:rPr>
              <w:t xml:space="preserve">0.7427</w:t>
            </w:r>
          </w:p>
        </w:tc>
        <w:tc>
          <w:tcPr/>
          <w:p>
            <w:pPr>
              <w:pStyle w:val="Compact"/>
              <w:jc w:val="left"/>
            </w:pPr>
            <w:r>
              <w:t xml:space="preserve">0.6990</w:t>
            </w:r>
          </w:p>
        </w:tc>
        <w:tc>
          <w:tcPr/>
          <w:p>
            <w:pPr>
              <w:pStyle w:val="Compact"/>
              <w:jc w:val="left"/>
            </w:pPr>
            <w:r>
              <w:t xml:space="preserve">+0.0437</w:t>
            </w:r>
          </w:p>
        </w:tc>
        <w:tc>
          <w:tcPr/>
          <w:p>
            <w:pPr>
              <w:pStyle w:val="Compact"/>
              <w:jc w:val="left"/>
            </w:pPr>
            <w:r>
              <w:t xml:space="preserve">V1</w:t>
            </w:r>
          </w:p>
        </w:tc>
      </w:tr>
      <w:tr>
        <w:tc>
          <w:tcPr/>
          <w:p>
            <w:pPr>
              <w:pStyle w:val="Compact"/>
              <w:jc w:val="left"/>
            </w:pPr>
            <w:r>
              <w:rPr>
                <w:bCs/>
                <w:b/>
              </w:rPr>
              <w:t xml:space="preserve">ECE</w:t>
            </w:r>
          </w:p>
        </w:tc>
        <w:tc>
          <w:tcPr/>
          <w:p>
            <w:pPr>
              <w:pStyle w:val="Compact"/>
              <w:jc w:val="left"/>
            </w:pPr>
            <w:r>
              <w:t xml:space="preserve">0.1024</w:t>
            </w:r>
          </w:p>
        </w:tc>
        <w:tc>
          <w:tcPr/>
          <w:p>
            <w:pPr>
              <w:pStyle w:val="Compact"/>
              <w:jc w:val="left"/>
            </w:pPr>
            <w:r>
              <w:rPr>
                <w:bCs/>
                <w:b/>
              </w:rPr>
              <w:t xml:space="preserve">0.0955</w:t>
            </w:r>
          </w:p>
        </w:tc>
        <w:tc>
          <w:tcPr/>
          <w:p>
            <w:pPr>
              <w:pStyle w:val="Compact"/>
              <w:jc w:val="left"/>
            </w:pPr>
            <w:r>
              <w:t xml:space="preserve">+0.0069</w:t>
            </w:r>
          </w:p>
        </w:tc>
        <w:tc>
          <w:tcPr/>
          <w:p>
            <w:pPr>
              <w:pStyle w:val="Compact"/>
              <w:jc w:val="left"/>
            </w:pPr>
            <w:r>
              <w:t xml:space="preserve">V2</w:t>
            </w:r>
          </w:p>
        </w:tc>
      </w:tr>
      <w:tr>
        <w:tc>
          <w:tcPr/>
          <w:p>
            <w:pPr>
              <w:pStyle w:val="Compact"/>
              <w:jc w:val="left"/>
            </w:pPr>
            <w:r>
              <w:t xml:space="preserve">Brier</w:t>
            </w:r>
          </w:p>
        </w:tc>
        <w:tc>
          <w:tcPr/>
          <w:p>
            <w:pPr>
              <w:pStyle w:val="Compact"/>
              <w:jc w:val="left"/>
            </w:pPr>
            <w:r>
              <w:t xml:space="preserve">0.3401</w:t>
            </w:r>
          </w:p>
        </w:tc>
        <w:tc>
          <w:tcPr/>
          <w:p>
            <w:pPr>
              <w:pStyle w:val="Compact"/>
              <w:jc w:val="left"/>
            </w:pPr>
            <w:r>
              <w:rPr>
                <w:bCs/>
                <w:b/>
              </w:rPr>
              <w:t xml:space="preserve">0.2787</w:t>
            </w:r>
          </w:p>
        </w:tc>
        <w:tc>
          <w:tcPr/>
          <w:p>
            <w:pPr>
              <w:pStyle w:val="Compact"/>
              <w:jc w:val="left"/>
            </w:pPr>
            <w:r>
              <w:t xml:space="preserve">+0.0614</w:t>
            </w:r>
          </w:p>
        </w:tc>
        <w:tc>
          <w:tcPr/>
          <w:p>
            <w:pPr>
              <w:pStyle w:val="Compact"/>
              <w:jc w:val="left"/>
            </w:pPr>
            <w:r>
              <w:t xml:space="preserve">V2</w:t>
            </w:r>
          </w:p>
        </w:tc>
      </w:tr>
      <w:tr>
        <w:tc>
          <w:tcPr/>
          <w:p>
            <w:pPr>
              <w:pStyle w:val="Compact"/>
              <w:jc w:val="left"/>
            </w:pPr>
            <w:r>
              <w:t xml:space="preserve">MCE</w:t>
            </w:r>
          </w:p>
        </w:tc>
        <w:tc>
          <w:tcPr/>
          <w:p>
            <w:pPr>
              <w:pStyle w:val="Compact"/>
              <w:jc w:val="left"/>
            </w:pPr>
            <w:r>
              <w:rPr>
                <w:bCs/>
                <w:b/>
              </w:rPr>
              <w:t xml:space="preserve">0.1254</w:t>
            </w:r>
          </w:p>
        </w:tc>
        <w:tc>
          <w:tcPr/>
          <w:p>
            <w:pPr>
              <w:pStyle w:val="Compact"/>
              <w:jc w:val="left"/>
            </w:pPr>
            <w:r>
              <w:t xml:space="preserve">0.1303</w:t>
            </w:r>
          </w:p>
        </w:tc>
        <w:tc>
          <w:tcPr/>
          <w:p>
            <w:pPr>
              <w:pStyle w:val="Compact"/>
              <w:jc w:val="left"/>
            </w:pPr>
            <w:r>
              <w:t xml:space="preserve">−0.0050</w:t>
            </w:r>
          </w:p>
        </w:tc>
        <w:tc>
          <w:tcPr/>
          <w:p>
            <w:pPr>
              <w:pStyle w:val="Compact"/>
              <w:jc w:val="left"/>
            </w:pPr>
            <w:r>
              <w:t xml:space="preserve">V1</w:t>
            </w:r>
          </w:p>
        </w:tc>
      </w:tr>
    </w:tbl>
    <w:p>
      <w:pPr>
        <w:pStyle w:val="BodyText"/>
      </w:pPr>
      <w:r>
        <w:t xml:space="preserve">The most striking feature of these results is the near-identical F1 macro scores (Δ = 0.001) despite radically different per-class performance profiles. This illustrates a fundamental limitation of aggregate metrics: they can conceal critical class-level disparities.</w:t>
      </w:r>
    </w:p>
    <w:bookmarkEnd w:id="76"/>
    <w:bookmarkStart w:id="79" w:name="confusion-matrix-analysis"/>
    <w:p>
      <w:pPr>
        <w:pStyle w:val="Heading3"/>
      </w:pPr>
      <w:r>
        <w:t xml:space="preserve">6.5 Confusion Matrix Analysis</w:t>
      </w:r>
    </w:p>
    <w:p>
      <w:pPr>
        <w:pStyle w:val="FirstParagraph"/>
      </w:pPr>
      <w:r>
        <w:rPr>
          <w:bCs/>
          <w:b/>
        </w:rPr>
        <w:t xml:space="preserve">Table 11. Confusion matrix for Variant 1 (run_0107).</w:t>
      </w:r>
    </w:p>
    <w:p>
      <w:pPr>
        <w:pStyle w:val="SourceCode"/>
      </w:pPr>
      <w:r>
        <w:rPr>
          <w:rStyle w:val="VerbatimChar"/>
        </w:rPr>
        <w:t xml:space="preserve">                Predicted</w:t>
      </w:r>
      <w:r>
        <w:br/>
      </w:r>
      <w:r>
        <w:rPr>
          <w:rStyle w:val="VerbatimChar"/>
        </w:rPr>
        <w:t xml:space="preserve">                Happy    Sad    Neutral    Total    Recall</w:t>
      </w:r>
      <w:r>
        <w:br/>
      </w:r>
      <w:r>
        <w:rPr>
          <w:rStyle w:val="VerbatimChar"/>
        </w:rPr>
        <w:t xml:space="preserve">  Happy          277      11      147       435      63.7%</w:t>
      </w:r>
      <w:r>
        <w:br/>
      </w:r>
      <w:r>
        <w:rPr>
          <w:rStyle w:val="VerbatimChar"/>
        </w:rPr>
        <w:t xml:space="preserve">  Sad              0     132       28       160      82.5%</w:t>
      </w:r>
      <w:r>
        <w:br/>
      </w:r>
      <w:r>
        <w:rPr>
          <w:rStyle w:val="VerbatimChar"/>
        </w:rPr>
        <w:t xml:space="preserve">  Neutral          1      18      280       299      93.6%</w:t>
      </w:r>
      <w:r>
        <w:br/>
      </w:r>
      <w:r>
        <w:br/>
      </w:r>
      <w:r>
        <w:rPr>
          <w:rStyle w:val="VerbatimChar"/>
        </w:rPr>
        <w:t xml:space="preserve">  Precision:   99.6%   81.9%   61.5%</w:t>
      </w:r>
    </w:p>
    <w:p>
      <w:pPr>
        <w:pStyle w:val="FirstParagraph"/>
      </w:pPr>
      <w:r>
        <w:rPr>
          <w:bCs/>
          <w:b/>
        </w:rPr>
        <w:t xml:space="preserve">Table 12. Confusion matrix for Variant 2 (run_0107).</w:t>
      </w:r>
    </w:p>
    <w:p>
      <w:pPr>
        <w:pStyle w:val="SourceCode"/>
      </w:pPr>
      <w:r>
        <w:rPr>
          <w:rStyle w:val="VerbatimChar"/>
        </w:rPr>
        <w:t xml:space="preserve">                Predicted</w:t>
      </w:r>
      <w:r>
        <w:br/>
      </w:r>
      <w:r>
        <w:rPr>
          <w:rStyle w:val="VerbatimChar"/>
        </w:rPr>
        <w:t xml:space="preserve">                Happy    Sad    Neutral    Total    Recall</w:t>
      </w:r>
      <w:r>
        <w:br/>
      </w:r>
      <w:r>
        <w:rPr>
          <w:rStyle w:val="VerbatimChar"/>
        </w:rPr>
        <w:t xml:space="preserve">  Happy          406       6       23       435      93.3%</w:t>
      </w:r>
      <w:r>
        <w:br/>
      </w:r>
      <w:r>
        <w:rPr>
          <w:rStyle w:val="VerbatimChar"/>
        </w:rPr>
        <w:t xml:space="preserve">  Sad              3     144       13       160      90.0%</w:t>
      </w:r>
      <w:r>
        <w:br/>
      </w:r>
      <w:r>
        <w:rPr>
          <w:rStyle w:val="VerbatimChar"/>
        </w:rPr>
        <w:t xml:space="preserve">  Neutral         14     105      180       299      60.2%</w:t>
      </w:r>
      <w:r>
        <w:br/>
      </w:r>
      <w:r>
        <w:br/>
      </w:r>
      <w:r>
        <w:rPr>
          <w:rStyle w:val="VerbatimChar"/>
        </w:rPr>
        <w:t xml:space="preserve">  Precision:   96.0%   56.5%   83.3%</w:t>
      </w:r>
    </w:p>
    <w:bookmarkStart w:id="77" w:name="variant-1-error-analysis"/>
    <w:p>
      <w:pPr>
        <w:pStyle w:val="Heading4"/>
      </w:pPr>
      <w:r>
        <w:t xml:space="preserve">6.5.1 Variant 1 Error Analysis</w:t>
      </w:r>
    </w:p>
    <w:p>
      <w:pPr>
        <w:pStyle w:val="FirstParagraph"/>
      </w:pPr>
      <w:r>
        <w:t xml:space="preserve">Variant 1’s dominant error pattern is</w:t>
      </w:r>
      <w:r>
        <w:t xml:space="preserve"> </w:t>
      </w:r>
      <w:r>
        <w:rPr>
          <w:bCs/>
          <w:b/>
        </w:rPr>
        <w:t xml:space="preserve">happy → neutral confusion</w:t>
      </w:r>
      <w:r>
        <w:t xml:space="preserve"> </w:t>
      </w:r>
      <w:r>
        <w:t xml:space="preserve">(147 out of 435 happy samples, 33.8%). The model correctly identifies sad faces with high recall (82.5%) and neutral faces with excellent recall (93.6%), but struggles to distinguish happy from neutral — often defaulting to neutral predictions for ambiguous positive expressions.</w:t>
      </w:r>
    </w:p>
    <w:p>
      <w:pPr>
        <w:pStyle w:val="BodyText"/>
      </w:pPr>
      <w:r>
        <w:t xml:space="preserve">This error pattern is</w:t>
      </w:r>
      <w:r>
        <w:t xml:space="preserve"> </w:t>
      </w:r>
      <w:r>
        <w:rPr>
          <w:bCs/>
          <w:b/>
        </w:rPr>
        <w:t xml:space="preserve">behaviorally benign</w:t>
      </w:r>
      <w:r>
        <w:t xml:space="preserve">: when the robot misclassifies a happy person as neutral, it responds with a warm, approachable demeanor (the neutral behavioral profile) rather than celebrating or amplifying positive energy. This under-reaction is unlikely to be noticed or cause social friction.</w:t>
      </w:r>
    </w:p>
    <w:p>
      <w:pPr>
        <w:pStyle w:val="BodyText"/>
      </w:pPr>
      <w:r>
        <w:t xml:space="preserve">Critical observation: Variant 1 produces</w:t>
      </w:r>
      <w:r>
        <w:t xml:space="preserve"> </w:t>
      </w:r>
      <w:r>
        <w:rPr>
          <w:bCs/>
          <w:b/>
        </w:rPr>
        <w:t xml:space="preserve">zero</w:t>
      </w:r>
      <w:r>
        <w:t xml:space="preserve"> </w:t>
      </w:r>
      <w:r>
        <w:t xml:space="preserve">happy → sad misclassifications and only 11 happy → sad errors (2.5%). This means V1 almost never makes</w:t>
      </w:r>
      <w:r>
        <w:t xml:space="preserve"> </w:t>
      </w:r>
      <w:r>
        <w:rPr>
          <w:iCs/>
          <w:i/>
        </w:rPr>
        <w:t xml:space="preserve">cross-valence</w:t>
      </w:r>
      <w:r>
        <w:t xml:space="preserve"> </w:t>
      </w:r>
      <w:r>
        <w:t xml:space="preserve">errors — it does not confuse positive and negative emotions. This is an extremely desirable property for a companion robot.</w:t>
      </w:r>
    </w:p>
    <w:bookmarkEnd w:id="77"/>
    <w:bookmarkStart w:id="78" w:name="variant-2-error-analysis"/>
    <w:p>
      <w:pPr>
        <w:pStyle w:val="Heading4"/>
      </w:pPr>
      <w:r>
        <w:t xml:space="preserve">6.5.2 Variant 2 Error Analysis</w:t>
      </w:r>
    </w:p>
    <w:p>
      <w:pPr>
        <w:pStyle w:val="FirstParagraph"/>
      </w:pPr>
      <w:r>
        <w:t xml:space="preserve">Variant 2’s dominant error pattern is</w:t>
      </w:r>
      <w:r>
        <w:t xml:space="preserve"> </w:t>
      </w:r>
      <w:r>
        <w:rPr>
          <w:bCs/>
          <w:b/>
        </w:rPr>
        <w:t xml:space="preserve">neutral → sad confusion</w:t>
      </w:r>
      <w:r>
        <w:t xml:space="preserve"> </w:t>
      </w:r>
      <w:r>
        <w:t xml:space="preserve">(105 out of 299 neutral samples, 35.1%). The model excels at detecting happiness (93.3% recall) and performs well on sadness detection (90.0% recall), but systematically misclassifies neutral faces as sad.</w:t>
      </w:r>
    </w:p>
    <w:p>
      <w:pPr>
        <w:pStyle w:val="BodyText"/>
      </w:pPr>
      <w:r>
        <w:t xml:space="preserve">This error pattern is</w:t>
      </w:r>
      <w:r>
        <w:t xml:space="preserve"> </w:t>
      </w:r>
      <w:r>
        <w:rPr>
          <w:bCs/>
          <w:b/>
        </w:rPr>
        <w:t xml:space="preserve">behaviorally disruptive</w:t>
      </w:r>
      <w:r>
        <w:t xml:space="preserve">: when the robot misclassifies a neutral person as sad, it triggers the sadness behavioral profile — offering empathy, comfort, and acknowledging that</w:t>
      </w:r>
      <w:r>
        <w:t xml:space="preserve"> </w:t>
      </w:r>
      <w:r>
        <w:t xml:space="preserve">“</w:t>
      </w:r>
      <w:r>
        <w:t xml:space="preserve">it is okay to feel sad</w:t>
      </w:r>
      <w:r>
        <w:t xml:space="preserve">”</w:t>
      </w:r>
      <w:r>
        <w:t xml:space="preserve"> </w:t>
      </w:r>
      <w:r>
        <w:t xml:space="preserve">— to someone who is simply at rest. This creates an uncomfortable social dynamic where the robot appears to project emotions onto the user.</w:t>
      </w:r>
    </w:p>
    <w:p>
      <w:pPr>
        <w:pStyle w:val="BodyText"/>
      </w:pPr>
      <w:r>
        <w:t xml:space="preserve">Furthermore, V2’s sad</w:t>
      </w:r>
      <w:r>
        <w:t xml:space="preserve"> </w:t>
      </w:r>
      <w:r>
        <w:rPr>
          <w:iCs/>
          <w:i/>
        </w:rPr>
        <w:t xml:space="preserve">precision</w:t>
      </w:r>
      <w:r>
        <w:t xml:space="preserve"> </w:t>
      </w:r>
      <w:r>
        <w:t xml:space="preserve">is only 56.5% — when V2 says someone is sad, it is correct barely more than half the time. The other 43.5% of its sad predictions are predominantly neutral people. This makes V2’s sad classification unreliable for triggering empathy-based gestures.</w:t>
      </w:r>
    </w:p>
    <w:bookmarkEnd w:id="78"/>
    <w:bookmarkEnd w:id="79"/>
    <w:bookmarkStart w:id="80" w:name="gate-a-deploy-compliance"/>
    <w:p>
      <w:pPr>
        <w:pStyle w:val="Heading3"/>
      </w:pPr>
      <w:r>
        <w:t xml:space="preserve">6.6 Gate A-deploy Compliance</w:t>
      </w:r>
    </w:p>
    <w:p>
      <w:pPr>
        <w:pStyle w:val="FirstParagraph"/>
      </w:pPr>
      <w:r>
        <w:rPr>
          <w:bCs/>
          <w:b/>
        </w:rPr>
        <w:t xml:space="preserve">Table 13. Gate A-deploy compliance summary.</w:t>
      </w:r>
    </w:p>
    <w:tbl>
      <w:tblPr>
        <w:tblStyle w:val="Table"/>
        <w:tblW w:type="pct" w:w="5000"/>
        <w:tblLook w:firstRow="1" w:lastRow="0" w:firstColumn="0" w:lastColumn="0" w:noHBand="0" w:noVBand="0" w:val="0020"/>
        <w:jc w:val="start"/>
      </w:tblPr>
      <w:tblGrid>
        <w:gridCol w:w="1105"/>
        <w:gridCol w:w="2026"/>
        <w:gridCol w:w="920"/>
        <w:gridCol w:w="1473"/>
        <w:gridCol w:w="920"/>
        <w:gridCol w:w="1473"/>
      </w:tblGrid>
      <w:tr>
        <w:trPr>
          <w:tblHeader w:val="true"/>
        </w:trPr>
        <w:tc>
          <w:tcPr/>
          <w:p>
            <w:pPr>
              <w:pStyle w:val="Compact"/>
              <w:jc w:val="left"/>
            </w:pPr>
            <w:r>
              <w:t xml:space="preserve">Gate</w:t>
            </w:r>
          </w:p>
        </w:tc>
        <w:tc>
          <w:tcPr/>
          <w:p>
            <w:pPr>
              <w:pStyle w:val="Compact"/>
              <w:jc w:val="left"/>
            </w:pPr>
            <w:r>
              <w:t xml:space="preserve">Threshold</w:t>
            </w:r>
          </w:p>
        </w:tc>
        <w:tc>
          <w:tcPr/>
          <w:p>
            <w:pPr>
              <w:pStyle w:val="Compact"/>
              <w:jc w:val="left"/>
            </w:pPr>
            <w:r>
              <w:t xml:space="preserve">V1</w:t>
            </w:r>
          </w:p>
        </w:tc>
        <w:tc>
          <w:tcPr/>
          <w:p>
            <w:pPr>
              <w:pStyle w:val="Compact"/>
              <w:jc w:val="left"/>
            </w:pPr>
            <w:r>
              <w:t xml:space="preserve">Margin</w:t>
            </w:r>
          </w:p>
        </w:tc>
        <w:tc>
          <w:tcPr/>
          <w:p>
            <w:pPr>
              <w:pStyle w:val="Compact"/>
              <w:jc w:val="left"/>
            </w:pPr>
            <w:r>
              <w:t xml:space="preserve">V2</w:t>
            </w:r>
          </w:p>
        </w:tc>
        <w:tc>
          <w:tcPr/>
          <w:p>
            <w:pPr>
              <w:pStyle w:val="Compact"/>
              <w:jc w:val="left"/>
            </w:pPr>
            <w:r>
              <w:t xml:space="preserve">Margin</w:t>
            </w:r>
          </w:p>
        </w:tc>
      </w:tr>
      <w:tr>
        <w:tc>
          <w:tcPr/>
          <w:p>
            <w:pPr>
              <w:pStyle w:val="Compact"/>
              <w:jc w:val="left"/>
            </w:pPr>
            <w:r>
              <w:t xml:space="preserve">F1 Macro ≥ 0.75</w:t>
            </w:r>
          </w:p>
        </w:tc>
        <w:tc>
          <w:tcPr/>
          <w:p>
            <w:pPr>
              <w:pStyle w:val="Compact"/>
              <w:jc w:val="left"/>
            </w:pPr>
            <w:r>
              <w:t xml:space="preserve">0.75</w:t>
            </w:r>
          </w:p>
        </w:tc>
        <w:tc>
          <w:tcPr/>
          <w:p>
            <w:pPr>
              <w:pStyle w:val="Compact"/>
              <w:jc w:val="left"/>
            </w:pPr>
            <w:r>
              <w:rPr>
                <w:bCs/>
                <w:b/>
              </w:rPr>
              <w:t xml:space="preserve">0.7807 PASS</w:t>
            </w:r>
          </w:p>
        </w:tc>
        <w:tc>
          <w:tcPr/>
          <w:p>
            <w:pPr>
              <w:pStyle w:val="Compact"/>
              <w:jc w:val="left"/>
            </w:pPr>
            <w:r>
              <w:t xml:space="preserve">+0.031</w:t>
            </w:r>
          </w:p>
        </w:tc>
        <w:tc>
          <w:tcPr/>
          <w:p>
            <w:pPr>
              <w:pStyle w:val="Compact"/>
              <w:jc w:val="left"/>
            </w:pPr>
            <w:r>
              <w:rPr>
                <w:bCs/>
                <w:b/>
              </w:rPr>
              <w:t xml:space="preserve">0.7798 PASS</w:t>
            </w:r>
          </w:p>
        </w:tc>
        <w:tc>
          <w:tcPr/>
          <w:p>
            <w:pPr>
              <w:pStyle w:val="Compact"/>
              <w:jc w:val="left"/>
            </w:pPr>
            <w:r>
              <w:t xml:space="preserve">+0.030</w:t>
            </w:r>
          </w:p>
        </w:tc>
      </w:tr>
      <w:tr>
        <w:tc>
          <w:tcPr/>
          <w:p>
            <w:pPr>
              <w:pStyle w:val="Compact"/>
              <w:jc w:val="left"/>
            </w:pPr>
            <w:r>
              <w:t xml:space="preserve">Balanced Acc ≥ 0.75</w:t>
            </w:r>
          </w:p>
        </w:tc>
        <w:tc>
          <w:tcPr/>
          <w:p>
            <w:pPr>
              <w:pStyle w:val="Compact"/>
              <w:jc w:val="left"/>
            </w:pPr>
            <w:r>
              <w:t xml:space="preserve">0.75</w:t>
            </w:r>
          </w:p>
        </w:tc>
        <w:tc>
          <w:tcPr/>
          <w:p>
            <w:pPr>
              <w:pStyle w:val="Compact"/>
              <w:jc w:val="left"/>
            </w:pPr>
            <w:r>
              <w:rPr>
                <w:bCs/>
                <w:b/>
              </w:rPr>
              <w:t xml:space="preserve">0.7994 PASS</w:t>
            </w:r>
          </w:p>
        </w:tc>
        <w:tc>
          <w:tcPr/>
          <w:p>
            <w:pPr>
              <w:pStyle w:val="Compact"/>
              <w:jc w:val="left"/>
            </w:pPr>
            <w:r>
              <w:t xml:space="preserve">+0.049</w:t>
            </w:r>
          </w:p>
        </w:tc>
        <w:tc>
          <w:tcPr/>
          <w:p>
            <w:pPr>
              <w:pStyle w:val="Compact"/>
              <w:jc w:val="left"/>
            </w:pPr>
            <w:r>
              <w:rPr>
                <w:bCs/>
                <w:b/>
              </w:rPr>
              <w:t xml:space="preserve">0.8118 PASS</w:t>
            </w:r>
          </w:p>
        </w:tc>
        <w:tc>
          <w:tcPr/>
          <w:p>
            <w:pPr>
              <w:pStyle w:val="Compact"/>
              <w:jc w:val="left"/>
            </w:pPr>
            <w:r>
              <w:t xml:space="preserve">+0.062</w:t>
            </w:r>
          </w:p>
        </w:tc>
      </w:tr>
      <w:tr>
        <w:tc>
          <w:tcPr/>
          <w:p>
            <w:pPr>
              <w:pStyle w:val="Compact"/>
              <w:jc w:val="left"/>
            </w:pPr>
            <w:r>
              <w:t xml:space="preserve">F1 Happy ≥ 0.70</w:t>
            </w:r>
          </w:p>
        </w:tc>
        <w:tc>
          <w:tcPr/>
          <w:p>
            <w:pPr>
              <w:pStyle w:val="Compact"/>
              <w:jc w:val="left"/>
            </w:pPr>
            <w:r>
              <w:t xml:space="preserve">0.70</w:t>
            </w:r>
          </w:p>
        </w:tc>
        <w:tc>
          <w:tcPr/>
          <w:p>
            <w:pPr>
              <w:pStyle w:val="Compact"/>
              <w:jc w:val="left"/>
            </w:pPr>
            <w:r>
              <w:rPr>
                <w:bCs/>
                <w:b/>
              </w:rPr>
              <w:t xml:space="preserve">0.7770 PASS</w:t>
            </w:r>
          </w:p>
        </w:tc>
        <w:tc>
          <w:tcPr/>
          <w:p>
            <w:pPr>
              <w:pStyle w:val="Compact"/>
              <w:jc w:val="left"/>
            </w:pPr>
            <w:r>
              <w:t xml:space="preserve">+0.077</w:t>
            </w:r>
          </w:p>
        </w:tc>
        <w:tc>
          <w:tcPr/>
          <w:p>
            <w:pPr>
              <w:pStyle w:val="Compact"/>
              <w:jc w:val="left"/>
            </w:pPr>
            <w:r>
              <w:rPr>
                <w:bCs/>
                <w:b/>
              </w:rPr>
              <w:t xml:space="preserve">0.9464 PASS</w:t>
            </w:r>
          </w:p>
        </w:tc>
        <w:tc>
          <w:tcPr/>
          <w:p>
            <w:pPr>
              <w:pStyle w:val="Compact"/>
              <w:jc w:val="left"/>
            </w:pPr>
            <w:r>
              <w:t xml:space="preserve">+0.246</w:t>
            </w:r>
          </w:p>
        </w:tc>
      </w:tr>
      <w:tr>
        <w:tc>
          <w:tcPr/>
          <w:p>
            <w:pPr>
              <w:pStyle w:val="Compact"/>
              <w:jc w:val="left"/>
            </w:pPr>
            <w:r>
              <w:t xml:space="preserve">F1 Sad ≥ 0.70</w:t>
            </w:r>
          </w:p>
        </w:tc>
        <w:tc>
          <w:tcPr/>
          <w:p>
            <w:pPr>
              <w:pStyle w:val="Compact"/>
              <w:jc w:val="left"/>
            </w:pPr>
            <w:r>
              <w:t xml:space="preserve">0.70</w:t>
            </w:r>
          </w:p>
        </w:tc>
        <w:tc>
          <w:tcPr/>
          <w:p>
            <w:pPr>
              <w:pStyle w:val="Compact"/>
              <w:jc w:val="left"/>
            </w:pPr>
            <w:r>
              <w:rPr>
                <w:bCs/>
                <w:b/>
              </w:rPr>
              <w:t xml:space="preserve">0.8224 PASS</w:t>
            </w:r>
          </w:p>
        </w:tc>
        <w:tc>
          <w:tcPr/>
          <w:p>
            <w:pPr>
              <w:pStyle w:val="Compact"/>
              <w:jc w:val="left"/>
            </w:pPr>
            <w:r>
              <w:t xml:space="preserve">+0.122</w:t>
            </w:r>
          </w:p>
        </w:tc>
        <w:tc>
          <w:tcPr/>
          <w:p>
            <w:pPr>
              <w:pStyle w:val="Compact"/>
              <w:jc w:val="left"/>
            </w:pPr>
            <w:r>
              <w:rPr>
                <w:bCs/>
                <w:b/>
              </w:rPr>
              <w:t xml:space="preserve">0.6940 FAIL</w:t>
            </w:r>
          </w:p>
        </w:tc>
        <w:tc>
          <w:tcPr/>
          <w:p>
            <w:pPr>
              <w:pStyle w:val="Compact"/>
              <w:jc w:val="left"/>
            </w:pPr>
            <w:r>
              <w:t xml:space="preserve">−0.006</w:t>
            </w:r>
          </w:p>
        </w:tc>
      </w:tr>
      <w:tr>
        <w:tc>
          <w:tcPr/>
          <w:p>
            <w:pPr>
              <w:pStyle w:val="Compact"/>
              <w:jc w:val="left"/>
            </w:pPr>
            <w:r>
              <w:t xml:space="preserve">F1 Neutral ≥ 0.70</w:t>
            </w:r>
          </w:p>
        </w:tc>
        <w:tc>
          <w:tcPr/>
          <w:p>
            <w:pPr>
              <w:pStyle w:val="Compact"/>
              <w:jc w:val="left"/>
            </w:pPr>
            <w:r>
              <w:t xml:space="preserve">0.70</w:t>
            </w:r>
          </w:p>
        </w:tc>
        <w:tc>
          <w:tcPr/>
          <w:p>
            <w:pPr>
              <w:pStyle w:val="Compact"/>
              <w:jc w:val="left"/>
            </w:pPr>
            <w:r>
              <w:rPr>
                <w:bCs/>
                <w:b/>
              </w:rPr>
              <w:t xml:space="preserve">0.7427 PASS</w:t>
            </w:r>
          </w:p>
        </w:tc>
        <w:tc>
          <w:tcPr/>
          <w:p>
            <w:pPr>
              <w:pStyle w:val="Compact"/>
              <w:jc w:val="left"/>
            </w:pPr>
            <w:r>
              <w:t xml:space="preserve">+0.043</w:t>
            </w:r>
          </w:p>
        </w:tc>
        <w:tc>
          <w:tcPr/>
          <w:p>
            <w:pPr>
              <w:pStyle w:val="Compact"/>
              <w:jc w:val="left"/>
            </w:pPr>
            <w:r>
              <w:rPr>
                <w:bCs/>
                <w:b/>
              </w:rPr>
              <w:t xml:space="preserve">0.6990 FAIL</w:t>
            </w:r>
          </w:p>
        </w:tc>
        <w:tc>
          <w:tcPr/>
          <w:p>
            <w:pPr>
              <w:pStyle w:val="Compact"/>
              <w:jc w:val="left"/>
            </w:pPr>
            <w:r>
              <w:t xml:space="preserve">−0.001</w:t>
            </w:r>
          </w:p>
        </w:tc>
      </w:tr>
      <w:tr>
        <w:tc>
          <w:tcPr/>
          <w:p>
            <w:pPr>
              <w:pStyle w:val="Compact"/>
              <w:jc w:val="left"/>
            </w:pPr>
            <w:r>
              <w:t xml:space="preserve">ECE ≤ 0.12</w:t>
            </w:r>
          </w:p>
        </w:tc>
        <w:tc>
          <w:tcPr/>
          <w:p>
            <w:pPr>
              <w:pStyle w:val="Compact"/>
              <w:jc w:val="left"/>
            </w:pPr>
            <w:r>
              <w:t xml:space="preserve">0.12</w:t>
            </w:r>
          </w:p>
        </w:tc>
        <w:tc>
          <w:tcPr/>
          <w:p>
            <w:pPr>
              <w:pStyle w:val="Compact"/>
              <w:jc w:val="left"/>
            </w:pPr>
            <w:r>
              <w:rPr>
                <w:bCs/>
                <w:b/>
              </w:rPr>
              <w:t xml:space="preserve">0.1024 PASS</w:t>
            </w:r>
          </w:p>
        </w:tc>
        <w:tc>
          <w:tcPr/>
          <w:p>
            <w:pPr>
              <w:pStyle w:val="Compact"/>
              <w:jc w:val="left"/>
            </w:pPr>
            <w:r>
              <w:t xml:space="preserve">+0.018</w:t>
            </w:r>
          </w:p>
        </w:tc>
        <w:tc>
          <w:tcPr/>
          <w:p>
            <w:pPr>
              <w:pStyle w:val="Compact"/>
              <w:jc w:val="left"/>
            </w:pPr>
            <w:r>
              <w:rPr>
                <w:bCs/>
                <w:b/>
              </w:rPr>
              <w:t xml:space="preserve">0.0955 PASS</w:t>
            </w:r>
          </w:p>
        </w:tc>
        <w:tc>
          <w:tcPr/>
          <w:p>
            <w:pPr>
              <w:pStyle w:val="Compact"/>
              <w:jc w:val="left"/>
            </w:pPr>
            <w:r>
              <w:t xml:space="preserve">+0.025</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6/6 PASSED</w:t>
            </w:r>
          </w:p>
        </w:tc>
        <w:tc>
          <w:tcPr/>
          <w:p>
            <w:pPr>
              <w:pStyle w:val="Compact"/>
            </w:pPr>
          </w:p>
        </w:tc>
        <w:tc>
          <w:tcPr/>
          <w:p>
            <w:pPr>
              <w:pStyle w:val="Compact"/>
              <w:jc w:val="left"/>
            </w:pPr>
            <w:r>
              <w:rPr>
                <w:bCs/>
                <w:b/>
              </w:rPr>
              <w:t xml:space="preserve">4/6 FAILED</w:t>
            </w:r>
          </w:p>
        </w:tc>
        <w:tc>
          <w:tcPr/>
          <w:p>
            <w:pPr>
              <w:pStyle w:val="Compact"/>
            </w:pPr>
          </w:p>
        </w:tc>
      </w:tr>
    </w:tbl>
    <w:p>
      <w:pPr>
        <w:pStyle w:val="BodyText"/>
      </w:pPr>
      <w:r>
        <w:t xml:space="preserve">Variant 1 passes all six Gate A-deploy thresholds. Variant 2 fails on F1 Sad (0.694 &lt; 0.70) and F1 Neutral (0.699 &lt; 0.70) — both failures are marginal (within 0.01 of the threshold) but systematic, reflecting the concentrated neutral → sad confusion pattern.</w:t>
      </w:r>
    </w:p>
    <w:p>
      <w:pPr>
        <w:pStyle w:val="BodyText"/>
      </w:pPr>
      <w:r>
        <w:t xml:space="preserve">The per-class F1 gate exists precisely to catch this failure mode: a model that achieves acceptable aggregate F1 by over-investing in the majority class while neglecting minority classes. Without per-class gates, V2 would appear deployment-ready based on its aggregate metrics.</w:t>
      </w:r>
    </w:p>
    <w:bookmarkEnd w:id="80"/>
    <w:bookmarkStart w:id="81" w:name="base-model-benchmark"/>
    <w:p>
      <w:pPr>
        <w:pStyle w:val="Heading3"/>
      </w:pPr>
      <w:r>
        <w:t xml:space="preserve">6.7 Base Model Benchmark</w:t>
      </w:r>
    </w:p>
    <w:p>
      <w:pPr>
        <w:pStyle w:val="FirstParagraph"/>
      </w:pPr>
      <w:r>
        <w:t xml:space="preserve">For reference, the unmodified HSEmotion base model (8-class head) was evaluated on the same AffectNet test 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Base Model</w:t>
            </w:r>
          </w:p>
        </w:tc>
        <w:tc>
          <w:tcPr/>
          <w:p>
            <w:pPr>
              <w:pStyle w:val="Compact"/>
              <w:jc w:val="left"/>
            </w:pPr>
            <w:r>
              <w:t xml:space="preserve">V1</w:t>
            </w:r>
          </w:p>
        </w:tc>
        <w:tc>
          <w:tcPr/>
          <w:p>
            <w:pPr>
              <w:pStyle w:val="Compact"/>
              <w:jc w:val="left"/>
            </w:pPr>
            <w:r>
              <w:t xml:space="preserve">V2</w:t>
            </w:r>
          </w:p>
        </w:tc>
      </w:tr>
      <w:tr>
        <w:tc>
          <w:tcPr/>
          <w:p>
            <w:pPr>
              <w:pStyle w:val="Compact"/>
              <w:jc w:val="left"/>
            </w:pPr>
            <w:r>
              <w:t xml:space="preserve">F1 Macro</w:t>
            </w:r>
          </w:p>
        </w:tc>
        <w:tc>
          <w:tcPr/>
          <w:p>
            <w:pPr>
              <w:pStyle w:val="Compact"/>
              <w:jc w:val="left"/>
            </w:pPr>
            <w:r>
              <w:rPr>
                <w:bCs/>
                <w:b/>
              </w:rPr>
              <w:t xml:space="preserve">0.926</w:t>
            </w:r>
          </w:p>
        </w:tc>
        <w:tc>
          <w:tcPr/>
          <w:p>
            <w:pPr>
              <w:pStyle w:val="Compact"/>
              <w:jc w:val="left"/>
            </w:pPr>
            <w:r>
              <w:t xml:space="preserve">0.781</w:t>
            </w:r>
          </w:p>
        </w:tc>
        <w:tc>
          <w:tcPr/>
          <w:p>
            <w:pPr>
              <w:pStyle w:val="Compact"/>
              <w:jc w:val="left"/>
            </w:pPr>
            <w:r>
              <w:t xml:space="preserve">0.780</w:t>
            </w:r>
          </w:p>
        </w:tc>
      </w:tr>
      <w:tr>
        <w:tc>
          <w:tcPr/>
          <w:p>
            <w:pPr>
              <w:pStyle w:val="Compact"/>
              <w:jc w:val="left"/>
            </w:pPr>
            <w:r>
              <w:t xml:space="preserve">ECE</w:t>
            </w:r>
          </w:p>
        </w:tc>
        <w:tc>
          <w:tcPr/>
          <w:p>
            <w:pPr>
              <w:pStyle w:val="Compact"/>
              <w:jc w:val="left"/>
            </w:pPr>
            <w:r>
              <w:rPr>
                <w:bCs/>
                <w:b/>
              </w:rPr>
              <w:t xml:space="preserve">0.060</w:t>
            </w:r>
          </w:p>
        </w:tc>
        <w:tc>
          <w:tcPr/>
          <w:p>
            <w:pPr>
              <w:pStyle w:val="Compact"/>
              <w:jc w:val="left"/>
            </w:pPr>
            <w:r>
              <w:t xml:space="preserve">0.102</w:t>
            </w:r>
          </w:p>
        </w:tc>
        <w:tc>
          <w:tcPr/>
          <w:p>
            <w:pPr>
              <w:pStyle w:val="Compact"/>
              <w:jc w:val="left"/>
            </w:pPr>
            <w:r>
              <w:t xml:space="preserve">0.096</w:t>
            </w:r>
          </w:p>
        </w:tc>
      </w:tr>
      <w:tr>
        <w:tc>
          <w:tcPr/>
          <w:p>
            <w:pPr>
              <w:pStyle w:val="Compact"/>
              <w:jc w:val="left"/>
            </w:pPr>
            <w:r>
              <w:t xml:space="preserve">Brier</w:t>
            </w:r>
          </w:p>
        </w:tc>
        <w:tc>
          <w:tcPr/>
          <w:p>
            <w:pPr>
              <w:pStyle w:val="Compact"/>
              <w:jc w:val="left"/>
            </w:pPr>
            <w:r>
              <w:rPr>
                <w:bCs/>
                <w:b/>
              </w:rPr>
              <w:t xml:space="preserve">0.103</w:t>
            </w:r>
          </w:p>
        </w:tc>
        <w:tc>
          <w:tcPr/>
          <w:p>
            <w:pPr>
              <w:pStyle w:val="Compact"/>
              <w:jc w:val="left"/>
            </w:pPr>
            <w:r>
              <w:t xml:space="preserve">0.340</w:t>
            </w:r>
          </w:p>
        </w:tc>
        <w:tc>
          <w:tcPr/>
          <w:p>
            <w:pPr>
              <w:pStyle w:val="Compact"/>
              <w:jc w:val="left"/>
            </w:pPr>
            <w:r>
              <w:t xml:space="preserve">0.279</w:t>
            </w:r>
          </w:p>
        </w:tc>
      </w:tr>
    </w:tbl>
    <w:p>
      <w:pPr>
        <w:pStyle w:val="BodyText"/>
      </w:pPr>
      <w:r>
        <w:t xml:space="preserve">The base model substantially outperforms both variants, which is expected: it was pre-trained on ~450K real AffectNet images and uses an 8-class head that directly maps to the 3-class test labels (happy, sad, neutral are three of the eight Ekman classes). However, the base model is</w:t>
      </w:r>
      <w:r>
        <w:t xml:space="preserve"> </w:t>
      </w:r>
      <w:r>
        <w:rPr>
          <w:bCs/>
          <w:b/>
        </w:rPr>
        <w:t xml:space="preserve">not a deployment candidate</w:t>
      </w:r>
      <w:r>
        <w:t xml:space="preserve"> </w:t>
      </w:r>
      <w:r>
        <w:t xml:space="preserve">because its 8-class head is incompatible with the project’s 3-class pipeline, and its output space includes emotions (anger, fear, disgust, contempt, surprise) that the downstream behavioral system is not designed to handle in Phase 1.</w:t>
      </w:r>
    </w:p>
    <w:p>
      <w:pPr>
        <w:pStyle w:val="BodyText"/>
      </w:pPr>
      <w:r>
        <w:t xml:space="preserve">The base model serves as an upper-bound benchmark: it demonstrates what is achievable with real-data pre-training and motivates future work on domain adaptation strategies to close the gap between the synthetic-trained variants and this reference.</w:t>
      </w:r>
    </w:p>
    <w:bookmarkEnd w:id="81"/>
    <w:bookmarkStart w:id="82" w:name="calibration-analysis"/>
    <w:p>
      <w:pPr>
        <w:pStyle w:val="Heading3"/>
      </w:pPr>
      <w:r>
        <w:t xml:space="preserve">6.8 Calibration Analysis</w:t>
      </w:r>
    </w:p>
    <w:p>
      <w:pPr>
        <w:pStyle w:val="FirstParagraph"/>
      </w:pPr>
      <w:r>
        <w:t xml:space="preserve">Both variants demonstrate acceptable calibration on real-world data:</w:t>
      </w:r>
    </w:p>
    <w:p>
      <w:pPr>
        <w:pStyle w:val="BodyText"/>
      </w:pPr>
      <w:r>
        <w:rPr>
          <w:bCs/>
          <w:b/>
        </w:rPr>
        <w:t xml:space="preserve">Table 20. Calibration metrics comparison (ECE, Brier, MCE).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V1</w:t>
            </w:r>
          </w:p>
        </w:tc>
        <w:tc>
          <w:tcPr/>
          <w:p>
            <w:pPr>
              <w:pStyle w:val="Compact"/>
              <w:jc w:val="left"/>
            </w:pPr>
            <w:r>
              <w:t xml:space="preserve">V2</w:t>
            </w:r>
          </w:p>
        </w:tc>
        <w:tc>
          <w:tcPr/>
          <w:p>
            <w:pPr>
              <w:pStyle w:val="Compact"/>
              <w:jc w:val="left"/>
            </w:pPr>
            <w:r>
              <w:t xml:space="preserve">Base Model</w:t>
            </w:r>
          </w:p>
        </w:tc>
      </w:tr>
      <w:tr>
        <w:tc>
          <w:tcPr/>
          <w:p>
            <w:pPr>
              <w:pStyle w:val="Compact"/>
              <w:jc w:val="left"/>
            </w:pPr>
            <w:r>
              <w:t xml:space="preserve">ECE</w:t>
            </w:r>
          </w:p>
        </w:tc>
        <w:tc>
          <w:tcPr/>
          <w:p>
            <w:pPr>
              <w:pStyle w:val="Compact"/>
              <w:jc w:val="left"/>
            </w:pPr>
            <w:r>
              <w:t xml:space="preserve">0.102</w:t>
            </w:r>
          </w:p>
        </w:tc>
        <w:tc>
          <w:tcPr/>
          <w:p>
            <w:pPr>
              <w:pStyle w:val="Compact"/>
              <w:jc w:val="left"/>
            </w:pPr>
            <w:r>
              <w:rPr>
                <w:bCs/>
                <w:b/>
              </w:rPr>
              <w:t xml:space="preserve">0.096</w:t>
            </w:r>
          </w:p>
        </w:tc>
        <w:tc>
          <w:tcPr/>
          <w:p>
            <w:pPr>
              <w:pStyle w:val="Compact"/>
              <w:jc w:val="left"/>
            </w:pPr>
            <w:r>
              <w:t xml:space="preserve">0.060</w:t>
            </w:r>
          </w:p>
        </w:tc>
      </w:tr>
      <w:tr>
        <w:tc>
          <w:tcPr/>
          <w:p>
            <w:pPr>
              <w:pStyle w:val="Compact"/>
              <w:jc w:val="left"/>
            </w:pPr>
            <w:r>
              <w:t xml:space="preserve">Brier</w:t>
            </w:r>
          </w:p>
        </w:tc>
        <w:tc>
          <w:tcPr/>
          <w:p>
            <w:pPr>
              <w:pStyle w:val="Compact"/>
              <w:jc w:val="left"/>
            </w:pPr>
            <w:r>
              <w:t xml:space="preserve">0.340</w:t>
            </w:r>
          </w:p>
        </w:tc>
        <w:tc>
          <w:tcPr/>
          <w:p>
            <w:pPr>
              <w:pStyle w:val="Compact"/>
              <w:jc w:val="left"/>
            </w:pPr>
            <w:r>
              <w:rPr>
                <w:bCs/>
                <w:b/>
              </w:rPr>
              <w:t xml:space="preserve">0.279</w:t>
            </w:r>
          </w:p>
        </w:tc>
        <w:tc>
          <w:tcPr/>
          <w:p>
            <w:pPr>
              <w:pStyle w:val="Compact"/>
              <w:jc w:val="left"/>
            </w:pPr>
            <w:r>
              <w:t xml:space="preserve">0.103</w:t>
            </w:r>
          </w:p>
        </w:tc>
      </w:tr>
      <w:tr>
        <w:tc>
          <w:tcPr/>
          <w:p>
            <w:pPr>
              <w:pStyle w:val="Compact"/>
              <w:jc w:val="left"/>
            </w:pPr>
            <w:r>
              <w:t xml:space="preserve">MCE</w:t>
            </w:r>
          </w:p>
        </w:tc>
        <w:tc>
          <w:tcPr/>
          <w:p>
            <w:pPr>
              <w:pStyle w:val="Compact"/>
              <w:jc w:val="left"/>
            </w:pPr>
            <w:r>
              <w:rPr>
                <w:bCs/>
                <w:b/>
              </w:rPr>
              <w:t xml:space="preserve">0.125</w:t>
            </w:r>
          </w:p>
        </w:tc>
        <w:tc>
          <w:tcPr/>
          <w:p>
            <w:pPr>
              <w:pStyle w:val="Compact"/>
              <w:jc w:val="left"/>
            </w:pPr>
            <w:r>
              <w:t xml:space="preserve">0.130</w:t>
            </w:r>
          </w:p>
        </w:tc>
        <w:tc>
          <w:tcPr/>
          <w:p>
            <w:pPr>
              <w:pStyle w:val="Compact"/>
              <w:jc w:val="left"/>
            </w:pPr>
            <w:r>
              <w:t xml:space="preserve">0.381</w:t>
            </w:r>
          </w:p>
        </w:tc>
      </w:tr>
    </w:tbl>
    <w:p>
      <w:pPr>
        <w:pStyle w:val="BodyText"/>
      </w:pPr>
      <w:r>
        <w:t xml:space="preserve">V2 has marginally better ECE (0.096 vs. 0.102, Δ = 0.006), likely because its fine-tuned backbone learned more discriminative features that produce sharper probability distributions. Both models pass the ECE ≤ 0.12 threshold, meaning their confidence scores are sufficiently reliable for the 5-tier gesture modulation system.</w:t>
      </w:r>
    </w:p>
    <w:p>
      <w:pPr>
        <w:pStyle w:val="BodyText"/>
      </w:pPr>
      <w:r>
        <w:t xml:space="preserve">The Brier score difference (0.340 vs. 0.279) is primarily driven by V2’s higher raw accuracy (more correct predictions reduce the squared error), not by better calibration. When decomposed, the calibration component of the Brier score is similar for both models.</w:t>
      </w:r>
    </w:p>
    <w:p>
      <w:pPr>
        <w:pStyle w:val="BodyText"/>
      </w:pPr>
      <w:r>
        <w:t xml:space="preserve">MCE (Maximum Calibration Error) is inherently noisy with small test sets because it depends on the single worst-calibrated confidence bin. Even the base model shows MCE = 0.381 despite having excellent ECE = 0.060. MCE is reported for completeness but does not influence the deployment decision.</w:t>
      </w:r>
    </w:p>
    <w:p>
      <w:r>
        <w:pict>
          <v:rect style="width:0;height:1.5pt" o:hralign="center" o:hrstd="t" o:hr="t"/>
        </w:pict>
      </w:r>
    </w:p>
    <w:bookmarkEnd w:id="82"/>
    <w:bookmarkEnd w:id="83"/>
    <w:bookmarkStart w:id="93" w:name="X947be730f9f5b5f346ae944c7d375ee0bda6b6d"/>
    <w:p>
      <w:pPr>
        <w:pStyle w:val="Heading2"/>
      </w:pPr>
      <w:r>
        <w:t xml:space="preserve">Chapter 7: Statistical Analysis for Model Selection</w:t>
      </w:r>
    </w:p>
    <w:p>
      <w:pPr>
        <w:pStyle w:val="FirstParagraph"/>
      </w:pPr>
      <w:r>
        <w:t xml:space="preserve">This chapter presents the graduate-level statistical analysis that underpins the deployment decision. The analysis goes beyond point estimates to characterize the uncertainty, significance, and practical implications of the observed performance differences. All statistical tests were implemented in R (R Core Team, 2024) using custom scripts designed for the project’s specific evaluation requirements.</w:t>
      </w:r>
    </w:p>
    <w:bookmarkStart w:id="84" w:name="confidence-intervals-on-per-class-recall"/>
    <w:p>
      <w:pPr>
        <w:pStyle w:val="Heading3"/>
      </w:pPr>
      <w:r>
        <w:t xml:space="preserve">7.1 Confidence Intervals on Per-Class Recall</w:t>
      </w:r>
    </w:p>
    <w:p>
      <w:pPr>
        <w:pStyle w:val="FirstParagraph"/>
      </w:pPr>
      <w:r>
        <w:t xml:space="preserve">Because the test set is finite (n = 894), point estimates of recall have sampling uncertainty. We compute</w:t>
      </w:r>
      <w:r>
        <w:t xml:space="preserve"> </w:t>
      </w:r>
      <w:r>
        <w:rPr>
          <w:bCs/>
          <w:b/>
        </w:rPr>
        <w:t xml:space="preserve">Wilson score 95% confidence intervals</w:t>
      </w:r>
      <w:r>
        <w:t xml:space="preserve"> </w:t>
      </w:r>
      <w:r>
        <w:t xml:space="preserve">— preferred over the Wald (normal approximation) interval for binomial proportions because Wilson intervals maintain correct coverage even when the true proportion is near 0 or 1 (Wilson, 1927; Agresti &amp; Coull, 1998; Brown et al., 2001).</w:t>
      </w:r>
    </w:p>
    <w:p>
      <w:pPr>
        <w:pStyle w:val="BodyText"/>
      </w:pPr>
      <w:r>
        <w:t xml:space="preserve">For a class with</w:t>
      </w:r>
      <w:r>
        <w:t xml:space="preserve"> </w:t>
      </w:r>
      <m:oMath>
        <m:sSub>
          <m:e>
            <m:r>
              <m:t>n</m:t>
            </m:r>
          </m:e>
          <m:sub>
            <m:r>
              <m:t>k</m:t>
            </m:r>
          </m:sub>
        </m:sSub>
      </m:oMath>
      <w:r>
        <w:t xml:space="preserve"> </w:t>
      </w:r>
      <w:r>
        <w:t xml:space="preserve">samples and observed recall</w:t>
      </w:r>
      <w:r>
        <w:t xml:space="preserve"> </w:t>
      </w:r>
      <m:oMath>
        <m:acc>
          <m:accPr>
            <m:chr m:val="̂"/>
          </m:accPr>
          <m:e>
            <m:r>
              <m:t>p</m:t>
            </m:r>
          </m:e>
        </m:acc>
      </m:oMath>
      <w:r>
        <w:t xml:space="preserve">, the Wilson interval is:</w:t>
      </w:r>
    </w:p>
    <w:p>
      <w:pPr>
        <w:pStyle w:val="BodyText"/>
      </w:pPr>
      <m:oMathPara>
        <m:oMathParaPr>
          <m:jc m:val="center"/>
        </m:oMathParaPr>
        <m:oMath>
          <m:f>
            <m:fPr>
              <m:type m:val="bar"/>
            </m:fPr>
            <m:num>
              <m:acc>
                <m:accPr>
                  <m:chr m:val="̂"/>
                </m:accPr>
                <m:e>
                  <m:r>
                    <m:t>p</m:t>
                  </m:r>
                </m:e>
              </m:acc>
              <m:r>
                <m:rPr>
                  <m:sty m:val="p"/>
                </m:rPr>
                <m:t>+</m:t>
              </m:r>
              <m:f>
                <m:fPr>
                  <m:type m:val="bar"/>
                </m:fPr>
                <m:num>
                  <m:sSup>
                    <m:e>
                      <m:r>
                        <m:t>z</m:t>
                      </m:r>
                    </m:e>
                    <m:sup>
                      <m:r>
                        <m:t>2</m:t>
                      </m:r>
                    </m:sup>
                  </m:sSup>
                </m:num>
                <m:den>
                  <m:r>
                    <m:t>2</m:t>
                  </m:r>
                  <m:sSub>
                    <m:e>
                      <m:r>
                        <m:t>n</m:t>
                      </m:r>
                    </m:e>
                    <m:sub>
                      <m:r>
                        <m:t>k</m:t>
                      </m:r>
                    </m:sub>
                  </m:sSub>
                </m:den>
              </m:f>
              <m:r>
                <m:rPr>
                  <m:sty m:val="p"/>
                </m:rPr>
                <m:t>±</m:t>
              </m:r>
              <m:r>
                <m:t>z</m:t>
              </m:r>
              <m:rad>
                <m:radPr>
                  <m:degHide m:val="on"/>
                </m:radPr>
                <m:deg/>
                <m:e>
                  <m:f>
                    <m:fPr>
                      <m:type m:val="bar"/>
                    </m:fPr>
                    <m:num>
                      <m:acc>
                        <m:accPr>
                          <m:chr m:val="̂"/>
                        </m:accPr>
                        <m:e>
                          <m:r>
                            <m:t>p</m:t>
                          </m:r>
                        </m:e>
                      </m:acc>
                      <m:d>
                        <m:dPr>
                          <m:begChr m:val="("/>
                          <m:endChr m:val=")"/>
                          <m:sepChr m:val=""/>
                          <m:grow/>
                        </m:dPr>
                        <m:e>
                          <m:r>
                            <m:t>1</m:t>
                          </m:r>
                          <m:r>
                            <m:rPr>
                              <m:sty m:val="p"/>
                            </m:rPr>
                            <m:t>−</m:t>
                          </m:r>
                          <m:acc>
                            <m:accPr>
                              <m:chr m:val="̂"/>
                            </m:accPr>
                            <m:e>
                              <m:r>
                                <m:t>p</m:t>
                              </m:r>
                            </m:e>
                          </m:acc>
                        </m:e>
                      </m:d>
                      <m:r>
                        <m:rPr>
                          <m:sty m:val="p"/>
                        </m:rPr>
                        <m:t>+</m:t>
                      </m:r>
                      <m:f>
                        <m:fPr>
                          <m:type m:val="bar"/>
                        </m:fPr>
                        <m:num>
                          <m:sSup>
                            <m:e>
                              <m:r>
                                <m:t>z</m:t>
                              </m:r>
                            </m:e>
                            <m:sup>
                              <m:r>
                                <m:t>2</m:t>
                              </m:r>
                            </m:sup>
                          </m:sSup>
                        </m:num>
                        <m:den>
                          <m:r>
                            <m:t>4</m:t>
                          </m:r>
                          <m:sSub>
                            <m:e>
                              <m:r>
                                <m:t>n</m:t>
                              </m:r>
                            </m:e>
                            <m:sub>
                              <m:r>
                                <m:t>k</m:t>
                              </m:r>
                            </m:sub>
                          </m:sSub>
                        </m:den>
                      </m:f>
                    </m:num>
                    <m:den>
                      <m:sSub>
                        <m:e>
                          <m:r>
                            <m:t>n</m:t>
                          </m:r>
                        </m:e>
                        <m:sub>
                          <m:r>
                            <m:t>k</m:t>
                          </m:r>
                        </m:sub>
                      </m:sSub>
                    </m:den>
                  </m:f>
                </m:e>
              </m:rad>
            </m:num>
            <m:den>
              <m:r>
                <m:t>1</m:t>
              </m:r>
              <m:r>
                <m:rPr>
                  <m:sty m:val="p"/>
                </m:rPr>
                <m:t>+</m:t>
              </m:r>
              <m:f>
                <m:fPr>
                  <m:type m:val="bar"/>
                </m:fPr>
                <m:num>
                  <m:sSup>
                    <m:e>
                      <m:r>
                        <m:t>z</m:t>
                      </m:r>
                    </m:e>
                    <m:sup>
                      <m:r>
                        <m:t>2</m:t>
                      </m:r>
                    </m:sup>
                  </m:sSup>
                </m:num>
                <m:den>
                  <m:sSub>
                    <m:e>
                      <m:r>
                        <m:t>n</m:t>
                      </m:r>
                    </m:e>
                    <m:sub>
                      <m:r>
                        <m:t>k</m:t>
                      </m:r>
                    </m:sub>
                  </m:sSub>
                </m:den>
              </m:f>
            </m:den>
          </m:f>
        </m:oMath>
      </m:oMathPara>
    </w:p>
    <w:p>
      <w:pPr>
        <w:pStyle w:val="FirstParagraph"/>
      </w:pPr>
      <w:r>
        <w:t xml:space="preserve">where</w:t>
      </w:r>
      <w:r>
        <w:t xml:space="preserve"> </w:t>
      </w:r>
      <m:oMath>
        <m:r>
          <m:t>z</m:t>
        </m:r>
        <m:r>
          <m:rPr>
            <m:sty m:val="p"/>
          </m:rPr>
          <m:t>=</m:t>
        </m:r>
        <m:r>
          <m:t>1.96</m:t>
        </m:r>
      </m:oMath>
      <w:r>
        <w:t xml:space="preserve"> </w:t>
      </w:r>
      <w:r>
        <w:t xml:space="preserve">for</w:t>
      </w:r>
      <w:r>
        <w:t xml:space="preserve"> </w:t>
      </w:r>
      <m:oMath>
        <m:r>
          <m:t>α</m:t>
        </m:r>
        <m:r>
          <m:rPr>
            <m:sty m:val="p"/>
          </m:rPr>
          <m:t>=</m:t>
        </m:r>
        <m:r>
          <m:t>0.05</m:t>
        </m:r>
      </m:oMath>
      <w:r>
        <w:t xml:space="preserve">.</w:t>
      </w:r>
    </w:p>
    <w:p>
      <w:pPr>
        <w:pStyle w:val="BodyText"/>
      </w:pPr>
      <w:r>
        <w:rPr>
          <w:bCs/>
          <w:b/>
        </w:rPr>
        <w:t xml:space="preserve">Table 14. Wilson score 95% confidence intervals for per-class recall.</w:t>
      </w:r>
    </w:p>
    <w:tbl>
      <w:tblPr>
        <w:tblStyle w:val="Table"/>
        <w:tblW w:type="pct" w:w="5000"/>
        <w:tblLook w:firstRow="1" w:lastRow="0" w:firstColumn="0" w:lastColumn="0" w:noHBand="0" w:noVBand="0" w:val="0020"/>
        <w:jc w:val="start"/>
      </w:tblPr>
      <w:tblGrid>
        <w:gridCol w:w="2217"/>
        <w:gridCol w:w="950"/>
        <w:gridCol w:w="1584"/>
        <w:gridCol w:w="1584"/>
        <w:gridCol w:w="1584"/>
      </w:tblGrid>
      <w:tr>
        <w:trPr>
          <w:tblHeader w:val="true"/>
        </w:trPr>
        <w:tc>
          <w:tcPr/>
          <w:p>
            <w:pPr>
              <w:pStyle w:val="Compact"/>
              <w:jc w:val="left"/>
            </w:pPr>
            <w:r>
              <w:t xml:space="preserve">Class</w:t>
            </w:r>
          </w:p>
        </w:tc>
        <w:tc>
          <w:tcPr/>
          <w:p>
            <w:pPr>
              <w:pStyle w:val="Compact"/>
              <w:jc w:val="left"/>
            </w:pPr>
            <w:r>
              <w:t xml:space="preserve">n</w:t>
            </w:r>
          </w:p>
        </w:tc>
        <w:tc>
          <w:tcPr/>
          <w:p>
            <w:pPr>
              <w:pStyle w:val="Compact"/>
              <w:jc w:val="left"/>
            </w:pPr>
            <w:r>
              <w:t xml:space="preserve">V1 Recall [95% CI]</w:t>
            </w:r>
          </w:p>
        </w:tc>
        <w:tc>
          <w:tcPr/>
          <w:p>
            <w:pPr>
              <w:pStyle w:val="Compact"/>
              <w:jc w:val="left"/>
            </w:pPr>
            <w:r>
              <w:t xml:space="preserve">V2 Recall [95% CI]</w:t>
            </w:r>
          </w:p>
        </w:tc>
        <w:tc>
          <w:tcPr/>
          <w:p>
            <w:pPr>
              <w:pStyle w:val="Compact"/>
              <w:jc w:val="left"/>
            </w:pPr>
            <w:r>
              <w:t xml:space="preserve">CIs Overlap?</w:t>
            </w:r>
          </w:p>
        </w:tc>
      </w:tr>
      <w:tr>
        <w:tc>
          <w:tcPr/>
          <w:p>
            <w:pPr>
              <w:pStyle w:val="Compact"/>
              <w:jc w:val="left"/>
            </w:pPr>
            <w:r>
              <w:rPr>
                <w:bCs/>
                <w:b/>
              </w:rPr>
              <w:t xml:space="preserve">Happy</w:t>
            </w:r>
          </w:p>
        </w:tc>
        <w:tc>
          <w:tcPr/>
          <w:p>
            <w:pPr>
              <w:pStyle w:val="Compact"/>
              <w:jc w:val="left"/>
            </w:pPr>
            <w:r>
              <w:t xml:space="preserve">435</w:t>
            </w:r>
          </w:p>
        </w:tc>
        <w:tc>
          <w:tcPr/>
          <w:p>
            <w:pPr>
              <w:pStyle w:val="Compact"/>
              <w:jc w:val="left"/>
            </w:pPr>
            <w:r>
              <w:t xml:space="preserve">0.637 [0.591, 0.681]</w:t>
            </w:r>
          </w:p>
        </w:tc>
        <w:tc>
          <w:tcPr/>
          <w:p>
            <w:pPr>
              <w:pStyle w:val="Compact"/>
              <w:jc w:val="left"/>
            </w:pPr>
            <w:r>
              <w:rPr>
                <w:bCs/>
                <w:b/>
              </w:rPr>
              <w:t xml:space="preserve">0.933</w:t>
            </w:r>
            <w:r>
              <w:t xml:space="preserve"> </w:t>
            </w:r>
            <w:r>
              <w:t xml:space="preserve">[0.906, 0.953]</w:t>
            </w:r>
          </w:p>
        </w:tc>
        <w:tc>
          <w:tcPr/>
          <w:p>
            <w:pPr>
              <w:pStyle w:val="Compact"/>
              <w:jc w:val="left"/>
            </w:pPr>
            <w:r>
              <w:rPr>
                <w:bCs/>
                <w:b/>
              </w:rPr>
              <w:t xml:space="preserve">No</w:t>
            </w:r>
            <w:r>
              <w:t xml:space="preserve"> </w:t>
            </w:r>
            <w:r>
              <w:t xml:space="preserve">— V2 statistically superior</w:t>
            </w:r>
          </w:p>
        </w:tc>
      </w:tr>
      <w:tr>
        <w:tc>
          <w:tcPr/>
          <w:p>
            <w:pPr>
              <w:pStyle w:val="Compact"/>
              <w:jc w:val="left"/>
            </w:pPr>
            <w:r>
              <w:rPr>
                <w:bCs/>
                <w:b/>
              </w:rPr>
              <w:t xml:space="preserve">Sad</w:t>
            </w:r>
          </w:p>
        </w:tc>
        <w:tc>
          <w:tcPr/>
          <w:p>
            <w:pPr>
              <w:pStyle w:val="Compact"/>
              <w:jc w:val="left"/>
            </w:pPr>
            <w:r>
              <w:t xml:space="preserve">160</w:t>
            </w:r>
          </w:p>
        </w:tc>
        <w:tc>
          <w:tcPr/>
          <w:p>
            <w:pPr>
              <w:pStyle w:val="Compact"/>
              <w:jc w:val="left"/>
            </w:pPr>
            <w:r>
              <w:rPr>
                <w:bCs/>
                <w:b/>
              </w:rPr>
              <w:t xml:space="preserve">0.825</w:t>
            </w:r>
            <w:r>
              <w:t xml:space="preserve"> </w:t>
            </w:r>
            <w:r>
              <w:t xml:space="preserve">[0.759, 0.876]</w:t>
            </w:r>
          </w:p>
        </w:tc>
        <w:tc>
          <w:tcPr/>
          <w:p>
            <w:pPr>
              <w:pStyle w:val="Compact"/>
              <w:jc w:val="left"/>
            </w:pPr>
            <w:r>
              <w:t xml:space="preserve">0.900 [0.844, 0.938]</w:t>
            </w:r>
          </w:p>
        </w:tc>
        <w:tc>
          <w:tcPr/>
          <w:p>
            <w:pPr>
              <w:pStyle w:val="Compact"/>
              <w:jc w:val="left"/>
            </w:pPr>
            <w:r>
              <w:t xml:space="preserve">Yes — not statistically significant</w:t>
            </w:r>
          </w:p>
        </w:tc>
      </w:tr>
      <w:tr>
        <w:tc>
          <w:tcPr/>
          <w:p>
            <w:pPr>
              <w:pStyle w:val="Compact"/>
              <w:jc w:val="left"/>
            </w:pPr>
            <w:r>
              <w:rPr>
                <w:bCs/>
                <w:b/>
              </w:rPr>
              <w:t xml:space="preserve">Neutral</w:t>
            </w:r>
          </w:p>
        </w:tc>
        <w:tc>
          <w:tcPr/>
          <w:p>
            <w:pPr>
              <w:pStyle w:val="Compact"/>
              <w:jc w:val="left"/>
            </w:pPr>
            <w:r>
              <w:t xml:space="preserve">299</w:t>
            </w:r>
          </w:p>
        </w:tc>
        <w:tc>
          <w:tcPr/>
          <w:p>
            <w:pPr>
              <w:pStyle w:val="Compact"/>
              <w:jc w:val="left"/>
            </w:pPr>
            <w:r>
              <w:rPr>
                <w:bCs/>
                <w:b/>
              </w:rPr>
              <w:t xml:space="preserve">0.936</w:t>
            </w:r>
            <w:r>
              <w:t xml:space="preserve"> </w:t>
            </w:r>
            <w:r>
              <w:t xml:space="preserve">[0.903, 0.959]</w:t>
            </w:r>
          </w:p>
        </w:tc>
        <w:tc>
          <w:tcPr/>
          <w:p>
            <w:pPr>
              <w:pStyle w:val="Compact"/>
              <w:jc w:val="left"/>
            </w:pPr>
            <w:r>
              <w:t xml:space="preserve">0.602 [0.546, 0.656]</w:t>
            </w:r>
          </w:p>
        </w:tc>
        <w:tc>
          <w:tcPr/>
          <w:p>
            <w:pPr>
              <w:pStyle w:val="Compact"/>
              <w:jc w:val="left"/>
            </w:pPr>
            <w:r>
              <w:rPr>
                <w:bCs/>
                <w:b/>
              </w:rPr>
              <w:t xml:space="preserve">No</w:t>
            </w:r>
            <w:r>
              <w:t xml:space="preserve"> </w:t>
            </w:r>
            <w:r>
              <w:t xml:space="preserve">— V1 statistically superior</w:t>
            </w:r>
          </w:p>
        </w:tc>
      </w:tr>
    </w:tbl>
    <w:p>
      <w:pPr>
        <w:pStyle w:val="BodyText"/>
      </w:pPr>
      <w:r>
        <w:rPr>
          <w:bCs/>
          <w:b/>
        </w:rPr>
        <w:t xml:space="preserve">Interpretation:</w:t>
      </w:r>
      <w:r>
        <w:t xml:space="preserve"> </w:t>
      </w:r>
      <w:r>
        <w:t xml:space="preserve">On happy, V2 is unambiguously better (non-overlapping CIs, Δ = +29.7 percentage points). On sad, V2 has a slight edge, but the difference is not statistically significant at α = 0.05 (overlapping CIs). On neutral, V1 is unambiguously better (non-overlapping CIs, Δ = +33.4 percentage points).</w:t>
      </w:r>
    </w:p>
    <w:p>
      <w:pPr>
        <w:pStyle w:val="BodyText"/>
      </w:pPr>
      <w:r>
        <w:t xml:space="preserve">The two models trade statistically significant advantages on different classes. Neither is uniformly superior on recall. The deployment decision therefore hinges on</w:t>
      </w:r>
      <w:r>
        <w:t xml:space="preserve"> </w:t>
      </w:r>
      <w:r>
        <w:rPr>
          <w:iCs/>
          <w:i/>
        </w:rPr>
        <w:t xml:space="preserve">which errors matter more</w:t>
      </w:r>
      <w:r>
        <w:t xml:space="preserve">, not on overall accuracy alone — an insight that aggregate metrics completely conceal.</w:t>
      </w:r>
    </w:p>
    <w:bookmarkEnd w:id="84"/>
    <w:bookmarkStart w:id="85" w:name="X88cba22b78f2716ac42e8afda2bcca983eab638"/>
    <w:p>
      <w:pPr>
        <w:pStyle w:val="Heading3"/>
      </w:pPr>
      <w:r>
        <w:t xml:space="preserve">7.2 Per-Class F1 z-Test Against Deployment Threshold</w:t>
      </w:r>
    </w:p>
    <w:p>
      <w:pPr>
        <w:pStyle w:val="FirstParagraph"/>
      </w:pPr>
      <w:r>
        <w:t xml:space="preserve">Using the delta-method approximation for the standard error of F1,</w:t>
      </w:r>
      <w:r>
        <w:t xml:space="preserve"> </w:t>
      </w:r>
      <m:oMath>
        <m:r>
          <m:t>S</m:t>
        </m:r>
        <m:r>
          <m:t>E</m:t>
        </m:r>
        <m:d>
          <m:dPr>
            <m:begChr m:val="("/>
            <m:endChr m:val=")"/>
            <m:sepChr m:val=""/>
            <m:grow/>
          </m:dPr>
          <m:e>
            <m:r>
              <m:t>F</m:t>
            </m:r>
            <m:r>
              <m:t>1</m:t>
            </m:r>
          </m:e>
        </m:d>
        <m:r>
          <m:rPr>
            <m:sty m:val="p"/>
          </m:rPr>
          <m:t>≈</m:t>
        </m:r>
        <m:rad>
          <m:radPr>
            <m:degHide m:val="on"/>
          </m:radPr>
          <m:deg/>
          <m:e>
            <m:r>
              <m:t>F</m:t>
            </m:r>
            <m:r>
              <m:t>1</m:t>
            </m:r>
            <m:r>
              <m:rPr>
                <m:sty m:val="p"/>
              </m:rPr>
              <m:t>⋅</m:t>
            </m:r>
            <m:d>
              <m:dPr>
                <m:begChr m:val="("/>
                <m:endChr m:val=")"/>
                <m:sepChr m:val=""/>
                <m:grow/>
              </m:dPr>
              <m:e>
                <m:r>
                  <m:t>1</m:t>
                </m:r>
                <m:r>
                  <m:rPr>
                    <m:sty m:val="p"/>
                  </m:rPr>
                  <m:t>−</m:t>
                </m:r>
                <m:r>
                  <m:t>F</m:t>
                </m:r>
                <m:r>
                  <m:t>1</m:t>
                </m:r>
              </m:e>
            </m:d>
            <m:r>
              <m:rPr>
                <m:sty m:val="p"/>
              </m:rPr>
              <m:t>/</m:t>
            </m:r>
            <m:sSub>
              <m:e>
                <m:r>
                  <m:t>n</m:t>
                </m:r>
              </m:e>
              <m:sub>
                <m:r>
                  <m:t>k</m:t>
                </m:r>
              </m:sub>
            </m:sSub>
          </m:e>
        </m:rad>
      </m:oMath>
      <w:r>
        <w:t xml:space="preserve">, we test whether each per-class F1 is significantly above or below the 0.70 deployment threshold:</w:t>
      </w:r>
    </w:p>
    <w:p>
      <w:pPr>
        <w:pStyle w:val="BodyText"/>
      </w:pPr>
      <w:r>
        <w:rPr>
          <w:bCs/>
          <w:b/>
        </w:rPr>
        <w:t xml:space="preserve">Table 15. Per-class F1 z-test against the 0.70 deployment threshold.</w:t>
      </w:r>
    </w:p>
    <w:tbl>
      <w:tblPr>
        <w:tblStyle w:val="Table"/>
        <w:tblW w:type="pct" w:w="5000"/>
        <w:tblLook w:firstRow="1" w:lastRow="0" w:firstColumn="0" w:lastColumn="0" w:noHBand="0" w:noVBand="0" w:val="0020"/>
        <w:jc w:val="start"/>
      </w:tblPr>
      <w:tblGrid>
        <w:gridCol w:w="749"/>
        <w:gridCol w:w="321"/>
        <w:gridCol w:w="749"/>
        <w:gridCol w:w="535"/>
        <w:gridCol w:w="1177"/>
        <w:gridCol w:w="963"/>
        <w:gridCol w:w="749"/>
        <w:gridCol w:w="535"/>
        <w:gridCol w:w="1177"/>
        <w:gridCol w:w="963"/>
      </w:tblGrid>
      <w:tr>
        <w:trPr>
          <w:tblHeader w:val="true"/>
        </w:trPr>
        <w:tc>
          <w:tcPr/>
          <w:p>
            <w:pPr>
              <w:pStyle w:val="Compact"/>
              <w:jc w:val="left"/>
            </w:pPr>
            <w:r>
              <w:t xml:space="preserve">Class</w:t>
            </w:r>
          </w:p>
        </w:tc>
        <w:tc>
          <w:tcPr/>
          <w:p>
            <w:pPr>
              <w:pStyle w:val="Compact"/>
              <w:jc w:val="left"/>
            </w:pPr>
            <w:r>
              <w:t xml:space="preserve">n</w:t>
            </w:r>
          </w:p>
        </w:tc>
        <w:tc>
          <w:tcPr/>
          <w:p>
            <w:pPr>
              <w:pStyle w:val="Compact"/>
              <w:jc w:val="left"/>
            </w:pPr>
            <w:r>
              <w:t xml:space="preserve">V1 F1</w:t>
            </w:r>
          </w:p>
        </w:tc>
        <w:tc>
          <w:tcPr/>
          <w:p>
            <w:pPr>
              <w:pStyle w:val="Compact"/>
              <w:jc w:val="left"/>
            </w:pPr>
            <w:r>
              <w:t xml:space="preserve">SE</w:t>
            </w:r>
          </w:p>
        </w:tc>
        <w:tc>
          <w:tcPr/>
          <w:p>
            <w:pPr>
              <w:pStyle w:val="Compact"/>
              <w:jc w:val="left"/>
            </w:pPr>
            <w:r>
              <w:t xml:space="preserve">z vs 0.70</w:t>
            </w:r>
          </w:p>
        </w:tc>
        <w:tc>
          <w:tcPr/>
          <w:p>
            <w:pPr>
              <w:pStyle w:val="Compact"/>
              <w:jc w:val="left"/>
            </w:pPr>
            <w:r>
              <w:t xml:space="preserve">p-value</w:t>
            </w:r>
          </w:p>
        </w:tc>
        <w:tc>
          <w:tcPr/>
          <w:p>
            <w:pPr>
              <w:pStyle w:val="Compact"/>
              <w:jc w:val="left"/>
            </w:pPr>
            <w:r>
              <w:t xml:space="preserve">V2 F1</w:t>
            </w:r>
          </w:p>
        </w:tc>
        <w:tc>
          <w:tcPr/>
          <w:p>
            <w:pPr>
              <w:pStyle w:val="Compact"/>
              <w:jc w:val="left"/>
            </w:pPr>
            <w:r>
              <w:t xml:space="preserve">SE</w:t>
            </w:r>
          </w:p>
        </w:tc>
        <w:tc>
          <w:tcPr/>
          <w:p>
            <w:pPr>
              <w:pStyle w:val="Compact"/>
              <w:jc w:val="left"/>
            </w:pPr>
            <w:r>
              <w:t xml:space="preserve">z vs 0.70</w:t>
            </w:r>
          </w:p>
        </w:tc>
        <w:tc>
          <w:tcPr/>
          <w:p>
            <w:pPr>
              <w:pStyle w:val="Compact"/>
              <w:jc w:val="left"/>
            </w:pPr>
            <w:r>
              <w:t xml:space="preserve">p-value</w:t>
            </w:r>
          </w:p>
        </w:tc>
      </w:tr>
      <w:tr>
        <w:tc>
          <w:tcPr/>
          <w:p>
            <w:pPr>
              <w:pStyle w:val="Compact"/>
              <w:jc w:val="left"/>
            </w:pPr>
            <w:r>
              <w:t xml:space="preserve">Happy</w:t>
            </w:r>
          </w:p>
        </w:tc>
        <w:tc>
          <w:tcPr/>
          <w:p>
            <w:pPr>
              <w:pStyle w:val="Compact"/>
              <w:jc w:val="left"/>
            </w:pPr>
            <w:r>
              <w:t xml:space="preserve">435</w:t>
            </w:r>
          </w:p>
        </w:tc>
        <w:tc>
          <w:tcPr/>
          <w:p>
            <w:pPr>
              <w:pStyle w:val="Compact"/>
              <w:jc w:val="left"/>
            </w:pPr>
            <w:r>
              <w:t xml:space="preserve">0.777</w:t>
            </w:r>
          </w:p>
        </w:tc>
        <w:tc>
          <w:tcPr/>
          <w:p>
            <w:pPr>
              <w:pStyle w:val="Compact"/>
              <w:jc w:val="left"/>
            </w:pPr>
            <w:r>
              <w:t xml:space="preserve">0.020</w:t>
            </w:r>
          </w:p>
        </w:tc>
        <w:tc>
          <w:tcPr/>
          <w:p>
            <w:pPr>
              <w:pStyle w:val="Compact"/>
              <w:jc w:val="left"/>
            </w:pPr>
            <w:r>
              <w:rPr>
                <w:bCs/>
                <w:b/>
              </w:rPr>
              <w:t xml:space="preserve">+3.85</w:t>
            </w:r>
          </w:p>
        </w:tc>
        <w:tc>
          <w:tcPr/>
          <w:p>
            <w:pPr>
              <w:pStyle w:val="Compact"/>
              <w:jc w:val="left"/>
            </w:pPr>
            <w:r>
              <w:t xml:space="preserve">&lt; 0.001</w:t>
            </w:r>
          </w:p>
        </w:tc>
        <w:tc>
          <w:tcPr/>
          <w:p>
            <w:pPr>
              <w:pStyle w:val="Compact"/>
              <w:jc w:val="left"/>
            </w:pPr>
            <w:r>
              <w:t xml:space="preserve">0.946</w:t>
            </w:r>
          </w:p>
        </w:tc>
        <w:tc>
          <w:tcPr/>
          <w:p>
            <w:pPr>
              <w:pStyle w:val="Compact"/>
              <w:jc w:val="left"/>
            </w:pPr>
            <w:r>
              <w:t xml:space="preserve">0.011</w:t>
            </w:r>
          </w:p>
        </w:tc>
        <w:tc>
          <w:tcPr/>
          <w:p>
            <w:pPr>
              <w:pStyle w:val="Compact"/>
              <w:jc w:val="left"/>
            </w:pPr>
            <w:r>
              <w:t xml:space="preserve">+22.9</w:t>
            </w:r>
          </w:p>
        </w:tc>
        <w:tc>
          <w:tcPr/>
          <w:p>
            <w:pPr>
              <w:pStyle w:val="Compact"/>
              <w:jc w:val="left"/>
            </w:pPr>
            <w:r>
              <w:t xml:space="preserve">&lt; 0.001</w:t>
            </w:r>
          </w:p>
        </w:tc>
      </w:tr>
      <w:tr>
        <w:tc>
          <w:tcPr/>
          <w:p>
            <w:pPr>
              <w:pStyle w:val="Compact"/>
              <w:jc w:val="left"/>
            </w:pPr>
            <w:r>
              <w:t xml:space="preserve">Sad</w:t>
            </w:r>
          </w:p>
        </w:tc>
        <w:tc>
          <w:tcPr/>
          <w:p>
            <w:pPr>
              <w:pStyle w:val="Compact"/>
              <w:jc w:val="left"/>
            </w:pPr>
            <w:r>
              <w:t xml:space="preserve">160</w:t>
            </w:r>
          </w:p>
        </w:tc>
        <w:tc>
          <w:tcPr/>
          <w:p>
            <w:pPr>
              <w:pStyle w:val="Compact"/>
              <w:jc w:val="left"/>
            </w:pPr>
            <w:r>
              <w:t xml:space="preserve">0.822</w:t>
            </w:r>
          </w:p>
        </w:tc>
        <w:tc>
          <w:tcPr/>
          <w:p>
            <w:pPr>
              <w:pStyle w:val="Compact"/>
              <w:jc w:val="left"/>
            </w:pPr>
            <w:r>
              <w:t xml:space="preserve">0.030</w:t>
            </w:r>
          </w:p>
        </w:tc>
        <w:tc>
          <w:tcPr/>
          <w:p>
            <w:pPr>
              <w:pStyle w:val="Compact"/>
              <w:jc w:val="left"/>
            </w:pPr>
            <w:r>
              <w:rPr>
                <w:bCs/>
                <w:b/>
              </w:rPr>
              <w:t xml:space="preserve">+4.07</w:t>
            </w:r>
          </w:p>
        </w:tc>
        <w:tc>
          <w:tcPr/>
          <w:p>
            <w:pPr>
              <w:pStyle w:val="Compact"/>
              <w:jc w:val="left"/>
            </w:pPr>
            <w:r>
              <w:t xml:space="preserve">&lt; 0.001</w:t>
            </w:r>
          </w:p>
        </w:tc>
        <w:tc>
          <w:tcPr/>
          <w:p>
            <w:pPr>
              <w:pStyle w:val="Compact"/>
              <w:jc w:val="left"/>
            </w:pPr>
            <w:r>
              <w:t xml:space="preserve">0.694</w:t>
            </w:r>
          </w:p>
        </w:tc>
        <w:tc>
          <w:tcPr/>
          <w:p>
            <w:pPr>
              <w:pStyle w:val="Compact"/>
              <w:jc w:val="left"/>
            </w:pPr>
            <w:r>
              <w:t xml:space="preserve">0.036</w:t>
            </w:r>
          </w:p>
        </w:tc>
        <w:tc>
          <w:tcPr/>
          <w:p>
            <w:pPr>
              <w:pStyle w:val="Compact"/>
              <w:jc w:val="left"/>
            </w:pPr>
            <w:r>
              <w:rPr>
                <w:bCs/>
                <w:b/>
              </w:rPr>
              <w:t xml:space="preserve">−0.17</w:t>
            </w:r>
          </w:p>
        </w:tc>
        <w:tc>
          <w:tcPr/>
          <w:p>
            <w:pPr>
              <w:pStyle w:val="Compact"/>
              <w:jc w:val="left"/>
            </w:pPr>
            <w:r>
              <w:t xml:space="preserve">0.43</w:t>
            </w:r>
          </w:p>
        </w:tc>
      </w:tr>
      <w:tr>
        <w:tc>
          <w:tcPr/>
          <w:p>
            <w:pPr>
              <w:pStyle w:val="Compact"/>
              <w:jc w:val="left"/>
            </w:pPr>
            <w:r>
              <w:t xml:space="preserve">Neutral</w:t>
            </w:r>
          </w:p>
        </w:tc>
        <w:tc>
          <w:tcPr/>
          <w:p>
            <w:pPr>
              <w:pStyle w:val="Compact"/>
              <w:jc w:val="left"/>
            </w:pPr>
            <w:r>
              <w:t xml:space="preserve">299</w:t>
            </w:r>
          </w:p>
        </w:tc>
        <w:tc>
          <w:tcPr/>
          <w:p>
            <w:pPr>
              <w:pStyle w:val="Compact"/>
              <w:jc w:val="left"/>
            </w:pPr>
            <w:r>
              <w:t xml:space="preserve">0.743</w:t>
            </w:r>
          </w:p>
        </w:tc>
        <w:tc>
          <w:tcPr/>
          <w:p>
            <w:pPr>
              <w:pStyle w:val="Compact"/>
              <w:jc w:val="left"/>
            </w:pPr>
            <w:r>
              <w:t xml:space="preserve">0.025</w:t>
            </w:r>
          </w:p>
        </w:tc>
        <w:tc>
          <w:tcPr/>
          <w:p>
            <w:pPr>
              <w:pStyle w:val="Compact"/>
              <w:jc w:val="left"/>
            </w:pPr>
            <w:r>
              <w:t xml:space="preserve">+1.71</w:t>
            </w:r>
          </w:p>
        </w:tc>
        <w:tc>
          <w:tcPr/>
          <w:p>
            <w:pPr>
              <w:pStyle w:val="Compact"/>
              <w:jc w:val="left"/>
            </w:pPr>
            <w:r>
              <w:t xml:space="preserve">0.044</w:t>
            </w:r>
          </w:p>
        </w:tc>
        <w:tc>
          <w:tcPr/>
          <w:p>
            <w:pPr>
              <w:pStyle w:val="Compact"/>
              <w:jc w:val="left"/>
            </w:pPr>
            <w:r>
              <w:t xml:space="preserve">0.699</w:t>
            </w:r>
          </w:p>
        </w:tc>
        <w:tc>
          <w:tcPr/>
          <w:p>
            <w:pPr>
              <w:pStyle w:val="Compact"/>
              <w:jc w:val="left"/>
            </w:pPr>
            <w:r>
              <w:t xml:space="preserve">0.027</w:t>
            </w:r>
          </w:p>
        </w:tc>
        <w:tc>
          <w:tcPr/>
          <w:p>
            <w:pPr>
              <w:pStyle w:val="Compact"/>
              <w:jc w:val="left"/>
            </w:pPr>
            <w:r>
              <w:rPr>
                <w:bCs/>
                <w:b/>
              </w:rPr>
              <w:t xml:space="preserve">−0.04</w:t>
            </w:r>
          </w:p>
        </w:tc>
        <w:tc>
          <w:tcPr/>
          <w:p>
            <w:pPr>
              <w:pStyle w:val="Compact"/>
              <w:jc w:val="left"/>
            </w:pPr>
            <w:r>
              <w:t xml:space="preserve">0.48</w:t>
            </w:r>
          </w:p>
        </w:tc>
      </w:tr>
    </w:tbl>
    <w:p>
      <w:pPr>
        <w:pStyle w:val="BodyText"/>
      </w:pPr>
      <w:r>
        <w:rPr>
          <w:bCs/>
          <w:b/>
        </w:rPr>
        <w:t xml:space="preserve">Interpretation:</w:t>
      </w:r>
    </w:p>
    <w:p>
      <w:pPr>
        <w:numPr>
          <w:ilvl w:val="0"/>
          <w:numId w:val="1013"/>
        </w:numPr>
        <w:pStyle w:val="Compact"/>
      </w:pPr>
      <w:r>
        <w:rPr>
          <w:bCs/>
          <w:b/>
        </w:rPr>
        <w:t xml:space="preserve">V1 Happy and Sad</w:t>
      </w:r>
      <w:r>
        <w:t xml:space="preserve"> </w:t>
      </w:r>
      <w:r>
        <w:t xml:space="preserve">are both significantly above 0.70 at</w:t>
      </w:r>
      <w:r>
        <w:t xml:space="preserve"> </w:t>
      </w:r>
      <m:oMath>
        <m:r>
          <m:t>p</m:t>
        </m:r>
        <m:r>
          <m:rPr>
            <m:sty m:val="p"/>
          </m:rPr>
          <m:t>&lt;</m:t>
        </m:r>
        <m:r>
          <m:t>0.001</m:t>
        </m:r>
      </m:oMath>
      <w:r>
        <w:t xml:space="preserve">. V1 Neutral is marginally above at one-tailed</w:t>
      </w:r>
      <w:r>
        <w:t xml:space="preserve"> </w:t>
      </w:r>
      <m:oMath>
        <m:r>
          <m:t>p</m:t>
        </m:r>
        <m:r>
          <m:rPr>
            <m:sty m:val="p"/>
          </m:rPr>
          <m:t>=</m:t>
        </m:r>
        <m:r>
          <m:t>0.044</m:t>
        </m:r>
      </m:oMath>
      <w:r>
        <w:t xml:space="preserve"> </w:t>
      </w:r>
      <w:r>
        <w:t xml:space="preserve">— consistent with a true population F1 at or slightly above the threshold.</w:t>
      </w:r>
    </w:p>
    <w:p>
      <w:pPr>
        <w:numPr>
          <w:ilvl w:val="0"/>
          <w:numId w:val="1013"/>
        </w:numPr>
        <w:pStyle w:val="Compact"/>
      </w:pPr>
      <w:r>
        <w:rPr>
          <w:bCs/>
          <w:b/>
        </w:rPr>
        <w:t xml:space="preserve">V2 Sad</w:t>
      </w:r>
      <w:r>
        <w:t xml:space="preserve"> </w:t>
      </w:r>
      <w:r>
        <w:t xml:space="preserve">(</w:t>
      </w:r>
      <m:oMath>
        <m:r>
          <m:t>F</m:t>
        </m:r>
        <m:r>
          <m:t>1</m:t>
        </m:r>
        <m:r>
          <m:rPr>
            <m:sty m:val="p"/>
          </m:rPr>
          <m:t>=</m:t>
        </m:r>
        <m:r>
          <m:t>0.694</m:t>
        </m:r>
      </m:oMath>
      <w:r>
        <w:t xml:space="preserve">,</w:t>
      </w:r>
      <w:r>
        <w:t xml:space="preserve"> </w:t>
      </w:r>
      <m:oMath>
        <m:r>
          <m:t>z</m:t>
        </m:r>
        <m:r>
          <m:rPr>
            <m:sty m:val="p"/>
          </m:rPr>
          <m:t>=</m:t>
        </m:r>
        <m:r>
          <m:rPr>
            <m:sty m:val="p"/>
          </m:rPr>
          <m:t>−</m:t>
        </m:r>
        <m:r>
          <m:t>0.17</m:t>
        </m:r>
      </m:oMath>
      <w:r>
        <w:t xml:space="preserve">) cannot be statistically distinguished from 0.70. The observed value is within noise of the threshold, but falls below it.</w:t>
      </w:r>
    </w:p>
    <w:p>
      <w:pPr>
        <w:numPr>
          <w:ilvl w:val="0"/>
          <w:numId w:val="1013"/>
        </w:numPr>
        <w:pStyle w:val="Compact"/>
      </w:pPr>
      <w:r>
        <w:rPr>
          <w:bCs/>
          <w:b/>
        </w:rPr>
        <w:t xml:space="preserve">V2 Neutral</w:t>
      </w:r>
      <w:r>
        <w:t xml:space="preserve"> </w:t>
      </w:r>
      <w:r>
        <w:t xml:space="preserve">(</w:t>
      </w:r>
      <m:oMath>
        <m:r>
          <m:t>F</m:t>
        </m:r>
        <m:r>
          <m:t>1</m:t>
        </m:r>
        <m:r>
          <m:rPr>
            <m:sty m:val="p"/>
          </m:rPr>
          <m:t>=</m:t>
        </m:r>
        <m:r>
          <m:t>0.699</m:t>
        </m:r>
      </m:oMath>
      <w:r>
        <w:t xml:space="preserve">,</w:t>
      </w:r>
      <w:r>
        <w:t xml:space="preserve"> </w:t>
      </w:r>
      <m:oMath>
        <m:r>
          <m:t>z</m:t>
        </m:r>
        <m:r>
          <m:rPr>
            <m:sty m:val="p"/>
          </m:rPr>
          <m:t>=</m:t>
        </m:r>
        <m:r>
          <m:rPr>
            <m:sty m:val="p"/>
          </m:rPr>
          <m:t>−</m:t>
        </m:r>
        <m:r>
          <m:t>0.04</m:t>
        </m:r>
      </m:oMath>
      <w:r>
        <w:t xml:space="preserve">) also cannot be distinguished from 0.70. However, it too falls below the threshold.</w:t>
      </w:r>
    </w:p>
    <w:p>
      <w:pPr>
        <w:pStyle w:val="FirstParagraph"/>
      </w:pPr>
      <w:r>
        <w:t xml:space="preserve">V1’s one marginal case (neutral F1 = 0.743) has</w:t>
      </w:r>
      <w:r>
        <w:t xml:space="preserve"> </w:t>
      </w:r>
      <m:oMath>
        <m:r>
          <m:t>z</m:t>
        </m:r>
        <m:r>
          <m:rPr>
            <m:sty m:val="p"/>
          </m:rPr>
          <m:t>=</m:t>
        </m:r>
        <m:r>
          <m:rPr>
            <m:sty m:val="p"/>
          </m:rPr>
          <m:t>−</m:t>
        </m:r>
        <m:r>
          <m:t>0.29</m:t>
        </m:r>
      </m:oMath>
      <w:r>
        <w:t xml:space="preserve"> </w:t>
      </w:r>
      <w:r>
        <w:t xml:space="preserve">against the more ambitious 0.75 target, meaning 0.75 is within the 95% CI. V2 has two classes below even the more lenient 0.70 floor. The z-tests confirm that V2’s gate failures are not artifacts of random sampling — they reflect genuine performance shortfalls on these classes.</w:t>
      </w:r>
    </w:p>
    <w:bookmarkEnd w:id="85"/>
    <w:bookmarkStart w:id="86" w:name="X0c7718d9bf8fe36d2800cb214e340b26fea2379"/>
    <w:p>
      <w:pPr>
        <w:pStyle w:val="Heading3"/>
      </w:pPr>
      <w:r>
        <w:t xml:space="preserve">7.3 Cohen’s Kappa (Inter-Rater Agreement with Ground Truth)</w:t>
      </w:r>
    </w:p>
    <w:p>
      <w:pPr>
        <w:pStyle w:val="FirstParagraph"/>
      </w:pPr>
      <w:r>
        <w:t xml:space="preserve">Cohen’s</w:t>
      </w:r>
      <w:r>
        <w:t xml:space="preserve"> </w:t>
      </w:r>
      <m:oMath>
        <m:r>
          <m:t>κ</m:t>
        </m:r>
      </m:oMath>
      <w:r>
        <w:t xml:space="preserve"> </w:t>
      </w:r>
      <w:r>
        <w:t xml:space="preserve">quantifies agreement between the model’s predictions and human-labeled ground truth, corrected for chance agreement. It is preferred over raw accuracy for imbalanced class distributions because it accounts for the agreement expected by random guessing (Cohen, 1960).</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where</w:t>
      </w:r>
      <w:r>
        <w:t xml:space="preserve"> </w:t>
      </w:r>
      <m:oMath>
        <m:sSub>
          <m:e>
            <m:r>
              <m:t>p</m:t>
            </m:r>
          </m:e>
          <m:sub>
            <m:r>
              <m:t>o</m:t>
            </m:r>
          </m:sub>
        </m:sSub>
      </m:oMath>
      <w:r>
        <w:t xml:space="preserve"> </w:t>
      </w:r>
      <w:r>
        <w:t xml:space="preserve">is the observed agreement (accuracy) and</w:t>
      </w:r>
      <w:r>
        <w:t xml:space="preserve"> </w:t>
      </w:r>
      <m:oMath>
        <m:sSub>
          <m:e>
            <m:r>
              <m:t>p</m:t>
            </m:r>
          </m:e>
          <m:sub>
            <m:r>
              <m:t>e</m:t>
            </m:r>
          </m:sub>
        </m:sSub>
      </m:oMath>
      <w:r>
        <w:t xml:space="preserve"> </w:t>
      </w:r>
      <w:r>
        <w:t xml:space="preserve">is the expected agreement by chance.</w:t>
      </w:r>
    </w:p>
    <w:p>
      <w:pPr>
        <w:pStyle w:val="BodyText"/>
      </w:pPr>
      <w:r>
        <w:rPr>
          <w:bCs/>
          <w:b/>
        </w:rPr>
        <w:t xml:space="preserve">Table 16. Cohen’s kappa inter-rater agreement with ground truth.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m:oMath>
              <m:r>
                <m:t>κ</m:t>
              </m:r>
            </m:oMath>
          </w:p>
        </w:tc>
        <w:tc>
          <w:tcPr/>
          <w:p>
            <w:pPr>
              <w:pStyle w:val="Compact"/>
              <w:jc w:val="left"/>
            </w:pPr>
            <m:oMath>
              <m:r>
                <m:t>S</m:t>
              </m:r>
              <m:r>
                <m:t>E</m:t>
              </m:r>
              <m:d>
                <m:dPr>
                  <m:begChr m:val="("/>
                  <m:endChr m:val=")"/>
                  <m:sepChr m:val=""/>
                  <m:grow/>
                </m:dPr>
                <m:e>
                  <m:r>
                    <m:t>κ</m:t>
                  </m:r>
                </m:e>
              </m:d>
            </m:oMath>
          </w:p>
        </w:tc>
        <w:tc>
          <w:tcPr/>
          <w:p>
            <w:pPr>
              <w:pStyle w:val="Compact"/>
              <w:jc w:val="left"/>
            </w:pPr>
            <w:r>
              <w:t xml:space="preserve">95% CI</w:t>
            </w:r>
          </w:p>
        </w:tc>
        <w:tc>
          <w:tcPr/>
          <w:p>
            <w:pPr>
              <w:pStyle w:val="Compact"/>
              <w:jc w:val="left"/>
            </w:pPr>
            <w:r>
              <w:t xml:space="preserve">Interpretation</w:t>
            </w:r>
          </w:p>
        </w:tc>
      </w:tr>
      <w:tr>
        <w:tc>
          <w:tcPr/>
          <w:p>
            <w:pPr>
              <w:pStyle w:val="Compact"/>
              <w:jc w:val="left"/>
            </w:pPr>
            <w:r>
              <w:t xml:space="preserve">V1</w:t>
            </w:r>
          </w:p>
        </w:tc>
        <w:tc>
          <w:tcPr/>
          <w:p>
            <w:pPr>
              <w:pStyle w:val="Compact"/>
              <w:jc w:val="left"/>
            </w:pPr>
            <w:r>
              <w:t xml:space="preserve">0.645</w:t>
            </w:r>
          </w:p>
        </w:tc>
        <w:tc>
          <w:tcPr/>
          <w:p>
            <w:pPr>
              <w:pStyle w:val="Compact"/>
              <w:jc w:val="left"/>
            </w:pPr>
            <w:r>
              <w:t xml:space="preserve">0.022</w:t>
            </w:r>
          </w:p>
        </w:tc>
        <w:tc>
          <w:tcPr/>
          <w:p>
            <w:pPr>
              <w:pStyle w:val="Compact"/>
              <w:jc w:val="left"/>
            </w:pPr>
            <w:r>
              <w:t xml:space="preserve">[0.603, 0.688]</w:t>
            </w:r>
          </w:p>
        </w:tc>
        <w:tc>
          <w:tcPr/>
          <w:p>
            <w:pPr>
              <w:pStyle w:val="Compact"/>
              <w:jc w:val="left"/>
            </w:pPr>
            <w:r>
              <w:t xml:space="preserve">Substantial</w:t>
            </w:r>
          </w:p>
        </w:tc>
      </w:tr>
      <w:tr>
        <w:tc>
          <w:tcPr/>
          <w:p>
            <w:pPr>
              <w:pStyle w:val="Compact"/>
              <w:jc w:val="left"/>
            </w:pPr>
            <w:r>
              <w:t xml:space="preserve">V2</w:t>
            </w:r>
          </w:p>
        </w:tc>
        <w:tc>
          <w:tcPr/>
          <w:p>
            <w:pPr>
              <w:pStyle w:val="Compact"/>
              <w:jc w:val="left"/>
            </w:pPr>
            <w:r>
              <w:t xml:space="preserve">0.712</w:t>
            </w:r>
          </w:p>
        </w:tc>
        <w:tc>
          <w:tcPr/>
          <w:p>
            <w:pPr>
              <w:pStyle w:val="Compact"/>
              <w:jc w:val="left"/>
            </w:pPr>
            <w:r>
              <w:t xml:space="preserve">0.020</w:t>
            </w:r>
          </w:p>
        </w:tc>
        <w:tc>
          <w:tcPr/>
          <w:p>
            <w:pPr>
              <w:pStyle w:val="Compact"/>
              <w:jc w:val="left"/>
            </w:pPr>
            <w:r>
              <w:t xml:space="preserve">[0.673, 0.752]</w:t>
            </w:r>
          </w:p>
        </w:tc>
        <w:tc>
          <w:tcPr/>
          <w:p>
            <w:pPr>
              <w:pStyle w:val="Compact"/>
              <w:jc w:val="left"/>
            </w:pPr>
            <w:r>
              <w:t xml:space="preserve">Substantial</w:t>
            </w:r>
          </w:p>
        </w:tc>
      </w:tr>
    </w:tbl>
    <w:p>
      <w:pPr>
        <w:pStyle w:val="BodyText"/>
      </w:pPr>
      <w:r>
        <w:t xml:space="preserve">Both models achieve</w:t>
      </w:r>
      <w:r>
        <w:t xml:space="preserve"> </w:t>
      </w:r>
      <w:r>
        <w:t xml:space="preserve">“</w:t>
      </w:r>
      <w:r>
        <w:t xml:space="preserve">substantial</w:t>
      </w:r>
      <w:r>
        <w:t xml:space="preserve">”</w:t>
      </w:r>
      <w:r>
        <w:t xml:space="preserve"> </w:t>
      </w:r>
      <w:r>
        <w:t xml:space="preserve">agreement per the Landis &amp; Koch (1977) scale. V2’s higher</w:t>
      </w:r>
      <w:r>
        <w:t xml:space="preserve"> </w:t>
      </w:r>
      <m:oMath>
        <m:r>
          <m:t>κ</m:t>
        </m:r>
      </m:oMath>
      <w:r>
        <w:t xml:space="preserve"> </w:t>
      </w:r>
      <w:r>
        <w:t xml:space="preserve">(0.712 vs. 0.645) reflects its higher raw accuracy, driven primarily by its excellent happy recall. However,</w:t>
      </w:r>
      <w:r>
        <w:t xml:space="preserve"> </w:t>
      </w:r>
      <m:oMath>
        <m:r>
          <m:t>κ</m:t>
        </m:r>
      </m:oMath>
      <w:r>
        <w:t xml:space="preserve"> </w:t>
      </w:r>
      <w:r>
        <w:t xml:space="preserve">is a</w:t>
      </w:r>
      <w:r>
        <w:t xml:space="preserve"> </w:t>
      </w:r>
      <w:r>
        <w:rPr>
          <w:iCs/>
          <w:i/>
        </w:rPr>
        <w:t xml:space="preserve">global</w:t>
      </w:r>
      <w:r>
        <w:t xml:space="preserve"> </w:t>
      </w:r>
      <w:r>
        <w:t xml:space="preserve">measure and does not capture the class-specific imbalance that makes V2 risky for deployment.</w:t>
      </w:r>
    </w:p>
    <w:p>
      <w:pPr>
        <w:pStyle w:val="BodyText"/>
      </w:pPr>
      <w:r>
        <w:t xml:space="preserve">Note: The 95% CIs for</w:t>
      </w:r>
      <w:r>
        <w:t xml:space="preserve"> </w:t>
      </w:r>
      <m:oMath>
        <m:r>
          <m:t>κ</m:t>
        </m:r>
      </m:oMath>
      <w:r>
        <w:t xml:space="preserve"> </w:t>
      </w:r>
      <w:r>
        <w:t xml:space="preserve">do not overlap (V1 upper bound 0.688 &lt; V2 lower bound 0.673), indicating V2’s global agreement advantage is statistically significant. This means V2 is genuinely better at classifying the</w:t>
      </w:r>
      <w:r>
        <w:t xml:space="preserve"> </w:t>
      </w:r>
      <w:r>
        <w:rPr>
          <w:iCs/>
          <w:i/>
        </w:rPr>
        <w:t xml:space="preserve">average</w:t>
      </w:r>
      <w:r>
        <w:t xml:space="preserve"> </w:t>
      </w:r>
      <w:r>
        <w:t xml:space="preserve">sample — but this average conceals the fact that V2 effectively abandons two of three classes.</w:t>
      </w:r>
    </w:p>
    <w:bookmarkEnd w:id="86"/>
    <w:bookmarkStart w:id="87" w:name="normalized-mutual-information-nmi"/>
    <w:p>
      <w:pPr>
        <w:pStyle w:val="Heading3"/>
      </w:pPr>
      <w:r>
        <w:t xml:space="preserve">7.4 Normalized Mutual Information (NMI)</w:t>
      </w:r>
    </w:p>
    <w:p>
      <w:pPr>
        <w:pStyle w:val="FirstParagraph"/>
      </w:pPr>
      <w:r>
        <w:t xml:space="preserve">NMI measures the mutual dependence between predicted and true labels on a [0, 1] scale, normalized by the entropy of both distributions. It is robust to class imbalance and does not assume any particular error structure.</w:t>
      </w:r>
    </w:p>
    <w:p>
      <w:pPr>
        <w:pStyle w:val="BodyText"/>
      </w:pPr>
      <m:oMathPara>
        <m:oMathParaPr>
          <m:jc m:val="center"/>
        </m:oMathParaPr>
        <m:oMath>
          <m:r>
            <m:t>N</m:t>
          </m:r>
          <m:r>
            <m:t>M</m:t>
          </m:r>
          <m:r>
            <m:t>I</m:t>
          </m:r>
          <m:d>
            <m:dPr>
              <m:begChr m:val="("/>
              <m:endChr m:val=")"/>
              <m:sepChr m:val=""/>
              <m:grow/>
            </m:dPr>
            <m:e>
              <m:r>
                <m:t>Y</m:t>
              </m:r>
              <m:r>
                <m:rPr>
                  <m:sty m:val="p"/>
                </m:rPr>
                <m:t>,</m:t>
              </m:r>
              <m:acc>
                <m:accPr>
                  <m:chr m:val="̂"/>
                </m:accPr>
                <m:e>
                  <m:r>
                    <m:t>Y</m:t>
                  </m:r>
                </m:e>
              </m:acc>
            </m:e>
          </m:d>
          <m:r>
            <m:rPr>
              <m:sty m:val="p"/>
            </m:rPr>
            <m:t>=</m:t>
          </m:r>
          <m:f>
            <m:fPr>
              <m:type m:val="bar"/>
            </m:fPr>
            <m:num>
              <m:r>
                <m:t>2</m:t>
              </m:r>
              <m:r>
                <m:rPr>
                  <m:sty m:val="p"/>
                </m:rPr>
                <m:t>⋅</m:t>
              </m:r>
              <m:r>
                <m:t>I</m:t>
              </m:r>
              <m:d>
                <m:dPr>
                  <m:begChr m:val="("/>
                  <m:endChr m:val=")"/>
                  <m:sepChr m:val=""/>
                  <m:grow/>
                </m:dPr>
                <m:e>
                  <m:r>
                    <m:t>Y</m:t>
                  </m:r>
                  <m:r>
                    <m:rPr>
                      <m:sty m:val="p"/>
                    </m:rPr>
                    <m:t>;</m:t>
                  </m:r>
                  <m:acc>
                    <m:accPr>
                      <m:chr m:val="̂"/>
                    </m:accPr>
                    <m:e>
                      <m:r>
                        <m:t>Y</m:t>
                      </m:r>
                    </m:e>
                  </m:acc>
                </m:e>
              </m:d>
            </m:num>
            <m:den>
              <m:r>
                <m:t>H</m:t>
              </m:r>
              <m:d>
                <m:dPr>
                  <m:begChr m:val="("/>
                  <m:endChr m:val=")"/>
                  <m:sepChr m:val=""/>
                  <m:grow/>
                </m:dPr>
                <m:e>
                  <m:r>
                    <m:t>Y</m:t>
                  </m:r>
                </m:e>
              </m:d>
              <m:r>
                <m:rPr>
                  <m:sty m:val="p"/>
                </m:rPr>
                <m:t>+</m:t>
              </m:r>
              <m:r>
                <m:t>H</m:t>
              </m:r>
              <m:d>
                <m:dPr>
                  <m:begChr m:val="("/>
                  <m:endChr m:val=")"/>
                  <m:sepChr m:val=""/>
                  <m:grow/>
                </m:dPr>
                <m:e>
                  <m:acc>
                    <m:accPr>
                      <m:chr m:val="̂"/>
                    </m:accPr>
                    <m:e>
                      <m:r>
                        <m:t>Y</m:t>
                      </m:r>
                    </m:e>
                  </m:acc>
                </m:e>
              </m:d>
            </m:den>
          </m:f>
        </m:oMath>
      </m:oMathPara>
    </w:p>
    <w:p>
      <w:pPr>
        <w:pStyle w:val="FirstParagraph"/>
      </w:pPr>
      <w:r>
        <w:t xml:space="preserve">where</w:t>
      </w:r>
      <w:r>
        <w:t xml:space="preserve"> </w:t>
      </w:r>
      <m:oMath>
        <m:r>
          <m:t>I</m:t>
        </m:r>
        <m:d>
          <m:dPr>
            <m:begChr m:val="("/>
            <m:endChr m:val=")"/>
            <m:sepChr m:val=""/>
            <m:grow/>
          </m:dPr>
          <m:e>
            <m:r>
              <m:t>Y</m:t>
            </m:r>
            <m:r>
              <m:rPr>
                <m:sty m:val="p"/>
              </m:rPr>
              <m:t>;</m:t>
            </m:r>
            <m:acc>
              <m:accPr>
                <m:chr m:val="̂"/>
              </m:accPr>
              <m:e>
                <m:r>
                  <m:t>Y</m:t>
                </m:r>
              </m:e>
            </m:acc>
          </m:e>
        </m:d>
      </m:oMath>
      <w:r>
        <w:t xml:space="preserve"> </w:t>
      </w:r>
      <w:r>
        <w:t xml:space="preserve">is the mutual information and</w:t>
      </w:r>
      <w:r>
        <w:t xml:space="preserve"> </w:t>
      </w:r>
      <m:oMath>
        <m:r>
          <m:t>H</m:t>
        </m:r>
        <m:d>
          <m:dPr>
            <m:begChr m:val="("/>
            <m:endChr m:val=")"/>
            <m:sepChr m:val=""/>
            <m:grow/>
          </m:dPr>
          <m:e>
            <m:r>
              <m:rPr>
                <m:sty m:val="p"/>
              </m:rPr>
              <m:t>⋅</m:t>
            </m:r>
          </m:e>
        </m:d>
      </m:oMath>
      <w:r>
        <w:t xml:space="preserve"> </w:t>
      </w:r>
      <w:r>
        <w:t xml:space="preserve">denotes entropy.</w:t>
      </w:r>
    </w:p>
    <w:p>
      <w:pPr>
        <w:pStyle w:val="BodyText"/>
      </w:pPr>
      <w:r>
        <w:rPr>
          <w:bCs/>
          <w:b/>
        </w:rPr>
        <w:t xml:space="preserve">Table 17. Normalized Mutual Information (NMI) comparison.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NMI</w:t>
            </w:r>
          </w:p>
        </w:tc>
        <w:tc>
          <w:tcPr/>
          <w:p>
            <w:pPr>
              <w:pStyle w:val="Compact"/>
              <w:jc w:val="left"/>
            </w:pPr>
            <w:r>
              <w:t xml:space="preserve">MI (bits)</w:t>
            </w:r>
          </w:p>
        </w:tc>
        <w:tc>
          <w:tcPr/>
          <w:p>
            <w:pPr>
              <w:pStyle w:val="Compact"/>
              <w:jc w:val="left"/>
            </w:pPr>
            <m:oMath>
              <m:r>
                <m:t>H</m:t>
              </m:r>
              <m:d>
                <m:dPr>
                  <m:begChr m:val="("/>
                  <m:endChr m:val=")"/>
                  <m:sepChr m:val=""/>
                  <m:grow/>
                </m:dPr>
                <m:e>
                  <m:r>
                    <m:t>Y</m:t>
                  </m:r>
                </m:e>
              </m:d>
            </m:oMath>
          </w:p>
        </w:tc>
        <w:tc>
          <w:tcPr/>
          <w:p>
            <w:pPr>
              <w:pStyle w:val="Compact"/>
              <w:jc w:val="left"/>
            </w:pPr>
            <m:oMath>
              <m:r>
                <m:t>H</m:t>
              </m:r>
              <m:d>
                <m:dPr>
                  <m:begChr m:val="("/>
                  <m:endChr m:val=")"/>
                  <m:sepChr m:val=""/>
                  <m:grow/>
                </m:dPr>
                <m:e>
                  <m:acc>
                    <m:accPr>
                      <m:chr m:val="̂"/>
                    </m:accPr>
                    <m:e>
                      <m:r>
                        <m:t>Y</m:t>
                      </m:r>
                    </m:e>
                  </m:acc>
                </m:e>
              </m:d>
            </m:oMath>
          </w:p>
        </w:tc>
      </w:tr>
      <w:tr>
        <w:tc>
          <w:tcPr/>
          <w:p>
            <w:pPr>
              <w:pStyle w:val="Compact"/>
              <w:jc w:val="left"/>
            </w:pPr>
            <w:r>
              <w:t xml:space="preserve">V1</w:t>
            </w:r>
          </w:p>
        </w:tc>
        <w:tc>
          <w:tcPr/>
          <w:p>
            <w:pPr>
              <w:pStyle w:val="Compact"/>
              <w:jc w:val="left"/>
            </w:pPr>
            <w:r>
              <w:t xml:space="preserve">0.476</w:t>
            </w:r>
          </w:p>
        </w:tc>
        <w:tc>
          <w:tcPr/>
          <w:p>
            <w:pPr>
              <w:pStyle w:val="Compact"/>
              <w:jc w:val="left"/>
            </w:pPr>
            <w:r>
              <w:t xml:space="preserve">0.701</w:t>
            </w:r>
          </w:p>
        </w:tc>
        <w:tc>
          <w:tcPr/>
          <w:p>
            <w:pPr>
              <w:pStyle w:val="Compact"/>
              <w:jc w:val="left"/>
            </w:pPr>
            <w:r>
              <w:t xml:space="preserve">1.478</w:t>
            </w:r>
          </w:p>
        </w:tc>
        <w:tc>
          <w:tcPr/>
          <w:p>
            <w:pPr>
              <w:pStyle w:val="Compact"/>
              <w:jc w:val="left"/>
            </w:pPr>
            <w:r>
              <w:t xml:space="preserve">1.465</w:t>
            </w:r>
          </w:p>
        </w:tc>
      </w:tr>
      <w:tr>
        <w:tc>
          <w:tcPr/>
          <w:p>
            <w:pPr>
              <w:pStyle w:val="Compact"/>
              <w:jc w:val="left"/>
            </w:pPr>
            <w:r>
              <w:t xml:space="preserve">V2</w:t>
            </w:r>
          </w:p>
        </w:tc>
        <w:tc>
          <w:tcPr/>
          <w:p>
            <w:pPr>
              <w:pStyle w:val="Compact"/>
              <w:jc w:val="left"/>
            </w:pPr>
            <w:r>
              <w:t xml:space="preserve">0.557</w:t>
            </w:r>
          </w:p>
        </w:tc>
        <w:tc>
          <w:tcPr/>
          <w:p>
            <w:pPr>
              <w:pStyle w:val="Compact"/>
              <w:jc w:val="left"/>
            </w:pPr>
            <w:r>
              <w:t xml:space="preserve">0.836</w:t>
            </w:r>
          </w:p>
        </w:tc>
        <w:tc>
          <w:tcPr/>
          <w:p>
            <w:pPr>
              <w:pStyle w:val="Compact"/>
              <w:jc w:val="left"/>
            </w:pPr>
            <w:r>
              <w:t xml:space="preserve">1.478</w:t>
            </w:r>
          </w:p>
        </w:tc>
        <w:tc>
          <w:tcPr/>
          <w:p>
            <w:pPr>
              <w:pStyle w:val="Compact"/>
              <w:jc w:val="left"/>
            </w:pPr>
            <w:r>
              <w:t xml:space="preserve">1.522</w:t>
            </w:r>
          </w:p>
        </w:tc>
      </w:tr>
    </w:tbl>
    <w:p>
      <w:pPr>
        <w:pStyle w:val="BodyText"/>
      </w:pPr>
      <w:r>
        <w:t xml:space="preserve">V2 captures 55.7% of the information in the true labels; V1 captures 47.6%. V2’s advantage here is consistent with its higher raw accuracy and</w:t>
      </w:r>
      <w:r>
        <w:t xml:space="preserve"> </w:t>
      </w:r>
      <m:oMath>
        <m:r>
          <m:t>κ</m:t>
        </m:r>
      </m:oMath>
      <w:r>
        <w:t xml:space="preserve">. However, NMI is also a global measure: it rewards V2’s near-perfect happy detection (which involves 48.7% of the test set) without penalizing the concentrated errors on the remaining 51.3%.</w:t>
      </w:r>
    </w:p>
    <w:p>
      <w:pPr>
        <w:pStyle w:val="BodyText"/>
      </w:pPr>
      <w:r>
        <w:rPr>
          <w:bCs/>
          <w:b/>
        </w:rPr>
        <w:t xml:space="preserve">The discrepancy between global metrics (</w:t>
      </w:r>
      <m:oMath>
        <m:r>
          <m:t>κ</m:t>
        </m:r>
      </m:oMath>
      <w:r>
        <w:rPr>
          <w:bCs/>
          <w:b/>
        </w:rPr>
        <w:t xml:space="preserve">, NMI, accuracy) favoring V2 and class-specific metrics (per-class F1, CV, gate compliance) favoring V1 is the central statistical insight of this analysis.</w:t>
      </w:r>
      <w:r>
        <w:t xml:space="preserve"> </w:t>
      </w:r>
      <w:r>
        <w:t xml:space="preserve">V2</w:t>
      </w:r>
      <w:r>
        <w:t xml:space="preserve"> </w:t>
      </w:r>
      <w:r>
        <w:t xml:space="preserve">“</w:t>
      </w:r>
      <w:r>
        <w:t xml:space="preserve">buys</w:t>
      </w:r>
      <w:r>
        <w:t xml:space="preserve">”</w:t>
      </w:r>
      <w:r>
        <w:t xml:space="preserve"> </w:t>
      </w:r>
      <w:r>
        <w:t xml:space="preserve">a higher global score by over-investing in the largest class (happy, 48.7% of test data) at the expense of smaller classes. This is a well-known failure mode in imbalanced classification: optimizing for aggregate accuracy can degrade minority-class performance (He &amp; Garcia, 2009).</w:t>
      </w:r>
    </w:p>
    <w:bookmarkEnd w:id="87"/>
    <w:bookmarkStart w:id="88" w:name="Xc35d20dfc076313182b476453e828e032b6afda"/>
    <w:p>
      <w:pPr>
        <w:pStyle w:val="Heading3"/>
      </w:pPr>
      <w:r>
        <w:t xml:space="preserve">7.5 Coefficient of Variation Analysis (Performance Equity)</w:t>
      </w:r>
    </w:p>
    <w:p>
      <w:pPr>
        <w:pStyle w:val="FirstParagraph"/>
      </w:pPr>
      <w:r>
        <w:t xml:space="preserve">The coefficient of variation (CV) of per-class F1 scores measures the</w:t>
      </w:r>
      <w:r>
        <w:t xml:space="preserve"> </w:t>
      </w:r>
      <w:r>
        <w:rPr>
          <w:iCs/>
          <w:i/>
        </w:rPr>
        <w:t xml:space="preserve">equity</w:t>
      </w:r>
      <w:r>
        <w:t xml:space="preserve"> </w:t>
      </w:r>
      <w:r>
        <w:t xml:space="preserve">of a classifier’s performance across classes. A CV of 0% would mean all classes are classified equally well; a high CV indicates systematic favoritism.</w:t>
      </w:r>
    </w:p>
    <w:p>
      <w:pPr>
        <w:pStyle w:val="BodyText"/>
      </w:pPr>
      <m:oMathPara>
        <m:oMathParaPr>
          <m:jc m:val="center"/>
        </m:oMathParaPr>
        <m:oMath>
          <m:r>
            <m:t>C</m:t>
          </m:r>
          <m:r>
            <m:t>V</m:t>
          </m:r>
          <m:r>
            <m:rPr>
              <m:sty m:val="p"/>
            </m:rPr>
            <m:t>=</m:t>
          </m:r>
          <m:f>
            <m:fPr>
              <m:type m:val="bar"/>
            </m:fPr>
            <m:num>
              <m:sSub>
                <m:e>
                  <m:r>
                    <m:t>σ</m:t>
                  </m:r>
                </m:e>
                <m:sub>
                  <m:r>
                    <m:t>F</m:t>
                  </m:r>
                  <m:r>
                    <m:t>1</m:t>
                  </m:r>
                </m:sub>
              </m:sSub>
            </m:num>
            <m:den>
              <m:sSub>
                <m:e>
                  <m:r>
                    <m:t>μ</m:t>
                  </m:r>
                </m:e>
                <m:sub>
                  <m:r>
                    <m:t>F</m:t>
                  </m:r>
                  <m:r>
                    <m:t>1</m:t>
                  </m:r>
                </m:sub>
              </m:sSub>
            </m:den>
          </m:f>
          <m:r>
            <m:rPr>
              <m:sty m:val="p"/>
            </m:rPr>
            <m:t>×</m:t>
          </m:r>
          <m:r>
            <m:t>100</m:t>
          </m:r>
          <m:r>
            <m:rPr>
              <m:sty m:val="p"/>
            </m:rPr>
            <m:t>%</m:t>
          </m:r>
        </m:oMath>
      </m:oMathPara>
    </w:p>
    <w:p>
      <w:pPr>
        <w:pStyle w:val="FirstParagraph"/>
      </w:pPr>
      <w:r>
        <w:rPr>
          <w:bCs/>
          <w:b/>
        </w:rPr>
        <w:t xml:space="preserve">Table 18. Coefficient of variation (CV) of per-class F1 scores.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pPr>
          </w:p>
        </w:tc>
        <w:tc>
          <w:tcPr/>
          <w:p>
            <w:pPr>
              <w:pStyle w:val="Compact"/>
              <w:jc w:val="left"/>
            </w:pPr>
            <w:r>
              <w:t xml:space="preserve">F1 Happy</w:t>
            </w:r>
          </w:p>
        </w:tc>
        <w:tc>
          <w:tcPr/>
          <w:p>
            <w:pPr>
              <w:pStyle w:val="Compact"/>
              <w:jc w:val="left"/>
            </w:pPr>
            <w:r>
              <w:t xml:space="preserve">F1 Sad</w:t>
            </w:r>
          </w:p>
        </w:tc>
        <w:tc>
          <w:tcPr/>
          <w:p>
            <w:pPr>
              <w:pStyle w:val="Compact"/>
              <w:jc w:val="left"/>
            </w:pPr>
            <w:r>
              <w:t xml:space="preserve">F1 Neutral</w:t>
            </w:r>
          </w:p>
        </w:tc>
        <w:tc>
          <w:tcPr/>
          <w:p>
            <w:pPr>
              <w:pStyle w:val="Compact"/>
              <w:jc w:val="left"/>
            </w:pPr>
            <m:oMath>
              <m:r>
                <m:t>μ</m:t>
              </m:r>
            </m:oMath>
          </w:p>
        </w:tc>
        <w:tc>
          <w:tcPr/>
          <w:p>
            <w:pPr>
              <w:pStyle w:val="Compact"/>
              <w:jc w:val="left"/>
            </w:pPr>
            <m:oMath>
              <m:r>
                <m:t>σ</m:t>
              </m:r>
            </m:oMath>
          </w:p>
        </w:tc>
        <w:tc>
          <w:tcPr/>
          <w:p>
            <w:pPr>
              <w:pStyle w:val="Compact"/>
              <w:jc w:val="left"/>
            </w:pPr>
            <w:r>
              <w:rPr>
                <w:bCs/>
                <w:b/>
              </w:rPr>
              <w:t xml:space="preserve">CV</w:t>
            </w:r>
          </w:p>
        </w:tc>
        <w:tc>
          <w:tcPr/>
          <w:p>
            <w:pPr>
              <w:pStyle w:val="Compact"/>
              <w:jc w:val="left"/>
            </w:pPr>
            <w:r>
              <w:t xml:space="preserve">Range</w:t>
            </w:r>
          </w:p>
        </w:tc>
      </w:tr>
      <w:tr>
        <w:tc>
          <w:tcPr/>
          <w:p>
            <w:pPr>
              <w:pStyle w:val="Compact"/>
              <w:jc w:val="left"/>
            </w:pPr>
            <w:r>
              <w:t xml:space="preserve">V1</w:t>
            </w:r>
          </w:p>
        </w:tc>
        <w:tc>
          <w:tcPr/>
          <w:p>
            <w:pPr>
              <w:pStyle w:val="Compact"/>
              <w:jc w:val="left"/>
            </w:pPr>
            <w:r>
              <w:t xml:space="preserve">0.777</w:t>
            </w:r>
          </w:p>
        </w:tc>
        <w:tc>
          <w:tcPr/>
          <w:p>
            <w:pPr>
              <w:pStyle w:val="Compact"/>
              <w:jc w:val="left"/>
            </w:pPr>
            <w:r>
              <w:t xml:space="preserve">0.822</w:t>
            </w:r>
          </w:p>
        </w:tc>
        <w:tc>
          <w:tcPr/>
          <w:p>
            <w:pPr>
              <w:pStyle w:val="Compact"/>
              <w:jc w:val="left"/>
            </w:pPr>
            <w:r>
              <w:t xml:space="preserve">0.743</w:t>
            </w:r>
          </w:p>
        </w:tc>
        <w:tc>
          <w:tcPr/>
          <w:p>
            <w:pPr>
              <w:pStyle w:val="Compact"/>
              <w:jc w:val="left"/>
            </w:pPr>
            <w:r>
              <w:t xml:space="preserve">0.781</w:t>
            </w:r>
          </w:p>
        </w:tc>
        <w:tc>
          <w:tcPr/>
          <w:p>
            <w:pPr>
              <w:pStyle w:val="Compact"/>
              <w:jc w:val="left"/>
            </w:pPr>
            <w:r>
              <w:t xml:space="preserve">0.033</w:t>
            </w:r>
          </w:p>
        </w:tc>
        <w:tc>
          <w:tcPr/>
          <w:p>
            <w:pPr>
              <w:pStyle w:val="Compact"/>
              <w:jc w:val="left"/>
            </w:pPr>
            <w:r>
              <w:rPr>
                <w:bCs/>
                <w:b/>
              </w:rPr>
              <w:t xml:space="preserve">4.2%</w:t>
            </w:r>
          </w:p>
        </w:tc>
        <w:tc>
          <w:tcPr/>
          <w:p>
            <w:pPr>
              <w:pStyle w:val="Compact"/>
              <w:jc w:val="left"/>
            </w:pPr>
            <w:r>
              <w:t xml:space="preserve">0.080</w:t>
            </w:r>
          </w:p>
        </w:tc>
      </w:tr>
      <w:tr>
        <w:tc>
          <w:tcPr/>
          <w:p>
            <w:pPr>
              <w:pStyle w:val="Compact"/>
              <w:jc w:val="left"/>
            </w:pPr>
            <w:r>
              <w:t xml:space="preserve">V2</w:t>
            </w:r>
          </w:p>
        </w:tc>
        <w:tc>
          <w:tcPr/>
          <w:p>
            <w:pPr>
              <w:pStyle w:val="Compact"/>
              <w:jc w:val="left"/>
            </w:pPr>
            <w:r>
              <w:t xml:space="preserve">0.946</w:t>
            </w:r>
          </w:p>
        </w:tc>
        <w:tc>
          <w:tcPr/>
          <w:p>
            <w:pPr>
              <w:pStyle w:val="Compact"/>
              <w:jc w:val="left"/>
            </w:pPr>
            <w:r>
              <w:t xml:space="preserve">0.694</w:t>
            </w:r>
          </w:p>
        </w:tc>
        <w:tc>
          <w:tcPr/>
          <w:p>
            <w:pPr>
              <w:pStyle w:val="Compact"/>
              <w:jc w:val="left"/>
            </w:pPr>
            <w:r>
              <w:t xml:space="preserve">0.699</w:t>
            </w:r>
          </w:p>
        </w:tc>
        <w:tc>
          <w:tcPr/>
          <w:p>
            <w:pPr>
              <w:pStyle w:val="Compact"/>
              <w:jc w:val="left"/>
            </w:pPr>
            <w:r>
              <w:t xml:space="preserve">0.780</w:t>
            </w:r>
          </w:p>
        </w:tc>
        <w:tc>
          <w:tcPr/>
          <w:p>
            <w:pPr>
              <w:pStyle w:val="Compact"/>
              <w:jc w:val="left"/>
            </w:pPr>
            <w:r>
              <w:t xml:space="preserve">0.118</w:t>
            </w:r>
          </w:p>
        </w:tc>
        <w:tc>
          <w:tcPr/>
          <w:p>
            <w:pPr>
              <w:pStyle w:val="Compact"/>
              <w:jc w:val="left"/>
            </w:pPr>
            <w:r>
              <w:rPr>
                <w:bCs/>
                <w:b/>
              </w:rPr>
              <w:t xml:space="preserve">15.1%</w:t>
            </w:r>
          </w:p>
        </w:tc>
        <w:tc>
          <w:tcPr/>
          <w:p>
            <w:pPr>
              <w:pStyle w:val="Compact"/>
              <w:jc w:val="left"/>
            </w:pPr>
            <w:r>
              <w:t xml:space="preserve">0.252</w:t>
            </w:r>
          </w:p>
        </w:tc>
      </w:tr>
    </w:tbl>
    <w:p>
      <w:pPr>
        <w:pStyle w:val="BodyText"/>
      </w:pPr>
      <w:r>
        <w:t xml:space="preserve">V1’s CV of 4.2% indicates near-uniform performance: no class is favored or neglected. V2’s CV of 15.1% is 3.6× higher, indicating severe class-level inequity. The V2 model has effectively specialized in happy detection at the expense of sad and neutral.</w:t>
      </w:r>
    </w:p>
    <w:p>
      <w:pPr>
        <w:pStyle w:val="BodyText"/>
      </w:pPr>
      <w:r>
        <w:t xml:space="preserve">For a social robot that must respond appropriately to</w:t>
      </w:r>
      <w:r>
        <w:t xml:space="preserve"> </w:t>
      </w:r>
      <w:r>
        <w:rPr>
          <w:iCs/>
          <w:i/>
        </w:rPr>
        <w:t xml:space="preserve">all</w:t>
      </w:r>
      <w:r>
        <w:t xml:space="preserve"> </w:t>
      </w:r>
      <w:r>
        <w:t xml:space="preserve">emotions, a low CV is a critical requirement. A model that detects happiness extremely well but misclassifies 35% of neutral people as sad will produce systematically inappropriate behavior in a large fraction of interactions. The CV metric formalizes this intuition.</w:t>
      </w:r>
    </w:p>
    <w:bookmarkEnd w:id="88"/>
    <w:bookmarkStart w:id="89" w:name="generalization-gap-analysis"/>
    <w:p>
      <w:pPr>
        <w:pStyle w:val="Heading3"/>
      </w:pPr>
      <w:r>
        <w:t xml:space="preserve">7.6 Generalization Gap Analysis</w:t>
      </w:r>
    </w:p>
    <w:p>
      <w:pPr>
        <w:pStyle w:val="FirstParagraph"/>
      </w:pPr>
      <w:r>
        <w:t xml:space="preserve">Both models were trained on synthetic data and tested on real photographs. The generalization gap — the difference between synthetic validation and real-world test performance — quantifies domain shift:</w:t>
      </w:r>
    </w:p>
    <w:p>
      <w:pPr>
        <w:pStyle w:val="BodyText"/>
      </w:pPr>
      <w:r>
        <w:rPr>
          <w:bCs/>
          <w:b/>
        </w:rPr>
        <w:t xml:space="preserve">Table 19. Generalization gap analysis: synthetic validation vs. real-world test.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Synthetic Val F1</w:t>
            </w:r>
          </w:p>
        </w:tc>
        <w:tc>
          <w:tcPr/>
          <w:p>
            <w:pPr>
              <w:pStyle w:val="Compact"/>
              <w:jc w:val="left"/>
            </w:pPr>
            <w:r>
              <w:t xml:space="preserve">Real-World Test F1</w:t>
            </w:r>
          </w:p>
        </w:tc>
        <w:tc>
          <w:tcPr/>
          <w:p>
            <w:pPr>
              <w:pStyle w:val="Compact"/>
              <w:jc w:val="left"/>
            </w:pPr>
            <w:r>
              <w:t xml:space="preserve">Gap</w:t>
            </w:r>
          </w:p>
        </w:tc>
        <w:tc>
          <w:tcPr/>
          <w:p>
            <w:pPr>
              <w:pStyle w:val="Compact"/>
              <w:jc w:val="left"/>
            </w:pPr>
            <w:r>
              <w:t xml:space="preserve">Relative Drop</w:t>
            </w:r>
          </w:p>
        </w:tc>
      </w:tr>
      <w:tr>
        <w:tc>
          <w:tcPr/>
          <w:p>
            <w:pPr>
              <w:pStyle w:val="Compact"/>
              <w:jc w:val="left"/>
            </w:pPr>
            <w:r>
              <w:t xml:space="preserve">V1</w:t>
            </w:r>
          </w:p>
        </w:tc>
        <w:tc>
          <w:tcPr/>
          <w:p>
            <w:pPr>
              <w:pStyle w:val="Compact"/>
              <w:jc w:val="left"/>
            </w:pPr>
            <w:r>
              <w:t xml:space="preserve">0.990</w:t>
            </w:r>
          </w:p>
        </w:tc>
        <w:tc>
          <w:tcPr/>
          <w:p>
            <w:pPr>
              <w:pStyle w:val="Compact"/>
              <w:jc w:val="left"/>
            </w:pPr>
            <w:r>
              <w:t xml:space="preserve">0.781</w:t>
            </w:r>
          </w:p>
        </w:tc>
        <w:tc>
          <w:tcPr/>
          <w:p>
            <w:pPr>
              <w:pStyle w:val="Compact"/>
              <w:jc w:val="left"/>
            </w:pPr>
            <w:r>
              <w:t xml:space="preserve">0.209</w:t>
            </w:r>
          </w:p>
        </w:tc>
        <w:tc>
          <w:tcPr/>
          <w:p>
            <w:pPr>
              <w:pStyle w:val="Compact"/>
              <w:jc w:val="left"/>
            </w:pPr>
            <w:r>
              <w:t xml:space="preserve">21.2%</w:t>
            </w:r>
          </w:p>
        </w:tc>
      </w:tr>
      <w:tr>
        <w:tc>
          <w:tcPr/>
          <w:p>
            <w:pPr>
              <w:pStyle w:val="Compact"/>
              <w:jc w:val="left"/>
            </w:pPr>
            <w:r>
              <w:t xml:space="preserve">V2</w:t>
            </w:r>
          </w:p>
        </w:tc>
        <w:tc>
          <w:tcPr/>
          <w:p>
            <w:pPr>
              <w:pStyle w:val="Compact"/>
              <w:jc w:val="left"/>
            </w:pPr>
            <w:r>
              <w:t xml:space="preserve">0.999</w:t>
            </w:r>
          </w:p>
        </w:tc>
        <w:tc>
          <w:tcPr/>
          <w:p>
            <w:pPr>
              <w:pStyle w:val="Compact"/>
              <w:jc w:val="left"/>
            </w:pPr>
            <w:r>
              <w:t xml:space="preserve">0.780</w:t>
            </w:r>
          </w:p>
        </w:tc>
        <w:tc>
          <w:tcPr/>
          <w:p>
            <w:pPr>
              <w:pStyle w:val="Compact"/>
              <w:jc w:val="left"/>
            </w:pPr>
            <w:r>
              <w:t xml:space="preserve">0.220</w:t>
            </w:r>
          </w:p>
        </w:tc>
        <w:tc>
          <w:tcPr/>
          <w:p>
            <w:pPr>
              <w:pStyle w:val="Compact"/>
              <w:jc w:val="left"/>
            </w:pPr>
            <w:r>
              <w:t xml:space="preserve">22.0%</w:t>
            </w:r>
          </w:p>
        </w:tc>
      </w:tr>
    </w:tbl>
    <w:p>
      <w:pPr>
        <w:pStyle w:val="BodyText"/>
      </w:pPr>
      <w:r>
        <w:t xml:space="preserve">Despite V2’s significantly higher investment (90-trial hyperparameter sweep, ~26 hours of GPU time, 500K+ additional trainable parameters), its generalization gap is 1.05×</w:t>
      </w:r>
      <w:r>
        <w:t xml:space="preserve"> </w:t>
      </w:r>
      <w:r>
        <w:rPr>
          <w:iCs/>
          <w:i/>
        </w:rPr>
        <w:t xml:space="preserve">larger</w:t>
      </w:r>
      <w:r>
        <w:t xml:space="preserve"> </w:t>
      </w:r>
      <w:r>
        <w:t xml:space="preserve">than V1’s. This suggests that V2’s fine-tuned backbone overfitted to synthetic data features rather than learning more generalizable face representations.</w:t>
      </w:r>
    </w:p>
    <w:p>
      <w:pPr>
        <w:pStyle w:val="BodyText"/>
      </w:pPr>
      <w:r>
        <w:t xml:space="preserve">This finding is consistent with the transfer learning literature: when the target domain (real faces) differs substantially from the fine-tuning domain (synthetic faces), freezing the pre-trained backbone often outperforms fine-tuning because it prevents the backbone from adapting</w:t>
      </w:r>
      <w:r>
        <w:t xml:space="preserve"> </w:t>
      </w:r>
      <w:r>
        <w:rPr>
          <w:iCs/>
          <w:i/>
        </w:rPr>
        <w:t xml:space="preserve">away from</w:t>
      </w:r>
      <w:r>
        <w:t xml:space="preserve"> </w:t>
      </w:r>
      <w:r>
        <w:t xml:space="preserve">the target domain’s distribution (Yosinski et al., 2014; Raghu et al., 2019). The VGGFace2+AffectNet features in the frozen V1 backbone were learned from 3.3M</w:t>
      </w:r>
      <w:r>
        <w:t xml:space="preserve"> </w:t>
      </w:r>
      <w:r>
        <w:rPr>
          <w:iCs/>
          <w:i/>
        </w:rPr>
        <w:t xml:space="preserve">real</w:t>
      </w:r>
      <w:r>
        <w:t xml:space="preserve"> </w:t>
      </w:r>
      <w:r>
        <w:t xml:space="preserve">face images — features that are inherently more aligned with the real-world test domain than the synthetic-adapted features in V2’s backbone.</w:t>
      </w:r>
    </w:p>
    <w:bookmarkEnd w:id="89"/>
    <w:bookmarkStart w:id="90" w:name="brier-score-decomposition"/>
    <w:p>
      <w:pPr>
        <w:pStyle w:val="Heading3"/>
      </w:pPr>
      <w:r>
        <w:t xml:space="preserve">7.7 Brier Score Decomposition</w:t>
      </w:r>
    </w:p>
    <w:p>
      <w:pPr>
        <w:pStyle w:val="FirstParagraph"/>
      </w:pPr>
      <w:r>
        <w:t xml:space="preserve">The Brier score (a proper scoring rule, range [0,1]) can be decomposed into calibration and refinement (sharpness) components:</w:t>
      </w:r>
    </w:p>
    <w:p>
      <w:pPr>
        <w:pStyle w:val="BodyText"/>
      </w:pPr>
      <m:oMathPara>
        <m:oMathParaPr>
          <m:jc m:val="center"/>
        </m:oMathParaPr>
        <m:oMath>
          <m:r>
            <m:t>B</m:t>
          </m:r>
          <m:r>
            <m:t>r</m:t>
          </m:r>
          <m:r>
            <m:t>i</m:t>
          </m:r>
          <m:r>
            <m:t>e</m:t>
          </m:r>
          <m:r>
            <m:t>r</m:t>
          </m:r>
          <m:r>
            <m:rPr>
              <m:sty m:val="p"/>
            </m:rPr>
            <m:t>=</m:t>
          </m:r>
          <m:r>
            <m:t>C</m:t>
          </m:r>
          <m:r>
            <m:t>a</m:t>
          </m:r>
          <m:r>
            <m:t>l</m:t>
          </m:r>
          <m:r>
            <m:t>i</m:t>
          </m:r>
          <m:r>
            <m:t>b</m:t>
          </m:r>
          <m:r>
            <m:t>r</m:t>
          </m:r>
          <m:r>
            <m:t>a</m:t>
          </m:r>
          <m:r>
            <m:t>t</m:t>
          </m:r>
          <m:r>
            <m:t>i</m:t>
          </m:r>
          <m:r>
            <m:t>o</m:t>
          </m:r>
          <m:r>
            <m:t>n</m:t>
          </m:r>
          <m:r>
            <m:rPr>
              <m:sty m:val="p"/>
            </m:rPr>
            <m:t>+</m:t>
          </m:r>
          <m:r>
            <m:t>R</m:t>
          </m:r>
          <m:r>
            <m:t>e</m:t>
          </m:r>
          <m:r>
            <m:t>f</m:t>
          </m:r>
          <m:r>
            <m:t>i</m:t>
          </m:r>
          <m:r>
            <m:t>n</m:t>
          </m:r>
          <m:r>
            <m:t>e</m:t>
          </m:r>
          <m:r>
            <m:t>m</m:t>
          </m:r>
          <m:r>
            <m:t>e</m:t>
          </m:r>
          <m:r>
            <m:t>n</m:t>
          </m:r>
          <m:r>
            <m:t>t</m:t>
          </m:r>
        </m:oMath>
      </m:oMathPara>
    </w:p>
    <w:p>
      <w:pPr>
        <w:pStyle w:val="FirstParagraph"/>
      </w:pPr>
      <w:r>
        <w:t xml:space="preserve">where the calibration component measures how well predicted probabilities match observed frequencies, and the refinement component measures how close the predictions are to 0 or 1 (sharpness).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Brier</w:t>
            </w:r>
          </w:p>
        </w:tc>
        <w:tc>
          <w:tcPr/>
          <w:p>
            <w:pPr>
              <w:pStyle w:val="Compact"/>
              <w:jc w:val="left"/>
            </w:pPr>
            <w:r>
              <w:t xml:space="preserve">ECE (proxy for calibration)</w:t>
            </w:r>
          </w:p>
        </w:tc>
        <w:tc>
          <w:tcPr/>
          <w:p>
            <w:pPr>
              <w:pStyle w:val="Compact"/>
              <w:jc w:val="left"/>
            </w:pPr>
            <w:r>
              <w:t xml:space="preserve">Notes</w:t>
            </w:r>
          </w:p>
        </w:tc>
      </w:tr>
      <w:tr>
        <w:tc>
          <w:tcPr/>
          <w:p>
            <w:pPr>
              <w:pStyle w:val="Compact"/>
              <w:jc w:val="left"/>
            </w:pPr>
            <w:r>
              <w:t xml:space="preserve">V1</w:t>
            </w:r>
          </w:p>
        </w:tc>
        <w:tc>
          <w:tcPr/>
          <w:p>
            <w:pPr>
              <w:pStyle w:val="Compact"/>
              <w:jc w:val="left"/>
            </w:pPr>
            <w:r>
              <w:t xml:space="preserve">0.340</w:t>
            </w:r>
          </w:p>
        </w:tc>
        <w:tc>
          <w:tcPr/>
          <w:p>
            <w:pPr>
              <w:pStyle w:val="Compact"/>
              <w:jc w:val="left"/>
            </w:pPr>
            <w:r>
              <w:t xml:space="preserve">0.102</w:t>
            </w:r>
          </w:p>
        </w:tc>
        <w:tc>
          <w:tcPr/>
          <w:p>
            <w:pPr>
              <w:pStyle w:val="Compact"/>
              <w:jc w:val="left"/>
            </w:pPr>
            <w:r>
              <w:t xml:space="preserve">Higher Brier driven by classification errors</w:t>
            </w:r>
          </w:p>
        </w:tc>
      </w:tr>
      <w:tr>
        <w:tc>
          <w:tcPr/>
          <w:p>
            <w:pPr>
              <w:pStyle w:val="Compact"/>
              <w:jc w:val="left"/>
            </w:pPr>
            <w:r>
              <w:t xml:space="preserve">V2</w:t>
            </w:r>
          </w:p>
        </w:tc>
        <w:tc>
          <w:tcPr/>
          <w:p>
            <w:pPr>
              <w:pStyle w:val="Compact"/>
              <w:jc w:val="left"/>
            </w:pPr>
            <w:r>
              <w:t xml:space="preserve">0.279</w:t>
            </w:r>
          </w:p>
        </w:tc>
        <w:tc>
          <w:tcPr/>
          <w:p>
            <w:pPr>
              <w:pStyle w:val="Compact"/>
              <w:jc w:val="left"/>
            </w:pPr>
            <w:r>
              <w:t xml:space="preserve">0.096</w:t>
            </w:r>
          </w:p>
        </w:tc>
        <w:tc>
          <w:tcPr/>
          <w:p>
            <w:pPr>
              <w:pStyle w:val="Compact"/>
              <w:jc w:val="left"/>
            </w:pPr>
            <w:r>
              <w:t xml:space="preserve">Lower Brier driven by higher accuracy on happy class</w:t>
            </w:r>
          </w:p>
        </w:tc>
      </w:tr>
    </w:tbl>
    <w:p>
      <w:pPr>
        <w:pStyle w:val="BodyText"/>
      </w:pPr>
      <w:r>
        <w:t xml:space="preserve">The ECE gap (0.006) contributes negligibly to the Brier difference (0.061). V1’s higher Brier is overwhelmingly driven by its lower raw accuracy (more classification errors increase the squared error), not by calibration failure. This means both models’ confidence scores are similarly trustworthy for the 5-tier gesture modulation system — the Brier difference is a classification quality issue, not a calibration issue.</w:t>
      </w:r>
    </w:p>
    <w:bookmarkEnd w:id="90"/>
    <w:bookmarkStart w:id="91" w:name="Xf6b688bf0ca8fad2484318d5e1fa34a11414967"/>
    <w:p>
      <w:pPr>
        <w:pStyle w:val="Heading3"/>
      </w:pPr>
      <w:r>
        <w:t xml:space="preserve">7.8 Statistical Power and Sample Size Considerations</w:t>
      </w:r>
    </w:p>
    <w:p>
      <w:pPr>
        <w:pStyle w:val="FirstParagraph"/>
      </w:pPr>
      <w:r>
        <w:t xml:space="preserve">The test set contains 894 images with an imbalanced class distribution (435/160/299). This has implications for the reliability of our estimates:</w:t>
      </w:r>
    </w:p>
    <w:p>
      <w:pPr>
        <w:pStyle w:val="BodyText"/>
      </w:pPr>
      <w:r>
        <w:rPr>
          <w:bCs/>
          <w:b/>
        </w:rPr>
        <w:t xml:space="preserve">Table 21. Statistical power and minimum detectable differences by class.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n</w:t>
            </w:r>
          </w:p>
        </w:tc>
        <w:tc>
          <w:tcPr/>
          <w:p>
            <w:pPr>
              <w:pStyle w:val="Compact"/>
              <w:jc w:val="left"/>
            </w:pPr>
            <w:r>
              <w:t xml:space="preserve">SE of Recall</w:t>
            </w:r>
          </w:p>
        </w:tc>
        <w:tc>
          <w:tcPr/>
          <w:p>
            <w:pPr>
              <w:pStyle w:val="Compact"/>
              <w:jc w:val="left"/>
            </w:pPr>
            <w:r>
              <w:t xml:space="preserve">Detectable Δ at 80% Power</w:t>
            </w:r>
          </w:p>
        </w:tc>
      </w:tr>
      <w:tr>
        <w:tc>
          <w:tcPr/>
          <w:p>
            <w:pPr>
              <w:pStyle w:val="Compact"/>
              <w:jc w:val="left"/>
            </w:pPr>
            <w:r>
              <w:t xml:space="preserve">Happy</w:t>
            </w:r>
          </w:p>
        </w:tc>
        <w:tc>
          <w:tcPr/>
          <w:p>
            <w:pPr>
              <w:pStyle w:val="Compact"/>
              <w:jc w:val="left"/>
            </w:pPr>
            <w:r>
              <w:t xml:space="preserve">435</w:t>
            </w:r>
          </w:p>
        </w:tc>
        <w:tc>
          <w:tcPr/>
          <w:p>
            <w:pPr>
              <w:pStyle w:val="Compact"/>
              <w:jc w:val="left"/>
            </w:pPr>
            <w:r>
              <w:t xml:space="preserve">≈ 0.023</w:t>
            </w:r>
          </w:p>
        </w:tc>
        <w:tc>
          <w:tcPr/>
          <w:p>
            <w:pPr>
              <w:pStyle w:val="Compact"/>
              <w:jc w:val="left"/>
            </w:pPr>
            <w:r>
              <w:t xml:space="preserve">≈ 0.064</w:t>
            </w:r>
          </w:p>
        </w:tc>
      </w:tr>
      <w:tr>
        <w:tc>
          <w:tcPr/>
          <w:p>
            <w:pPr>
              <w:pStyle w:val="Compact"/>
              <w:jc w:val="left"/>
            </w:pPr>
            <w:r>
              <w:t xml:space="preserve">Sad</w:t>
            </w:r>
          </w:p>
        </w:tc>
        <w:tc>
          <w:tcPr/>
          <w:p>
            <w:pPr>
              <w:pStyle w:val="Compact"/>
              <w:jc w:val="left"/>
            </w:pPr>
            <w:r>
              <w:t xml:space="preserve">160</w:t>
            </w:r>
          </w:p>
        </w:tc>
        <w:tc>
          <w:tcPr/>
          <w:p>
            <w:pPr>
              <w:pStyle w:val="Compact"/>
              <w:jc w:val="left"/>
            </w:pPr>
            <w:r>
              <w:t xml:space="preserve">≈ 0.030</w:t>
            </w:r>
          </w:p>
        </w:tc>
        <w:tc>
          <w:tcPr/>
          <w:p>
            <w:pPr>
              <w:pStyle w:val="Compact"/>
              <w:jc w:val="left"/>
            </w:pPr>
            <w:r>
              <w:t xml:space="preserve">≈ 0.083</w:t>
            </w:r>
          </w:p>
        </w:tc>
      </w:tr>
      <w:tr>
        <w:tc>
          <w:tcPr/>
          <w:p>
            <w:pPr>
              <w:pStyle w:val="Compact"/>
              <w:jc w:val="left"/>
            </w:pPr>
            <w:r>
              <w:t xml:space="preserve">Neutral</w:t>
            </w:r>
          </w:p>
        </w:tc>
        <w:tc>
          <w:tcPr/>
          <w:p>
            <w:pPr>
              <w:pStyle w:val="Compact"/>
              <w:jc w:val="left"/>
            </w:pPr>
            <w:r>
              <w:t xml:space="preserve">299</w:t>
            </w:r>
          </w:p>
        </w:tc>
        <w:tc>
          <w:tcPr/>
          <w:p>
            <w:pPr>
              <w:pStyle w:val="Compact"/>
              <w:jc w:val="left"/>
            </w:pPr>
            <w:r>
              <w:t xml:space="preserve">≈ 0.028</w:t>
            </w:r>
          </w:p>
        </w:tc>
        <w:tc>
          <w:tcPr/>
          <w:p>
            <w:pPr>
              <w:pStyle w:val="Compact"/>
              <w:jc w:val="left"/>
            </w:pPr>
            <w:r>
              <w:t xml:space="preserve">≈ 0.078</w:t>
            </w:r>
          </w:p>
        </w:tc>
      </w:tr>
    </w:tbl>
    <w:p>
      <w:pPr>
        <w:pStyle w:val="BodyText"/>
      </w:pPr>
      <w:r>
        <w:t xml:space="preserve">The sad class (</w:t>
      </w:r>
      <m:oMath>
        <m:r>
          <m:t>n</m:t>
        </m:r>
        <m:r>
          <m:rPr>
            <m:sty m:val="p"/>
          </m:rPr>
          <m:t>=</m:t>
        </m:r>
        <m:r>
          <m:t>160</m:t>
        </m:r>
      </m:oMath>
      <w:r>
        <w:t xml:space="preserve">) has the least statistical power. Differences smaller than ~8.3 percentage points in sad recall cannot be reliably detected. The observed V1 vs. V2 difference in sad recall (7.5 pp) is at the boundary of detectability, consistent with the overlapping confidence intervals in §7.1.</w:t>
      </w:r>
    </w:p>
    <w:p>
      <w:pPr>
        <w:pStyle w:val="BodyText"/>
      </w:pPr>
      <w:r>
        <w:t xml:space="preserve">However, the neutral class differences (V1 = 93.6%, V2 = 60.2%, Δ = 33.4 pp) are far beyond the detectable threshold and are unambiguously real. Similarly, the happy class differences (Δ = 29.7 pp) are unambiguous. The overall pattern — V1 and V2 having complementary strengths — is robust and not an artifact of small sample size.</w:t>
      </w:r>
    </w:p>
    <w:bookmarkEnd w:id="91"/>
    <w:bookmarkStart w:id="92" w:name="X85330aa4900f7dceab51de057ab117c0b3a9aab"/>
    <w:p>
      <w:pPr>
        <w:pStyle w:val="Heading3"/>
      </w:pPr>
      <w:r>
        <w:t xml:space="preserve">7.9 Composite Scoring and Final Recommendation</w:t>
      </w:r>
    </w:p>
    <w:p>
      <w:pPr>
        <w:pStyle w:val="FirstParagraph"/>
      </w:pPr>
      <w:r>
        <w:t xml:space="preserve">The deployment recommendation is computed using a weighted composite score:</w:t>
      </w:r>
    </w:p>
    <w:p>
      <w:pPr>
        <w:pStyle w:val="BodyText"/>
      </w:pPr>
      <m:oMathPara>
        <m:oMathParaPr>
          <m:jc m:val="center"/>
        </m:oMathParaPr>
        <m:oMath>
          <m:r>
            <m:t>S</m:t>
          </m:r>
          <m:r>
            <m:rPr>
              <m:sty m:val="p"/>
            </m:rPr>
            <m:t>=</m:t>
          </m:r>
          <m:r>
            <m:t>0.50</m:t>
          </m:r>
          <m:r>
            <m:rPr>
              <m:sty m:val="p"/>
            </m:rPr>
            <m:t>×</m:t>
          </m:r>
          <m:r>
            <m:t>F</m:t>
          </m:r>
          <m:sSub>
            <m:e>
              <m:r>
                <m:t>1</m:t>
              </m:r>
            </m:e>
            <m:sub>
              <m:r>
                <m:t>m</m:t>
              </m:r>
              <m:r>
                <m:t>a</m:t>
              </m:r>
              <m:r>
                <m:t>c</m:t>
              </m:r>
              <m:r>
                <m:t>r</m:t>
              </m:r>
              <m:r>
                <m:t>o</m:t>
              </m:r>
            </m:sub>
          </m:sSub>
          <m:r>
            <m:rPr>
              <m:sty m:val="p"/>
            </m:rPr>
            <m:t>+</m:t>
          </m:r>
          <m:r>
            <m:t>0.20</m:t>
          </m:r>
          <m:r>
            <m:rPr>
              <m:sty m:val="p"/>
            </m:rPr>
            <m:t>×</m:t>
          </m:r>
          <m:r>
            <m:t>b</m:t>
          </m:r>
          <m:r>
            <m:t>A</m:t>
          </m:r>
          <m:r>
            <m:t>c</m:t>
          </m:r>
          <m:r>
            <m:t>c</m:t>
          </m:r>
          <m:r>
            <m:rPr>
              <m:sty m:val="p"/>
            </m:rPr>
            <m:t>+</m:t>
          </m:r>
          <m:r>
            <m:t>0.15</m:t>
          </m:r>
          <m:r>
            <m:rPr>
              <m:sty m:val="p"/>
            </m:rPr>
            <m:t>×</m:t>
          </m:r>
          <m:sSub>
            <m:e>
              <m:acc>
                <m:accPr>
                  <m:chr m:val="‾"/>
                </m:accPr>
                <m:e>
                  <m:r>
                    <m:t>F</m:t>
                  </m:r>
                  <m:r>
                    <m:t>1</m:t>
                  </m:r>
                </m:e>
              </m:acc>
            </m:e>
            <m:sub>
              <m:r>
                <m:t>p</m:t>
              </m:r>
              <m:r>
                <m:t>e</m:t>
              </m:r>
              <m:r>
                <m:t>r</m:t>
              </m:r>
              <m:r>
                <m:t>c</m:t>
              </m:r>
              <m:r>
                <m:t>l</m:t>
              </m:r>
              <m:r>
                <m:t>a</m:t>
              </m:r>
              <m:r>
                <m:t>s</m:t>
              </m:r>
              <m:r>
                <m:t>s</m:t>
              </m:r>
            </m:sub>
          </m:sSub>
          <m:r>
            <m:rPr>
              <m:sty m:val="p"/>
            </m:rPr>
            <m:t>+</m:t>
          </m:r>
          <m:r>
            <m:t>0.15</m:t>
          </m:r>
          <m:r>
            <m:rPr>
              <m:sty m:val="p"/>
            </m:rPr>
            <m:t>×</m:t>
          </m:r>
          <m:d>
            <m:dPr>
              <m:begChr m:val="("/>
              <m:endChr m:val=")"/>
              <m:sepChr m:val=""/>
              <m:grow/>
            </m:dPr>
            <m:e>
              <m:r>
                <m:t>1</m:t>
              </m:r>
              <m:r>
                <m:rPr>
                  <m:sty m:val="p"/>
                </m:rPr>
                <m:t>−</m:t>
              </m:r>
              <m:r>
                <m:t>E</m:t>
              </m:r>
              <m:r>
                <m:t>C</m:t>
              </m:r>
              <m:r>
                <m:t>E</m:t>
              </m:r>
            </m:e>
          </m:d>
        </m:oMath>
      </m:oMathPara>
    </w:p>
    <w:p>
      <w:pPr>
        <w:pStyle w:val="FirstParagraph"/>
      </w:pPr>
      <w:r>
        <w:rPr>
          <w:bCs/>
          <w:b/>
        </w:rPr>
        <w:t xml:space="preserve">Table 23. Composite score breakdown and final recommendation.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V1 Value</w:t>
            </w:r>
          </w:p>
        </w:tc>
        <w:tc>
          <w:tcPr/>
          <w:p>
            <w:pPr>
              <w:pStyle w:val="Compact"/>
              <w:jc w:val="left"/>
            </w:pPr>
            <w:r>
              <w:t xml:space="preserve">V1 Weighted</w:t>
            </w:r>
          </w:p>
        </w:tc>
        <w:tc>
          <w:tcPr/>
          <w:p>
            <w:pPr>
              <w:pStyle w:val="Compact"/>
              <w:jc w:val="left"/>
            </w:pPr>
            <w:r>
              <w:t xml:space="preserve">V2 Value</w:t>
            </w:r>
          </w:p>
        </w:tc>
        <w:tc>
          <w:tcPr/>
          <w:p>
            <w:pPr>
              <w:pStyle w:val="Compact"/>
              <w:jc w:val="left"/>
            </w:pPr>
            <w:r>
              <w:t xml:space="preserve">V2 Weighted</w:t>
            </w:r>
          </w:p>
        </w:tc>
      </w:tr>
      <w:tr>
        <w:tc>
          <w:tcPr/>
          <w:p>
            <w:pPr>
              <w:pStyle w:val="Compact"/>
              <w:jc w:val="left"/>
            </w:pPr>
            <w:r>
              <w:t xml:space="preserve">F1 Macro</w:t>
            </w:r>
          </w:p>
        </w:tc>
        <w:tc>
          <w:tcPr/>
          <w:p>
            <w:pPr>
              <w:pStyle w:val="Compact"/>
              <w:jc w:val="left"/>
            </w:pPr>
            <w:r>
              <w:t xml:space="preserve">0.50</w:t>
            </w:r>
          </w:p>
        </w:tc>
        <w:tc>
          <w:tcPr/>
          <w:p>
            <w:pPr>
              <w:pStyle w:val="Compact"/>
              <w:jc w:val="left"/>
            </w:pPr>
            <w:r>
              <w:t xml:space="preserve">0.7807</w:t>
            </w:r>
          </w:p>
        </w:tc>
        <w:tc>
          <w:tcPr/>
          <w:p>
            <w:pPr>
              <w:pStyle w:val="Compact"/>
              <w:jc w:val="left"/>
            </w:pPr>
            <w:r>
              <w:t xml:space="preserve">0.3904</w:t>
            </w:r>
          </w:p>
        </w:tc>
        <w:tc>
          <w:tcPr/>
          <w:p>
            <w:pPr>
              <w:pStyle w:val="Compact"/>
              <w:jc w:val="left"/>
            </w:pPr>
            <w:r>
              <w:t xml:space="preserve">0.7798</w:t>
            </w:r>
          </w:p>
        </w:tc>
        <w:tc>
          <w:tcPr/>
          <w:p>
            <w:pPr>
              <w:pStyle w:val="Compact"/>
              <w:jc w:val="left"/>
            </w:pPr>
            <w:r>
              <w:t xml:space="preserve">0.3899</w:t>
            </w:r>
          </w:p>
        </w:tc>
      </w:tr>
      <w:tr>
        <w:tc>
          <w:tcPr/>
          <w:p>
            <w:pPr>
              <w:pStyle w:val="Compact"/>
              <w:jc w:val="left"/>
            </w:pPr>
            <w:r>
              <w:t xml:space="preserve">Balanced Accuracy</w:t>
            </w:r>
          </w:p>
        </w:tc>
        <w:tc>
          <w:tcPr/>
          <w:p>
            <w:pPr>
              <w:pStyle w:val="Compact"/>
              <w:jc w:val="left"/>
            </w:pPr>
            <w:r>
              <w:t xml:space="preserve">0.20</w:t>
            </w:r>
          </w:p>
        </w:tc>
        <w:tc>
          <w:tcPr/>
          <w:p>
            <w:pPr>
              <w:pStyle w:val="Compact"/>
              <w:jc w:val="left"/>
            </w:pPr>
            <w:r>
              <w:t xml:space="preserve">0.7994</w:t>
            </w:r>
          </w:p>
        </w:tc>
        <w:tc>
          <w:tcPr/>
          <w:p>
            <w:pPr>
              <w:pStyle w:val="Compact"/>
              <w:jc w:val="left"/>
            </w:pPr>
            <w:r>
              <w:t xml:space="preserve">0.1599</w:t>
            </w:r>
          </w:p>
        </w:tc>
        <w:tc>
          <w:tcPr/>
          <w:p>
            <w:pPr>
              <w:pStyle w:val="Compact"/>
              <w:jc w:val="left"/>
            </w:pPr>
            <w:r>
              <w:t xml:space="preserve">0.8118</w:t>
            </w:r>
          </w:p>
        </w:tc>
        <w:tc>
          <w:tcPr/>
          <w:p>
            <w:pPr>
              <w:pStyle w:val="Compact"/>
              <w:jc w:val="left"/>
            </w:pPr>
            <w:r>
              <w:t xml:space="preserve">0.1624</w:t>
            </w:r>
          </w:p>
        </w:tc>
      </w:tr>
      <w:tr>
        <w:tc>
          <w:tcPr/>
          <w:p>
            <w:pPr>
              <w:pStyle w:val="Compact"/>
              <w:jc w:val="left"/>
            </w:pPr>
            <w:r>
              <w:t xml:space="preserve">Mean Per-class F1</w:t>
            </w:r>
          </w:p>
        </w:tc>
        <w:tc>
          <w:tcPr/>
          <w:p>
            <w:pPr>
              <w:pStyle w:val="Compact"/>
              <w:jc w:val="left"/>
            </w:pPr>
            <w:r>
              <w:t xml:space="preserve">0.15</w:t>
            </w:r>
          </w:p>
        </w:tc>
        <w:tc>
          <w:tcPr/>
          <w:p>
            <w:pPr>
              <w:pStyle w:val="Compact"/>
              <w:jc w:val="left"/>
            </w:pPr>
            <w:r>
              <w:t xml:space="preserve">0.7807</w:t>
            </w:r>
          </w:p>
        </w:tc>
        <w:tc>
          <w:tcPr/>
          <w:p>
            <w:pPr>
              <w:pStyle w:val="Compact"/>
              <w:jc w:val="left"/>
            </w:pPr>
            <w:r>
              <w:t xml:space="preserve">0.1171</w:t>
            </w:r>
          </w:p>
        </w:tc>
        <w:tc>
          <w:tcPr/>
          <w:p>
            <w:pPr>
              <w:pStyle w:val="Compact"/>
              <w:jc w:val="left"/>
            </w:pPr>
            <w:r>
              <w:t xml:space="preserve">0.7798</w:t>
            </w:r>
          </w:p>
        </w:tc>
        <w:tc>
          <w:tcPr/>
          <w:p>
            <w:pPr>
              <w:pStyle w:val="Compact"/>
              <w:jc w:val="left"/>
            </w:pPr>
            <w:r>
              <w:t xml:space="preserve">0.1170</w:t>
            </w:r>
          </w:p>
        </w:tc>
      </w:tr>
      <w:tr>
        <w:tc>
          <w:tcPr/>
          <w:p>
            <w:pPr>
              <w:pStyle w:val="Compact"/>
              <w:jc w:val="left"/>
            </w:pPr>
            <w:r>
              <w:t xml:space="preserve">1 − ECE</w:t>
            </w:r>
          </w:p>
        </w:tc>
        <w:tc>
          <w:tcPr/>
          <w:p>
            <w:pPr>
              <w:pStyle w:val="Compact"/>
              <w:jc w:val="left"/>
            </w:pPr>
            <w:r>
              <w:t xml:space="preserve">0.15</w:t>
            </w:r>
          </w:p>
        </w:tc>
        <w:tc>
          <w:tcPr/>
          <w:p>
            <w:pPr>
              <w:pStyle w:val="Compact"/>
              <w:jc w:val="left"/>
            </w:pPr>
            <w:r>
              <w:t xml:space="preserve">0.8976</w:t>
            </w:r>
          </w:p>
        </w:tc>
        <w:tc>
          <w:tcPr/>
          <w:p>
            <w:pPr>
              <w:pStyle w:val="Compact"/>
              <w:jc w:val="left"/>
            </w:pPr>
            <w:r>
              <w:t xml:space="preserve">0.1346</w:t>
            </w:r>
          </w:p>
        </w:tc>
        <w:tc>
          <w:tcPr/>
          <w:p>
            <w:pPr>
              <w:pStyle w:val="Compact"/>
              <w:jc w:val="left"/>
            </w:pPr>
            <w:r>
              <w:t xml:space="preserve">0.9045</w:t>
            </w:r>
          </w:p>
        </w:tc>
        <w:tc>
          <w:tcPr/>
          <w:p>
            <w:pPr>
              <w:pStyle w:val="Compact"/>
              <w:jc w:val="left"/>
            </w:pPr>
            <w:r>
              <w:t xml:space="preserve">0.1357</w:t>
            </w:r>
          </w:p>
        </w:tc>
      </w:tr>
      <w:tr>
        <w:tc>
          <w:tcPr/>
          <w:p>
            <w:pPr>
              <w:pStyle w:val="Compact"/>
              <w:jc w:val="left"/>
            </w:pPr>
            <w:r>
              <w:rPr>
                <w:bCs/>
                <w:b/>
              </w:rPr>
              <w:t xml:space="preserve">Composite</w:t>
            </w:r>
          </w:p>
        </w:tc>
        <w:tc>
          <w:tcPr/>
          <w:p>
            <w:pPr>
              <w:pStyle w:val="Compact"/>
              <w:jc w:val="left"/>
            </w:pPr>
            <w:r>
              <w:rPr>
                <w:bCs/>
                <w:b/>
              </w:rPr>
              <w:t xml:space="preserve">1.00</w:t>
            </w:r>
          </w:p>
        </w:tc>
        <w:tc>
          <w:tcPr/>
          <w:p>
            <w:pPr>
              <w:pStyle w:val="Compact"/>
            </w:pPr>
          </w:p>
        </w:tc>
        <w:tc>
          <w:tcPr/>
          <w:p>
            <w:pPr>
              <w:pStyle w:val="Compact"/>
              <w:jc w:val="left"/>
            </w:pPr>
            <w:r>
              <w:rPr>
                <w:bCs/>
                <w:b/>
              </w:rPr>
              <w:t xml:space="preserve">0.8020</w:t>
            </w:r>
          </w:p>
        </w:tc>
        <w:tc>
          <w:tcPr/>
          <w:p>
            <w:pPr>
              <w:pStyle w:val="Compact"/>
            </w:pPr>
          </w:p>
        </w:tc>
        <w:tc>
          <w:tcPr/>
          <w:p>
            <w:pPr>
              <w:pStyle w:val="Compact"/>
              <w:jc w:val="left"/>
            </w:pPr>
            <w:r>
              <w:rPr>
                <w:bCs/>
                <w:b/>
              </w:rPr>
              <w:t xml:space="preserve">0.8049</w:t>
            </w:r>
          </w:p>
        </w:tc>
      </w:tr>
    </w:tbl>
    <w:p>
      <w:pPr>
        <w:pStyle w:val="BodyText"/>
      </w:pPr>
      <w:r>
        <w:t xml:space="preserve">V2 has a marginally higher composite score (0.8049 vs. 0.8020, Δ = 0.003). However,</w:t>
      </w:r>
      <w:r>
        <w:t xml:space="preserve"> </w:t>
      </w:r>
      <w:r>
        <w:rPr>
          <w:bCs/>
          <w:b/>
        </w:rPr>
        <w:t xml:space="preserve">Gate A-deploy gate compliance takes priority over the composite score in the decision framework.</w:t>
      </w:r>
      <w:r>
        <w:t xml:space="preserve"> </w:t>
      </w:r>
      <w:r>
        <w:t xml:space="preserve">Since V1 passes all six gates and V2 fails two, V1 is the recommended deployment candidate regardless of the composite score margin.</w:t>
      </w:r>
    </w:p>
    <w:p>
      <w:pPr>
        <w:pStyle w:val="BodyText"/>
      </w:pPr>
      <w:r>
        <w:t xml:space="preserve">This priority ordering is intentional: the gates exist as hard constraints that prevent deployment of models with systematic blind spots, while the composite score serves as a tiebreaker when multiple models pass all gates.</w:t>
      </w:r>
    </w:p>
    <w:p>
      <w:pPr>
        <w:pStyle w:val="BodyText"/>
      </w:pPr>
      <w:r>
        <w:rPr>
          <w:bCs/>
          <w:b/>
        </w:rPr>
        <w:t xml:space="preserve">Final recommendation: Deploy Variant 1 (run_0107) with HIGH confidence.</w:t>
      </w:r>
      <w:r>
        <w:t xml:space="preserve"> </w:t>
      </w:r>
      <w:r>
        <w:t xml:space="preserve">The recommendation is robust because it is based on gate compliance (a binary criterion), not on marginal metric differences. Even if V2’s sad and neutral F1 were each 1 percentage point higher (at noise level), V2 would still fail the per-class gate.</w:t>
      </w:r>
    </w:p>
    <w:p>
      <w:r>
        <w:pict>
          <v:rect style="width:0;height:1.5pt" o:hralign="center" o:hrstd="t" o:hr="t"/>
        </w:pict>
      </w:r>
    </w:p>
    <w:bookmarkEnd w:id="92"/>
    <w:bookmarkEnd w:id="93"/>
    <w:bookmarkStart w:id="101" w:name="X6d53bec070f5355426cefa1b73cfd677115349d"/>
    <w:p>
      <w:pPr>
        <w:pStyle w:val="Heading2"/>
      </w:pPr>
      <w:r>
        <w:t xml:space="preserve">Chapter 8: Discussion and Threats to Validity</w:t>
      </w:r>
    </w:p>
    <w:bookmarkStart w:id="94" w:name="key-findings"/>
    <w:p>
      <w:pPr>
        <w:pStyle w:val="Heading3"/>
      </w:pPr>
      <w:r>
        <w:t xml:space="preserve">8.1 Key Findings</w:t>
      </w:r>
    </w:p>
    <w:p>
      <w:pPr>
        <w:pStyle w:val="FirstParagraph"/>
      </w:pPr>
      <w:r>
        <w:t xml:space="preserve">This work yields several findings with implications for both the immediate deployment decision and the broader practice of emotion recognition in social robotics:</w:t>
      </w:r>
    </w:p>
    <w:p>
      <w:pPr>
        <w:pStyle w:val="BodyText"/>
      </w:pPr>
      <w:r>
        <w:rPr>
          <w:bCs/>
          <w:b/>
        </w:rPr>
        <w:t xml:space="preserve">Finding 1: Frozen backbones transfer better from synthetic to real domains.</w:t>
      </w:r>
      <w:r>
        <w:t xml:space="preserve"> </w:t>
      </w:r>
      <w:r>
        <w:t xml:space="preserve">Despite V2’s 125× more trainable parameters and 13× more GPU time, both variants achieve essentially identical real-world F1 (0.781 vs. 0.780). V2’s fine-tuned backbone adapted to synthetic data features rather than learning representations that generalize to real faces. This supports the hypothesis that when source and target domains differ substantially, preserving pre-trained features is more valuable than adapting to potentially misleading training distributions.</w:t>
      </w:r>
    </w:p>
    <w:p>
      <w:pPr>
        <w:pStyle w:val="BodyText"/>
      </w:pPr>
      <w:r>
        <w:rPr>
          <w:bCs/>
          <w:b/>
        </w:rPr>
        <w:t xml:space="preserve">Finding 2: Aggregate metrics can conceal critical deployment-relevant disparities.</w:t>
      </w:r>
      <w:r>
        <w:t xml:space="preserve"> </w:t>
      </w:r>
      <w:r>
        <w:t xml:space="preserve">V1 and V2 have nearly identical F1 macro (Δ = 0.001) and comparable composite scores (Δ = 0.003), yet their error profiles are fundamentally different. V1 distributes errors evenly (CV = 4.2%); V2 concentrates errors on two of three classes (CV = 15.1%). Without per-class analysis, these variants would appear interchangeable. The per-class F1 gate was the mechanism that caught this disparity.</w:t>
      </w:r>
    </w:p>
    <w:p>
      <w:pPr>
        <w:pStyle w:val="BodyText"/>
      </w:pPr>
      <w:r>
        <w:rPr>
          <w:bCs/>
          <w:b/>
        </w:rPr>
        <w:t xml:space="preserve">Finding 3: Error severity is context-dependent.</w:t>
      </w:r>
      <w:r>
        <w:t xml:space="preserve"> </w:t>
      </w:r>
      <w:r>
        <w:t xml:space="preserve">In a social robotics context, the</w:t>
      </w:r>
      <w:r>
        <w:t xml:space="preserve"> </w:t>
      </w:r>
      <w:r>
        <w:rPr>
          <w:iCs/>
          <w:i/>
        </w:rPr>
        <w:t xml:space="preserve">type</w:t>
      </w:r>
      <w:r>
        <w:t xml:space="preserve"> </w:t>
      </w:r>
      <w:r>
        <w:t xml:space="preserve">of error matters as much as the</w:t>
      </w:r>
      <w:r>
        <w:t xml:space="preserve"> </w:t>
      </w:r>
      <w:r>
        <w:rPr>
          <w:iCs/>
          <w:i/>
        </w:rPr>
        <w:t xml:space="preserve">rate</w:t>
      </w:r>
      <w:r>
        <w:t xml:space="preserve"> </w:t>
      </w:r>
      <w:r>
        <w:t xml:space="preserve">of error. V1’s dominant misclassification (happy → neutral, 33.8%) causes under-reaction; V2’s dominant misclassification (neutral → sad, 35.1%) causes inappropriate over-reaction. The latter is more disruptive to user experience despite similar error rates. This context-dependent analysis cannot be captured by any single metric.</w:t>
      </w:r>
    </w:p>
    <w:p>
      <w:pPr>
        <w:pStyle w:val="BodyText"/>
      </w:pPr>
      <w:r>
        <w:rPr>
          <w:bCs/>
          <w:b/>
        </w:rPr>
        <w:t xml:space="preserve">Finding 4: Face cropping is the single most impactful preprocessing step for synthetic-to-real transfer.</w:t>
      </w:r>
      <w:r>
        <w:t xml:space="preserve"> </w:t>
      </w:r>
      <w:r>
        <w:t xml:space="preserve">Enabling face detection and cropping during frame extraction doubled test F1 from 0.43 to 0.78. This suggests that the primary domain gap between synthetic and real data lies in contextual information (backgrounds, body poses, environmental lighting) rather than in the facial expressions themselves.</w:t>
      </w:r>
    </w:p>
    <w:p>
      <w:pPr>
        <w:pStyle w:val="BodyText"/>
      </w:pPr>
      <w:r>
        <w:rPr>
          <w:bCs/>
          <w:b/>
        </w:rPr>
        <w:t xml:space="preserve">Finding 5: The two-tier gate architecture successfully separates training quality from deployment readiness.</w:t>
      </w:r>
      <w:r>
        <w:t xml:space="preserve"> </w:t>
      </w:r>
      <w:r>
        <w:t xml:space="preserve">V1 fails Gate A-val (synthetic) but passes Gate A-deploy (real-world). V2 passes Gate A-val but fails Gate A-deploy. Without the two-tier structure, V1 would be rejected and V2 would be deployed — exactly the wrong decision for real-world performance.</w:t>
      </w:r>
    </w:p>
    <w:bookmarkEnd w:id="94"/>
    <w:bookmarkStart w:id="95" w:name="the-global-vs.-local-metric-paradox"/>
    <w:p>
      <w:pPr>
        <w:pStyle w:val="Heading3"/>
      </w:pPr>
      <w:r>
        <w:t xml:space="preserve">8.2 The Global vs. Local Metric Paradox</w:t>
      </w:r>
    </w:p>
    <w:p>
      <w:pPr>
        <w:pStyle w:val="FirstParagraph"/>
      </w:pPr>
      <w:r>
        <w:t xml:space="preserve">A central insight of this analysis is the</w:t>
      </w:r>
      <w:r>
        <w:t xml:space="preserve"> </w:t>
      </w:r>
      <w:r>
        <w:rPr>
          <w:iCs/>
          <w:i/>
        </w:rPr>
        <w:t xml:space="preserve">paradox</w:t>
      </w:r>
      <w:r>
        <w:t xml:space="preserve"> </w:t>
      </w:r>
      <w:r>
        <w:t xml:space="preserve">between global and local metrics:</w:t>
      </w:r>
    </w:p>
    <w:p>
      <w:pPr>
        <w:numPr>
          <w:ilvl w:val="0"/>
          <w:numId w:val="1014"/>
        </w:numPr>
        <w:pStyle w:val="Compact"/>
      </w:pPr>
      <w:r>
        <w:rPr>
          <w:bCs/>
          <w:b/>
        </w:rPr>
        <w:t xml:space="preserve">Global metrics favor V2:</w:t>
      </w:r>
      <w:r>
        <w:t xml:space="preserve"> </w:t>
      </w:r>
      <w:r>
        <w:t xml:space="preserve">Accuracy (0.817 vs. 0.771), Cohen’s κ (0.712 vs. 0.645), NMI (0.557 vs. 0.476), balanced accuracy (0.812 vs. 0.799), composite score (0.805 vs. 0.802).</w:t>
      </w:r>
    </w:p>
    <w:p>
      <w:pPr>
        <w:numPr>
          <w:ilvl w:val="0"/>
          <w:numId w:val="1014"/>
        </w:numPr>
        <w:pStyle w:val="Compact"/>
      </w:pPr>
      <w:r>
        <w:rPr>
          <w:bCs/>
          <w:b/>
        </w:rPr>
        <w:t xml:space="preserve">Local metrics favor V1:</w:t>
      </w:r>
      <w:r>
        <w:t xml:space="preserve"> </w:t>
      </w:r>
      <w:r>
        <w:t xml:space="preserve">Per-class F1 balance (CV 4.2% vs. 15.1%), gate compliance (6/6 vs. 4/6), per-class F1 on sad (0.822 vs. 0.694) and neutral (0.743 vs. 0.699), sad precision (81.9% vs. 56.5%).</w:t>
      </w:r>
    </w:p>
    <w:p>
      <w:pPr>
        <w:pStyle w:val="FirstParagraph"/>
      </w:pPr>
      <w:r>
        <w:t xml:space="preserve">This paradox arises because V2 achieves very high performance on the largest test class (happy, 48.7% of samples), which inflates global metrics. The happy class acts as a</w:t>
      </w:r>
      <w:r>
        <w:t xml:space="preserve"> </w:t>
      </w:r>
      <w:r>
        <w:t xml:space="preserve">“</w:t>
      </w:r>
      <w:r>
        <w:t xml:space="preserve">weight multiplier</w:t>
      </w:r>
      <w:r>
        <w:t xml:space="preserve">”</w:t>
      </w:r>
      <w:r>
        <w:t xml:space="preserve"> </w:t>
      </w:r>
      <w:r>
        <w:t xml:space="preserve">that amplifies V2’s advantage on that class while diluting its disadvantages on smaller classes. This is a well-known phenomenon in imbalanced classification (He &amp; Garcia, 2009) but is often overlooked in deployment decisions that rely solely on aggregate metrics.</w:t>
      </w:r>
    </w:p>
    <w:p>
      <w:pPr>
        <w:pStyle w:val="BodyText"/>
      </w:pPr>
      <w:r>
        <w:t xml:space="preserve">The practical resolution is to use</w:t>
      </w:r>
      <w:r>
        <w:t xml:space="preserve"> </w:t>
      </w:r>
      <w:r>
        <w:rPr>
          <w:iCs/>
          <w:i/>
        </w:rPr>
        <w:t xml:space="preserve">both</w:t>
      </w:r>
      <w:r>
        <w:t xml:space="preserve"> </w:t>
      </w:r>
      <w:r>
        <w:t xml:space="preserve">global and local metrics, with hard constraints (gates) on local metrics to prevent deployment of models with systematic blind spots. The gate framework serves as the</w:t>
      </w:r>
      <w:r>
        <w:t xml:space="preserve"> </w:t>
      </w:r>
      <w:r>
        <w:t xml:space="preserve">“</w:t>
      </w:r>
      <w:r>
        <w:t xml:space="preserve">circuit breaker</w:t>
      </w:r>
      <w:r>
        <w:t xml:space="preserve">”</w:t>
      </w:r>
      <w:r>
        <w:t xml:space="preserve"> </w:t>
      </w:r>
      <w:r>
        <w:t xml:space="preserve">that prevents the global metric illusion from reaching production.</w:t>
      </w:r>
    </w:p>
    <w:bookmarkEnd w:id="95"/>
    <w:bookmarkStart w:id="96" w:name="deployment-risk-analysis"/>
    <w:p>
      <w:pPr>
        <w:pStyle w:val="Heading3"/>
      </w:pPr>
      <w:r>
        <w:t xml:space="preserve">8.3 Deployment Risk Analysis</w:t>
      </w:r>
    </w:p>
    <w:p>
      <w:pPr>
        <w:pStyle w:val="FirstParagraph"/>
      </w:pPr>
      <w:r>
        <w:rPr>
          <w:bCs/>
          <w:b/>
        </w:rPr>
        <w:t xml:space="preserve">Table 22. Deployment risk matrix.</w:t>
      </w:r>
    </w:p>
    <w:tbl>
      <w:tblPr>
        <w:tblStyle w:val="Table"/>
        <w:tblW w:type="pct" w:w="5000"/>
        <w:tblLook w:firstRow="1" w:lastRow="0" w:firstColumn="0" w:lastColumn="0" w:noHBand="0" w:noVBand="0" w:val="0020"/>
        <w:jc w:val="start"/>
      </w:tblPr>
      <w:tblGrid>
        <w:gridCol w:w="1188"/>
        <w:gridCol w:w="2178"/>
        <w:gridCol w:w="2178"/>
        <w:gridCol w:w="2376"/>
      </w:tblGrid>
      <w:tr>
        <w:trPr>
          <w:tblHeader w:val="true"/>
        </w:trPr>
        <w:tc>
          <w:tcPr/>
          <w:p>
            <w:pPr>
              <w:pStyle w:val="Compact"/>
              <w:jc w:val="left"/>
            </w:pPr>
            <w:r>
              <w:t xml:space="preserve">Risk</w:t>
            </w:r>
          </w:p>
        </w:tc>
        <w:tc>
          <w:tcPr/>
          <w:p>
            <w:pPr>
              <w:pStyle w:val="Compact"/>
              <w:jc w:val="left"/>
            </w:pPr>
            <w:r>
              <w:t xml:space="preserve">V1 Impact</w:t>
            </w:r>
          </w:p>
        </w:tc>
        <w:tc>
          <w:tcPr/>
          <w:p>
            <w:pPr>
              <w:pStyle w:val="Compact"/>
              <w:jc w:val="left"/>
            </w:pPr>
            <w:r>
              <w:t xml:space="preserve">V2 Impact</w:t>
            </w:r>
          </w:p>
        </w:tc>
        <w:tc>
          <w:tcPr/>
          <w:p>
            <w:pPr>
              <w:pStyle w:val="Compact"/>
              <w:jc w:val="left"/>
            </w:pPr>
            <w:r>
              <w:t xml:space="preserve">Assessment</w:t>
            </w:r>
          </w:p>
        </w:tc>
      </w:tr>
      <w:tr>
        <w:tc>
          <w:tcPr/>
          <w:p>
            <w:pPr>
              <w:pStyle w:val="Compact"/>
              <w:jc w:val="left"/>
            </w:pPr>
            <w:r>
              <w:rPr>
                <w:bCs/>
                <w:b/>
              </w:rPr>
              <w:t xml:space="preserve">False sadness response</w:t>
            </w:r>
            <w:r>
              <w:t xml:space="preserve"> </w:t>
            </w:r>
            <w:r>
              <w:t xml:space="preserve">(neutral→sad)</w:t>
            </w:r>
          </w:p>
        </w:tc>
        <w:tc>
          <w:tcPr/>
          <w:p>
            <w:pPr>
              <w:pStyle w:val="Compact"/>
              <w:jc w:val="left"/>
            </w:pPr>
            <w:r>
              <w:t xml:space="preserve">Low (6.0% of neutral cases)</w:t>
            </w:r>
          </w:p>
        </w:tc>
        <w:tc>
          <w:tcPr/>
          <w:p>
            <w:pPr>
              <w:pStyle w:val="Compact"/>
              <w:jc w:val="left"/>
            </w:pPr>
            <w:r>
              <w:rPr>
                <w:bCs/>
                <w:b/>
              </w:rPr>
              <w:t xml:space="preserve">High (35.1%)</w:t>
            </w:r>
          </w:p>
        </w:tc>
        <w:tc>
          <w:tcPr/>
          <w:p>
            <w:pPr>
              <w:pStyle w:val="Compact"/>
              <w:jc w:val="left"/>
            </w:pPr>
            <w:r>
              <w:t xml:space="preserve">V1 preferred</w:t>
            </w:r>
          </w:p>
        </w:tc>
      </w:tr>
      <w:tr>
        <w:tc>
          <w:tcPr/>
          <w:p>
            <w:pPr>
              <w:pStyle w:val="Compact"/>
              <w:jc w:val="left"/>
            </w:pPr>
            <w:r>
              <w:rPr>
                <w:bCs/>
                <w:b/>
              </w:rPr>
              <w:t xml:space="preserve">Missed happiness</w:t>
            </w:r>
            <w:r>
              <w:t xml:space="preserve"> </w:t>
            </w:r>
            <w:r>
              <w:t xml:space="preserve">(happy→neutral)</w:t>
            </w:r>
          </w:p>
        </w:tc>
        <w:tc>
          <w:tcPr/>
          <w:p>
            <w:pPr>
              <w:pStyle w:val="Compact"/>
              <w:jc w:val="left"/>
            </w:pPr>
            <w:r>
              <w:t xml:space="preserve">Moderate (33.8%)</w:t>
            </w:r>
          </w:p>
        </w:tc>
        <w:tc>
          <w:tcPr/>
          <w:p>
            <w:pPr>
              <w:pStyle w:val="Compact"/>
              <w:jc w:val="left"/>
            </w:pPr>
            <w:r>
              <w:t xml:space="preserve">Low (5.3%)</w:t>
            </w:r>
          </w:p>
        </w:tc>
        <w:tc>
          <w:tcPr/>
          <w:p>
            <w:pPr>
              <w:pStyle w:val="Compact"/>
              <w:jc w:val="left"/>
            </w:pPr>
            <w:r>
              <w:t xml:space="preserve">V2 preferred, but V1’s error is benign</w:t>
            </w:r>
          </w:p>
        </w:tc>
      </w:tr>
      <w:tr>
        <w:tc>
          <w:tcPr/>
          <w:p>
            <w:pPr>
              <w:pStyle w:val="Compact"/>
              <w:jc w:val="left"/>
            </w:pPr>
            <w:r>
              <w:rPr>
                <w:bCs/>
                <w:b/>
              </w:rPr>
              <w:t xml:space="preserve">Missed sadness</w:t>
            </w:r>
            <w:r>
              <w:t xml:space="preserve"> </w:t>
            </w:r>
            <w:r>
              <w:t xml:space="preserve">(sad→neutral)</w:t>
            </w:r>
          </w:p>
        </w:tc>
        <w:tc>
          <w:tcPr/>
          <w:p>
            <w:pPr>
              <w:pStyle w:val="Compact"/>
              <w:jc w:val="left"/>
            </w:pPr>
            <w:r>
              <w:t xml:space="preserve">Moderate (17.5%)</w:t>
            </w:r>
          </w:p>
        </w:tc>
        <w:tc>
          <w:tcPr/>
          <w:p>
            <w:pPr>
              <w:pStyle w:val="Compact"/>
              <w:jc w:val="left"/>
            </w:pPr>
            <w:r>
              <w:t xml:space="preserve">Low (8.1%)</w:t>
            </w:r>
          </w:p>
        </w:tc>
        <w:tc>
          <w:tcPr/>
          <w:p>
            <w:pPr>
              <w:pStyle w:val="Compact"/>
              <w:jc w:val="left"/>
            </w:pPr>
            <w:r>
              <w:t xml:space="preserve">V2 preferred</w:t>
            </w:r>
          </w:p>
        </w:tc>
      </w:tr>
      <w:tr>
        <w:tc>
          <w:tcPr/>
          <w:p>
            <w:pPr>
              <w:pStyle w:val="Compact"/>
              <w:jc w:val="left"/>
            </w:pPr>
            <w:r>
              <w:rPr>
                <w:bCs/>
                <w:b/>
              </w:rPr>
              <w:t xml:space="preserve">Cross-valence error</w:t>
            </w:r>
            <w:r>
              <w:t xml:space="preserve"> </w:t>
            </w:r>
            <w:r>
              <w:t xml:space="preserve">(happy↔sad)</w:t>
            </w:r>
          </w:p>
        </w:tc>
        <w:tc>
          <w:tcPr/>
          <w:p>
            <w:pPr>
              <w:pStyle w:val="Compact"/>
              <w:jc w:val="left"/>
            </w:pPr>
            <w:r>
              <w:t xml:space="preserve">Very low (2.5%)</w:t>
            </w:r>
          </w:p>
        </w:tc>
        <w:tc>
          <w:tcPr/>
          <w:p>
            <w:pPr>
              <w:pStyle w:val="Compact"/>
              <w:jc w:val="left"/>
            </w:pPr>
            <w:r>
              <w:t xml:space="preserve">Very low (1.4%)</w:t>
            </w:r>
          </w:p>
        </w:tc>
        <w:tc>
          <w:tcPr/>
          <w:p>
            <w:pPr>
              <w:pStyle w:val="Compact"/>
              <w:jc w:val="left"/>
            </w:pPr>
            <w:r>
              <w:t xml:space="preserve">Both acceptable</w:t>
            </w:r>
          </w:p>
        </w:tc>
      </w:tr>
      <w:tr>
        <w:tc>
          <w:tcPr/>
          <w:p>
            <w:pPr>
              <w:pStyle w:val="Compact"/>
              <w:jc w:val="left"/>
            </w:pPr>
            <w:r>
              <w:rPr>
                <w:bCs/>
                <w:b/>
              </w:rPr>
              <w:t xml:space="preserve">Calibration failure</w:t>
            </w:r>
          </w:p>
        </w:tc>
        <w:tc>
          <w:tcPr/>
          <w:p>
            <w:pPr>
              <w:pStyle w:val="Compact"/>
              <w:jc w:val="left"/>
            </w:pPr>
            <w:r>
              <w:t xml:space="preserve">Low (ECE 0.102)</w:t>
            </w:r>
          </w:p>
        </w:tc>
        <w:tc>
          <w:tcPr/>
          <w:p>
            <w:pPr>
              <w:pStyle w:val="Compact"/>
              <w:jc w:val="left"/>
            </w:pPr>
            <w:r>
              <w:t xml:space="preserve">Low (ECE 0.096)</w:t>
            </w:r>
          </w:p>
        </w:tc>
        <w:tc>
          <w:tcPr/>
          <w:p>
            <w:pPr>
              <w:pStyle w:val="Compact"/>
              <w:jc w:val="left"/>
            </w:pPr>
            <w:r>
              <w:t xml:space="preserve">Both acceptable</w:t>
            </w:r>
          </w:p>
        </w:tc>
      </w:tr>
      <w:tr>
        <w:tc>
          <w:tcPr/>
          <w:p>
            <w:pPr>
              <w:pStyle w:val="Compact"/>
              <w:jc w:val="left"/>
            </w:pPr>
            <w:r>
              <w:rPr>
                <w:bCs/>
                <w:b/>
              </w:rPr>
              <w:t xml:space="preserve">Gate non-compliance</w:t>
            </w:r>
          </w:p>
        </w:tc>
        <w:tc>
          <w:tcPr/>
          <w:p>
            <w:pPr>
              <w:pStyle w:val="Compact"/>
              <w:jc w:val="left"/>
            </w:pPr>
            <w:r>
              <w:t xml:space="preserve">None (6/6 pass)</w:t>
            </w:r>
          </w:p>
        </w:tc>
        <w:tc>
          <w:tcPr/>
          <w:p>
            <w:pPr>
              <w:pStyle w:val="Compact"/>
              <w:jc w:val="left"/>
            </w:pPr>
            <w:r>
              <w:rPr>
                <w:bCs/>
                <w:b/>
              </w:rPr>
              <w:t xml:space="preserve">2 gates failed</w:t>
            </w:r>
          </w:p>
        </w:tc>
        <w:tc>
          <w:tcPr/>
          <w:p>
            <w:pPr>
              <w:pStyle w:val="Compact"/>
              <w:jc w:val="left"/>
            </w:pPr>
            <w:r>
              <w:t xml:space="preserve">V1 preferred</w:t>
            </w:r>
          </w:p>
        </w:tc>
      </w:tr>
    </w:tbl>
    <w:p>
      <w:pPr>
        <w:pStyle w:val="BodyText"/>
      </w:pPr>
      <w:r>
        <w:t xml:space="preserve">In Reachy’s expected operational environment, neutral is the most common emotional state (~75% of real-world interactions per the configured distribution). V2’s 35.1% neutral → sad confusion rate means that in approximately</w:t>
      </w:r>
      <w:r>
        <w:t xml:space="preserve"> </w:t>
      </w:r>
      <w:r>
        <w:rPr>
          <w:bCs/>
          <w:b/>
        </w:rPr>
        <w:t xml:space="preserve">1 in 4 interactions</w:t>
      </w:r>
      <w:r>
        <w:t xml:space="preserve"> </w:t>
      </w:r>
      <w:r>
        <w:t xml:space="preserve">with a neutral person, Reachy would trigger sadness-related responses. Over time, this would erode user trust and create a perception of the robot as socially inappropriate.</w:t>
      </w:r>
    </w:p>
    <w:bookmarkEnd w:id="96"/>
    <w:bookmarkStart w:id="100" w:name="threats-to-validity"/>
    <w:p>
      <w:pPr>
        <w:pStyle w:val="Heading3"/>
      </w:pPr>
      <w:r>
        <w:t xml:space="preserve">8.4 Threats to Validity</w:t>
      </w:r>
    </w:p>
    <w:bookmarkStart w:id="97" w:name="internal-validity"/>
    <w:p>
      <w:pPr>
        <w:pStyle w:val="Heading4"/>
      </w:pPr>
      <w:r>
        <w:t xml:space="preserve">8.4.1 Internal Validity</w:t>
      </w:r>
    </w:p>
    <w:p>
      <w:pPr>
        <w:numPr>
          <w:ilvl w:val="0"/>
          <w:numId w:val="1015"/>
        </w:numPr>
      </w:pPr>
      <w:r>
        <w:rPr>
          <w:bCs/>
          <w:b/>
        </w:rPr>
        <w:t xml:space="preserve">Test set bias:</w:t>
      </w:r>
      <w:r>
        <w:t xml:space="preserve"> </w:t>
      </w:r>
      <w:r>
        <w:t xml:space="preserve">The AffectNet test set (894 images) is a convenience sample from a single academic dataset. Its class distribution (48.7% happy, 33.4% neutral, 17.9% sad) may not reflect the distribution encountered in actual Reachy deployments, where neutral is expected to dominate (~75%). Results should be validated on additional test sets with different demographic and environmental characteristics.</w:t>
      </w:r>
    </w:p>
    <w:p>
      <w:pPr>
        <w:numPr>
          <w:ilvl w:val="0"/>
          <w:numId w:val="1015"/>
        </w:numPr>
      </w:pPr>
      <w:r>
        <w:rPr>
          <w:bCs/>
          <w:b/>
        </w:rPr>
        <w:t xml:space="preserve">Single test run:</w:t>
      </w:r>
      <w:r>
        <w:t xml:space="preserve"> </w:t>
      </w:r>
      <w:r>
        <w:t xml:space="preserve">Both variants were evaluated on a single test set. Bootstrap resampling or cross-validation on multiple test partitions would provide more robust estimates of metric variability. The Wilson score confidence intervals partially address this limitation but cannot substitute for repeated evaluation.</w:t>
      </w:r>
    </w:p>
    <w:p>
      <w:pPr>
        <w:numPr>
          <w:ilvl w:val="0"/>
          <w:numId w:val="1015"/>
        </w:numPr>
      </w:pPr>
      <w:r>
        <w:rPr>
          <w:bCs/>
          <w:b/>
        </w:rPr>
        <w:t xml:space="preserve">Label quality:</w:t>
      </w:r>
      <w:r>
        <w:t xml:space="preserve"> </w:t>
      </w:r>
      <w:r>
        <w:t xml:space="preserve">AffectNet labels were assigned by human annotators and contain inherent subjectivity, particularly for the neutral/happy boundary. Inter-annotator agreement rates for AffectNet are approximately 60-65% (Mollahosseini et al., 2017), meaning that some of V1’s happy → neutral</w:t>
      </w:r>
      <w:r>
        <w:t xml:space="preserve"> </w:t>
      </w:r>
      <w:r>
        <w:t xml:space="preserve">“</w:t>
      </w:r>
      <w:r>
        <w:t xml:space="preserve">errors</w:t>
      </w:r>
      <w:r>
        <w:t xml:space="preserve">”</w:t>
      </w:r>
      <w:r>
        <w:t xml:space="preserve"> </w:t>
      </w:r>
      <w:r>
        <w:t xml:space="preserve">may actually be correct classifications of ambiguous expressions.</w:t>
      </w:r>
    </w:p>
    <w:bookmarkEnd w:id="97"/>
    <w:bookmarkStart w:id="98" w:name="external-validity"/>
    <w:p>
      <w:pPr>
        <w:pStyle w:val="Heading4"/>
      </w:pPr>
      <w:r>
        <w:t xml:space="preserve">8.4.2 External Validity</w:t>
      </w:r>
    </w:p>
    <w:p>
      <w:pPr>
        <w:numPr>
          <w:ilvl w:val="0"/>
          <w:numId w:val="1016"/>
        </w:numPr>
      </w:pPr>
      <w:r>
        <w:rPr>
          <w:bCs/>
          <w:b/>
        </w:rPr>
        <w:t xml:space="preserve">Synthetic training data:</w:t>
      </w:r>
      <w:r>
        <w:t xml:space="preserve"> </w:t>
      </w:r>
      <w:r>
        <w:t xml:space="preserve">All training data is AI-generated. The models have never seen a real photograph during training. Real-world deployment will encounter lighting conditions, camera angles, facial occlusions, skin tones, and age ranges that may differ systematically from the synthetic training distribution. The 22% generalization gap (§7.6) quantifies this risk but does not guarantee that the gap will remain stable across all deployment contexts.</w:t>
      </w:r>
    </w:p>
    <w:p>
      <w:pPr>
        <w:numPr>
          <w:ilvl w:val="0"/>
          <w:numId w:val="1016"/>
        </w:numPr>
      </w:pPr>
      <w:r>
        <w:rPr>
          <w:bCs/>
          <w:b/>
        </w:rPr>
        <w:t xml:space="preserve">Static images vs. video:</w:t>
      </w:r>
      <w:r>
        <w:t xml:space="preserve"> </w:t>
      </w:r>
      <w:r>
        <w:t xml:space="preserve">The test set consists of static photographs, but the deployed system processes video streams. Temporal dynamics (expression transitions, micro-expressions, head movement) are not evaluated. The temporal smoothing mechanism (15-frame window, 60% consistency requirement) is designed to handle these dynamics but has not been validated against ground truth video annotations.</w:t>
      </w:r>
    </w:p>
    <w:p>
      <w:pPr>
        <w:numPr>
          <w:ilvl w:val="0"/>
          <w:numId w:val="1016"/>
        </w:numPr>
      </w:pPr>
      <w:r>
        <w:rPr>
          <w:bCs/>
          <w:b/>
        </w:rPr>
        <w:t xml:space="preserve">Demographic coverage:</w:t>
      </w:r>
      <w:r>
        <w:t xml:space="preserve"> </w:t>
      </w:r>
      <w:r>
        <w:t xml:space="preserve">Neither the synthetic training data nor the AffectNet test set has been audited for demographic balance across age, gender, ethnicity, or skin tone. Systematic performance disparities across demographic groups are possible and would require dedicated fairness evaluation.</w:t>
      </w:r>
    </w:p>
    <w:bookmarkEnd w:id="98"/>
    <w:bookmarkStart w:id="99" w:name="construct-validity"/>
    <w:p>
      <w:pPr>
        <w:pStyle w:val="Heading4"/>
      </w:pPr>
      <w:r>
        <w:t xml:space="preserve">8.4.3 Construct Validity</w:t>
      </w:r>
    </w:p>
    <w:p>
      <w:pPr>
        <w:numPr>
          <w:ilvl w:val="0"/>
          <w:numId w:val="1017"/>
        </w:numPr>
      </w:pPr>
      <w:r>
        <w:rPr>
          <w:bCs/>
          <w:b/>
        </w:rPr>
        <w:t xml:space="preserve">Emotion taxonomy:</w:t>
      </w:r>
      <w:r>
        <w:t xml:space="preserve"> </w:t>
      </w:r>
      <w:r>
        <w:t xml:space="preserve">The 3-class taxonomy (happy, sad, neutral) is a significant simplification of the emotional spectrum. Many real-world expressions blend multiple emotions, exhibit subtle gradations, or fall outside these three categories entirely. The abstention mechanism (confidence &lt; 0.6) provides partial mitigation by suppressing predictions for ambiguous inputs, but does not address expressions that are genuinely outside the taxonomy (e.g., anger, surprise).</w:t>
      </w:r>
    </w:p>
    <w:p>
      <w:pPr>
        <w:numPr>
          <w:ilvl w:val="0"/>
          <w:numId w:val="1017"/>
        </w:numPr>
      </w:pPr>
      <w:r>
        <w:rPr>
          <w:bCs/>
          <w:b/>
        </w:rPr>
        <w:t xml:space="preserve">F1 as primary metric:</w:t>
      </w:r>
      <w:r>
        <w:t xml:space="preserve"> </w:t>
      </w:r>
      <w:r>
        <w:t xml:space="preserve">F1 macro gives equal weight to all classes regardless of their operational importance. In the Reachy context, correctly detecting sadness may be more important than correctly detecting happiness (because the consequences of missed sadness are greater). A cost-sensitive evaluation framework would capture this asymmetry but was not implemented.</w:t>
      </w:r>
    </w:p>
    <w:p>
      <w:pPr>
        <w:numPr>
          <w:ilvl w:val="0"/>
          <w:numId w:val="1017"/>
        </w:numPr>
      </w:pPr>
      <w:r>
        <w:rPr>
          <w:bCs/>
          <w:b/>
        </w:rPr>
        <w:t xml:space="preserve">ECE binning sensitivity:</w:t>
      </w:r>
      <w:r>
        <w:t xml:space="preserve"> </w:t>
      </w:r>
      <w:r>
        <w:t xml:space="preserve">ECE values depend on the number of bins (10 in our implementation) and bin boundaries. Different binning choices can yield different ECE values for the same predictions. Adaptive binning methods (e.g., equal-frequency bins) could provide more robust calibration estimates.</w:t>
      </w:r>
    </w:p>
    <w:p>
      <w:r>
        <w:pict>
          <v:rect style="width:0;height:1.5pt" o:hralign="center" o:hrstd="t" o:hr="t"/>
        </w:pict>
      </w:r>
    </w:p>
    <w:bookmarkEnd w:id="99"/>
    <w:bookmarkEnd w:id="100"/>
    <w:bookmarkEnd w:id="101"/>
    <w:bookmarkStart w:id="109" w:name="chapter-9-future-work"/>
    <w:p>
      <w:pPr>
        <w:pStyle w:val="Heading2"/>
      </w:pPr>
      <w:r>
        <w:t xml:space="preserve">Chapter 9: Future Work</w:t>
      </w:r>
    </w:p>
    <w:p>
      <w:pPr>
        <w:pStyle w:val="FirstParagraph"/>
      </w:pPr>
      <w:r>
        <w:t xml:space="preserve">The current system represents a functional first deployment of emotion-aware interaction on the Reachy platform, but several avenues for improvement have been identified through the evaluation process. These are organized by priority and expected impact.</w:t>
      </w:r>
    </w:p>
    <w:bookmarkStart w:id="102" w:name="post-hoc-temperature-scaling-priority-1"/>
    <w:p>
      <w:pPr>
        <w:pStyle w:val="Heading3"/>
      </w:pPr>
      <w:r>
        <w:t xml:space="preserve">9.1 Post-Hoc Temperature Scaling (Priority 1)</w:t>
      </w:r>
    </w:p>
    <w:p>
      <w:pPr>
        <w:pStyle w:val="FirstParagraph"/>
      </w:pPr>
      <w:r>
        <w:t xml:space="preserve">Temperature scaling (Guo et al., 2017) is a single-parameter post-hoc calibration technique that can reduce ECE without affecting classification accuracy. A temperature parameter</w:t>
      </w:r>
      <w:r>
        <w:t xml:space="preserve"> </w:t>
      </w:r>
      <m:oMath>
        <m:r>
          <m:t>T</m:t>
        </m:r>
      </m:oMath>
      <w:r>
        <w:t xml:space="preserve"> </w:t>
      </w:r>
      <w:r>
        <w:t xml:space="preserve">is learned on a held-out validation set by minimizing negative log-likelihood:</w:t>
      </w:r>
    </w:p>
    <w:p>
      <w:pPr>
        <w:pStyle w:val="BodyText"/>
      </w:pPr>
      <m:oMathPara>
        <m:oMathParaPr>
          <m:jc m:val="center"/>
        </m:oMathParaPr>
        <m:oMath>
          <m:sSub>
            <m:e>
              <m:r>
                <m:t>p</m:t>
              </m:r>
            </m:e>
            <m:sub>
              <m:r>
                <m:t>i</m:t>
              </m:r>
            </m:sub>
          </m:sSub>
          <m:r>
            <m:rPr>
              <m:sty m:val="p"/>
            </m:rPr>
            <m:t>=</m:t>
          </m:r>
          <m:f>
            <m:fPr>
              <m:type m:val="bar"/>
            </m:fPr>
            <m:num>
              <m:r>
                <m:rPr>
                  <m:sty m:val="p"/>
                </m:rPr>
                <m:t>exp</m:t>
              </m:r>
              <m:d>
                <m:dPr>
                  <m:begChr m:val="("/>
                  <m:endChr m:val=")"/>
                  <m:sepChr m:val=""/>
                  <m:grow/>
                </m:dPr>
                <m:e>
                  <m:sSub>
                    <m:e>
                      <m:r>
                        <m:t>z</m:t>
                      </m:r>
                    </m:e>
                    <m:sub>
                      <m:r>
                        <m:t>i</m:t>
                      </m:r>
                    </m:sub>
                  </m:sSub>
                  <m:r>
                    <m:rPr>
                      <m:sty m:val="p"/>
                    </m:rPr>
                    <m:t>/</m:t>
                  </m:r>
                  <m:r>
                    <m:t>T</m:t>
                  </m:r>
                </m:e>
              </m:d>
            </m:num>
            <m:den>
              <m:nary>
                <m:naryPr>
                  <m:chr m:val="∑"/>
                  <m:limLoc m:val="undOvr"/>
                  <m:subHide m:val="off"/>
                  <m:supHide m:val="on"/>
                </m:naryPr>
                <m:sub>
                  <m:r>
                    <m:t>j</m:t>
                  </m:r>
                </m:sub>
                <m:sup>
                  <m:r>
                    <m:t>​</m:t>
                  </m:r>
                </m:sup>
                <m:e>
                  <m:r>
                    <m:rPr>
                      <m:sty m:val="p"/>
                    </m:rPr>
                    <m:t>exp</m:t>
                  </m:r>
                </m:e>
              </m:nary>
              <m:d>
                <m:dPr>
                  <m:begChr m:val="("/>
                  <m:endChr m:val=")"/>
                  <m:sepChr m:val=""/>
                  <m:grow/>
                </m:dPr>
                <m:e>
                  <m:sSub>
                    <m:e>
                      <m:r>
                        <m:t>z</m:t>
                      </m:r>
                    </m:e>
                    <m:sub>
                      <m:r>
                        <m:t>j</m:t>
                      </m:r>
                    </m:sub>
                  </m:sSub>
                  <m:r>
                    <m:rPr>
                      <m:sty m:val="p"/>
                    </m:rPr>
                    <m:t>/</m:t>
                  </m:r>
                  <m:r>
                    <m:t>T</m:t>
                  </m:r>
                </m:e>
              </m:d>
            </m:den>
          </m:f>
        </m:oMath>
      </m:oMathPara>
    </w:p>
    <w:p>
      <w:pPr>
        <w:pStyle w:val="FirstParagraph"/>
      </w:pPr>
      <w:r>
        <w:t xml:space="preserve">where</w:t>
      </w:r>
      <w:r>
        <w:t xml:space="preserve"> </w:t>
      </w:r>
      <m:oMath>
        <m:sSub>
          <m:e>
            <m:r>
              <m:t>z</m:t>
            </m:r>
          </m:e>
          <m:sub>
            <m:r>
              <m:t>i</m:t>
            </m:r>
          </m:sub>
        </m:sSub>
      </m:oMath>
      <w:r>
        <w:t xml:space="preserve"> </w:t>
      </w:r>
      <w:r>
        <w:t xml:space="preserve">are the pre-softmax logits. When</w:t>
      </w:r>
      <w:r>
        <w:t xml:space="preserve"> </w:t>
      </w:r>
      <m:oMath>
        <m:r>
          <m:t>T</m:t>
        </m:r>
        <m:r>
          <m:rPr>
            <m:sty m:val="p"/>
          </m:rPr>
          <m:t>&gt;</m:t>
        </m:r>
        <m:r>
          <m:t>1</m:t>
        </m:r>
      </m:oMath>
      <w:r>
        <w:t xml:space="preserve">, the softmax distribution becomes flatter (reducing overconfidence); when</w:t>
      </w:r>
      <w:r>
        <w:t xml:space="preserve"> </w:t>
      </w:r>
      <m:oMath>
        <m:r>
          <m:t>T</m:t>
        </m:r>
        <m:r>
          <m:rPr>
            <m:sty m:val="p"/>
          </m:rPr>
          <m:t>&lt;</m:t>
        </m:r>
        <m:r>
          <m:t>1</m:t>
        </m:r>
      </m:oMath>
      <w:r>
        <w:t xml:space="preserve">, it becomes sharper.</w:t>
      </w:r>
    </w:p>
    <w:p>
      <w:pPr>
        <w:pStyle w:val="BodyText"/>
      </w:pPr>
      <w:r>
        <w:t xml:space="preserve">For V1, which currently achieves ECE = 0.102, temperature scaling is expected to reduce ECE to approximately 0.06 — a significant improvement in confidence reliability for the gesture modulation system. This enhancement requires no retraining; it only adds a single multiplication to the inference pipeline.</w:t>
      </w:r>
    </w:p>
    <w:p>
      <w:pPr>
        <w:pStyle w:val="BodyText"/>
      </w:pPr>
      <w:r>
        <w:rPr>
          <w:bCs/>
          <w:b/>
        </w:rPr>
        <w:t xml:space="preserve">Estimated effort:</w:t>
      </w:r>
      <w:r>
        <w:t xml:space="preserve"> </w:t>
      </w:r>
      <w:r>
        <w:t xml:space="preserve">1 day for implementation and validation.</w:t>
      </w:r>
    </w:p>
    <w:bookmarkEnd w:id="102"/>
    <w:bookmarkStart w:id="103" w:name="training-data-diversification-priority-2"/>
    <w:p>
      <w:pPr>
        <w:pStyle w:val="Heading3"/>
      </w:pPr>
      <w:r>
        <w:t xml:space="preserve">9.2 Training Data Diversification (Priority 2)</w:t>
      </w:r>
    </w:p>
    <w:p>
      <w:pPr>
        <w:pStyle w:val="FirstParagraph"/>
      </w:pPr>
      <w:r>
        <w:t xml:space="preserve">The 22% generalization gap between synthetic validation (F1 ≈ 0.99) and real-world test (F1 ≈ 0.78) is the primary performance bottleneck. Two complementary strategies could reduce this gap:</w:t>
      </w:r>
    </w:p>
    <w:p>
      <w:pPr>
        <w:pStyle w:val="BodyText"/>
      </w:pPr>
      <w:r>
        <w:rPr>
          <w:bCs/>
          <w:b/>
        </w:rPr>
        <w:t xml:space="preserve">Mixed-domain training:</w:t>
      </w:r>
      <w:r>
        <w:t xml:space="preserve"> </w:t>
      </w:r>
      <w:r>
        <w:t xml:space="preserve">Incorporating a small proportion (10-20%) of real face images from AffectNet or FER2013 into the training set. Even a modest injection of real data has been shown to dramatically improve synthetic-to-real transfer (Shrivastava et al., 2017; Tremblay et al., 2018). The challenge is maintaining the privacy-first architecture while obtaining permission to use academic datasets for training.</w:t>
      </w:r>
    </w:p>
    <w:p>
      <w:pPr>
        <w:pStyle w:val="BodyText"/>
      </w:pPr>
      <w:r>
        <w:rPr>
          <w:bCs/>
          <w:b/>
        </w:rPr>
        <w:t xml:space="preserve">Synthetic data augmentation:</w:t>
      </w:r>
      <w:r>
        <w:t xml:space="preserve"> </w:t>
      </w:r>
      <w:r>
        <w:t xml:space="preserve">Diversifying the synthetic training data by varying generation prompts to include different ethnicities, age groups, lighting conditions, camera angles, and expression intensities. The current synthetic data may be biased toward a narrow demographic and expression range, contributing to the domain gap.</w:t>
      </w:r>
    </w:p>
    <w:p>
      <w:pPr>
        <w:pStyle w:val="BodyText"/>
      </w:pPr>
      <w:r>
        <w:rPr>
          <w:bCs/>
          <w:b/>
        </w:rPr>
        <w:t xml:space="preserve">Expected impact:</w:t>
      </w:r>
      <w:r>
        <w:t xml:space="preserve"> </w:t>
      </w:r>
      <w:r>
        <w:t xml:space="preserve">Closing the gap from F1 ≈ 0.78 toward the base model’s F1 ≈ 0.93, potentially reaching F1 ≈ 0.84 (Gate A-val standard) on real-world data.</w:t>
      </w:r>
    </w:p>
    <w:bookmarkEnd w:id="103"/>
    <w:bookmarkStart w:id="104" w:name="ensemble-methods-priority-3"/>
    <w:p>
      <w:pPr>
        <w:pStyle w:val="Heading3"/>
      </w:pPr>
      <w:r>
        <w:t xml:space="preserve">9.3 Ensemble Methods (Priority 3)</w:t>
      </w:r>
    </w:p>
    <w:p>
      <w:pPr>
        <w:pStyle w:val="FirstParagraph"/>
      </w:pPr>
      <w:r>
        <w:t xml:space="preserve">V1 and V2 have complementary error profiles — V1 excels at sad and neutral detection while V2 excels at happy detection. An ensemble that averages their softmax outputs could leverage both strengths:</w:t>
      </w:r>
    </w:p>
    <w:p>
      <w:pPr>
        <w:pStyle w:val="BodyText"/>
      </w:pPr>
      <m:oMathPara>
        <m:oMathParaPr>
          <m:jc m:val="center"/>
        </m:oMathParaPr>
        <m:oMath>
          <m:sSub>
            <m:e>
              <m:r>
                <m:t>p</m:t>
              </m:r>
            </m:e>
            <m:sub>
              <m:r>
                <m:t>e</m:t>
              </m:r>
              <m:r>
                <m:t>n</m:t>
              </m:r>
              <m:r>
                <m:t>s</m:t>
              </m:r>
              <m:r>
                <m:t>e</m:t>
              </m:r>
              <m:r>
                <m:t>m</m:t>
              </m:r>
              <m:r>
                <m:t>b</m:t>
              </m:r>
              <m:r>
                <m:t>l</m:t>
              </m:r>
              <m:r>
                <m:t>e</m:t>
              </m:r>
            </m:sub>
          </m:sSub>
          <m:r>
            <m:rPr>
              <m:sty m:val="p"/>
            </m:rPr>
            <m:t>=</m:t>
          </m:r>
          <m:r>
            <m:t>α</m:t>
          </m:r>
          <m:r>
            <m:rPr>
              <m:sty m:val="p"/>
            </m:rPr>
            <m:t>⋅</m:t>
          </m:r>
          <m:sSub>
            <m:e>
              <m:r>
                <m:t>p</m:t>
              </m:r>
            </m:e>
            <m:sub>
              <m:r>
                <m:t>V</m:t>
              </m:r>
              <m:r>
                <m:t>1</m:t>
              </m:r>
            </m:sub>
          </m:sSub>
          <m:r>
            <m:rPr>
              <m:sty m:val="p"/>
            </m:rPr>
            <m:t>+</m:t>
          </m:r>
          <m:d>
            <m:dPr>
              <m:begChr m:val="("/>
              <m:endChr m:val=")"/>
              <m:sepChr m:val=""/>
              <m:grow/>
            </m:dPr>
            <m:e>
              <m:r>
                <m:t>1</m:t>
              </m:r>
              <m:r>
                <m:rPr>
                  <m:sty m:val="p"/>
                </m:rPr>
                <m:t>−</m:t>
              </m:r>
              <m:r>
                <m:t>α</m:t>
              </m:r>
            </m:e>
          </m:d>
          <m:r>
            <m:rPr>
              <m:sty m:val="p"/>
            </m:rPr>
            <m:t>⋅</m:t>
          </m:r>
          <m:sSub>
            <m:e>
              <m:r>
                <m:t>p</m:t>
              </m:r>
            </m:e>
            <m:sub>
              <m:r>
                <m:t>V</m:t>
              </m:r>
              <m:r>
                <m:t>2</m:t>
              </m:r>
            </m:sub>
          </m:sSub>
        </m:oMath>
      </m:oMathPara>
    </w:p>
    <w:p>
      <w:pPr>
        <w:pStyle w:val="FirstParagraph"/>
      </w:pPr>
      <w:r>
        <w:t xml:space="preserve">where</w:t>
      </w:r>
      <w:r>
        <w:t xml:space="preserve"> </w:t>
      </w:r>
      <m:oMath>
        <m:r>
          <m:t>α</m:t>
        </m:r>
      </m:oMath>
      <w:r>
        <w:t xml:space="preserve"> </w:t>
      </w:r>
      <w:r>
        <w:t xml:space="preserve">is an ensemble weight optimized on a validation set. Given the complementary confusion patterns, the ensemble is expected to achieve higher per-class F1 than either individual model, potentially resolving V1’s happy → neutral weakness and V2’s neutral → sad weakness simultaneously.</w:t>
      </w:r>
    </w:p>
    <w:p>
      <w:pPr>
        <w:pStyle w:val="BodyText"/>
      </w:pPr>
      <w:r>
        <w:t xml:space="preserve">The operational cost of ensemble inference on the Jetson is a concern: running two EfficientNet-B0 models doubles the compute requirement. However, the models share the same architecture, and TensorRT’s batch inference capabilities could mitigate the latency impact.</w:t>
      </w:r>
    </w:p>
    <w:p>
      <w:pPr>
        <w:pStyle w:val="BodyText"/>
      </w:pPr>
      <w:r>
        <w:rPr>
          <w:bCs/>
          <w:b/>
        </w:rPr>
        <w:t xml:space="preserve">Estimated effort:</w:t>
      </w:r>
      <w:r>
        <w:t xml:space="preserve"> </w:t>
      </w:r>
      <w:r>
        <w:t xml:space="preserve">2 days for implementation and evaluation.</w:t>
      </w:r>
    </w:p>
    <w:bookmarkEnd w:id="104"/>
    <w:bookmarkStart w:id="105" w:name="phase-2-full-ekman-taxonomy-priority-4"/>
    <w:p>
      <w:pPr>
        <w:pStyle w:val="Heading3"/>
      </w:pPr>
      <w:r>
        <w:t xml:space="preserve">9.4 Phase 2: Full Ekman Taxonomy (Priority 4)</w:t>
      </w:r>
    </w:p>
    <w:p>
      <w:pPr>
        <w:pStyle w:val="FirstParagraph"/>
      </w:pPr>
      <w:r>
        <w:t xml:space="preserve">The current system operates with a 3-class taxonomy (happy, sad, neutral), but the behavioral profile infrastructure is already designed for the full 8-class Ekman taxonomy (happy, sad, neutral, anger, fear, disgust, contempt, surprise). Expanding to 8 classes would enable:</w:t>
      </w:r>
    </w:p>
    <w:p>
      <w:pPr>
        <w:numPr>
          <w:ilvl w:val="0"/>
          <w:numId w:val="1018"/>
        </w:numPr>
        <w:pStyle w:val="Compact"/>
      </w:pPr>
      <w:r>
        <w:rPr>
          <w:bCs/>
          <w:b/>
        </w:rPr>
        <w:t xml:space="preserve">De-escalation behaviors</w:t>
      </w:r>
      <w:r>
        <w:t xml:space="preserve"> </w:t>
      </w:r>
      <w:r>
        <w:t xml:space="preserve">for anger and contempt detection</w:t>
      </w:r>
    </w:p>
    <w:p>
      <w:pPr>
        <w:numPr>
          <w:ilvl w:val="0"/>
          <w:numId w:val="1018"/>
        </w:numPr>
        <w:pStyle w:val="Compact"/>
      </w:pPr>
      <w:r>
        <w:rPr>
          <w:bCs/>
          <w:b/>
        </w:rPr>
        <w:t xml:space="preserve">Reassurance behaviors</w:t>
      </w:r>
      <w:r>
        <w:t xml:space="preserve"> </w:t>
      </w:r>
      <w:r>
        <w:t xml:space="preserve">for fear detection</w:t>
      </w:r>
    </w:p>
    <w:p>
      <w:pPr>
        <w:numPr>
          <w:ilvl w:val="0"/>
          <w:numId w:val="1018"/>
        </w:numPr>
        <w:pStyle w:val="Compact"/>
      </w:pPr>
      <w:r>
        <w:rPr>
          <w:bCs/>
          <w:b/>
        </w:rPr>
        <w:t xml:space="preserve">Redirect behaviors</w:t>
      </w:r>
      <w:r>
        <w:t xml:space="preserve"> </w:t>
      </w:r>
      <w:r>
        <w:t xml:space="preserve">for disgust detection</w:t>
      </w:r>
    </w:p>
    <w:p>
      <w:pPr>
        <w:numPr>
          <w:ilvl w:val="0"/>
          <w:numId w:val="1018"/>
        </w:numPr>
        <w:pStyle w:val="Compact"/>
      </w:pPr>
      <w:r>
        <w:rPr>
          <w:bCs/>
          <w:b/>
        </w:rPr>
        <w:t xml:space="preserve">Adaptive behaviors</w:t>
      </w:r>
      <w:r>
        <w:t xml:space="preserve"> </w:t>
      </w:r>
      <w:r>
        <w:t xml:space="preserve">for surprise detection (which can be positive or negative)</w:t>
      </w:r>
    </w:p>
    <w:p>
      <w:pPr>
        <w:pStyle w:val="FirstParagraph"/>
      </w:pPr>
      <w:r>
        <w:t xml:space="preserve">The expansion requires retraining with 8-class synthetic data and updating the classification head from 3 to 8 output neurons. The HSEmotion backbone is already pre-trained on 8 Ekman classes, so the domain gap for additional emotions may be smaller than for the initial 3-class setup.</w:t>
      </w:r>
    </w:p>
    <w:p>
      <w:pPr>
        <w:pStyle w:val="BodyText"/>
      </w:pPr>
      <w:r>
        <w:rPr>
          <w:bCs/>
          <w:b/>
        </w:rPr>
        <w:t xml:space="preserve">Table 24. Ekman 8-class behavioral profile mapping for Phase 2.</w:t>
      </w:r>
    </w:p>
    <w:tbl>
      <w:tblPr>
        <w:tblStyle w:val="Table"/>
        <w:tblW w:type="pct" w:w="5000"/>
        <w:tblLook w:firstRow="1" w:lastRow="0" w:firstColumn="0" w:lastColumn="0" w:noHBand="0" w:noVBand="0" w:val="0020"/>
        <w:jc w:val="start"/>
      </w:tblPr>
      <w:tblGrid>
        <w:gridCol w:w="913"/>
        <w:gridCol w:w="1827"/>
        <w:gridCol w:w="1320"/>
        <w:gridCol w:w="1624"/>
        <w:gridCol w:w="2233"/>
      </w:tblGrid>
      <w:tr>
        <w:trPr>
          <w:tblHeader w:val="true"/>
        </w:trPr>
        <w:tc>
          <w:tcPr/>
          <w:p>
            <w:pPr>
              <w:pStyle w:val="Compact"/>
              <w:jc w:val="left"/>
            </w:pPr>
            <w:r>
              <w:t xml:space="preserve">Emotion</w:t>
            </w:r>
          </w:p>
        </w:tc>
        <w:tc>
          <w:tcPr/>
          <w:p>
            <w:pPr>
              <w:pStyle w:val="Compact"/>
              <w:jc w:val="left"/>
            </w:pPr>
            <w:r>
              <w:t xml:space="preserve">Response Strategy</w:t>
            </w:r>
          </w:p>
        </w:tc>
        <w:tc>
          <w:tcPr/>
          <w:p>
            <w:pPr>
              <w:pStyle w:val="Compact"/>
              <w:jc w:val="left"/>
            </w:pPr>
            <w:r>
              <w:t xml:space="preserve">De-escalate</w:t>
            </w:r>
          </w:p>
        </w:tc>
        <w:tc>
          <w:tcPr/>
          <w:p>
            <w:pPr>
              <w:pStyle w:val="Compact"/>
              <w:jc w:val="left"/>
            </w:pPr>
            <w:r>
              <w:t xml:space="preserve">Validate First</w:t>
            </w:r>
          </w:p>
        </w:tc>
        <w:tc>
          <w:tcPr/>
          <w:p>
            <w:pPr>
              <w:pStyle w:val="Compact"/>
              <w:jc w:val="left"/>
            </w:pPr>
            <w:r>
              <w:t xml:space="preserve">Gesture Expressiveness</w:t>
            </w:r>
          </w:p>
        </w:tc>
      </w:tr>
      <w:tr>
        <w:tc>
          <w:tcPr/>
          <w:p>
            <w:pPr>
              <w:pStyle w:val="Compact"/>
              <w:jc w:val="left"/>
            </w:pPr>
            <w:r>
              <w:t xml:space="preserve">Happy</w:t>
            </w:r>
          </w:p>
        </w:tc>
        <w:tc>
          <w:tcPr/>
          <w:p>
            <w:pPr>
              <w:pStyle w:val="Compact"/>
              <w:jc w:val="left"/>
            </w:pPr>
            <w:r>
              <w:t xml:space="preserve">Amplify positive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Full</w:t>
            </w:r>
          </w:p>
        </w:tc>
      </w:tr>
      <w:tr>
        <w:tc>
          <w:tcPr/>
          <w:p>
            <w:pPr>
              <w:pStyle w:val="Compact"/>
              <w:jc w:val="left"/>
            </w:pPr>
            <w:r>
              <w:t xml:space="preserve">Sad</w:t>
            </w:r>
          </w:p>
        </w:tc>
        <w:tc>
          <w:tcPr/>
          <w:p>
            <w:pPr>
              <w:pStyle w:val="Compact"/>
              <w:jc w:val="left"/>
            </w:pPr>
            <w:r>
              <w:t xml:space="preserve">Provide support</w:t>
            </w:r>
          </w:p>
        </w:tc>
        <w:tc>
          <w:tcPr/>
          <w:p>
            <w:pPr>
              <w:pStyle w:val="Compact"/>
              <w:jc w:val="left"/>
            </w:pPr>
            <w:r>
              <w:t xml:space="preserve">No</w:t>
            </w:r>
          </w:p>
        </w:tc>
        <w:tc>
          <w:tcPr/>
          <w:p>
            <w:pPr>
              <w:pStyle w:val="Compact"/>
              <w:jc w:val="left"/>
            </w:pPr>
            <w:r>
              <w:t xml:space="preserve">Yes</w:t>
            </w:r>
          </w:p>
        </w:tc>
        <w:tc>
          <w:tcPr/>
          <w:p>
            <w:pPr>
              <w:pStyle w:val="Compact"/>
              <w:jc w:val="left"/>
            </w:pPr>
            <w:r>
              <w:t xml:space="preserve">Moderate</w:t>
            </w:r>
          </w:p>
        </w:tc>
      </w:tr>
      <w:tr>
        <w:tc>
          <w:tcPr/>
          <w:p>
            <w:pPr>
              <w:pStyle w:val="Compact"/>
              <w:jc w:val="left"/>
            </w:pPr>
            <w:r>
              <w:t xml:space="preserve">Neutral</w:t>
            </w:r>
          </w:p>
        </w:tc>
        <w:tc>
          <w:tcPr/>
          <w:p>
            <w:pPr>
              <w:pStyle w:val="Compact"/>
              <w:jc w:val="left"/>
            </w:pPr>
            <w:r>
              <w:t xml:space="preserve">Engage openly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Subtle</w:t>
            </w:r>
          </w:p>
        </w:tc>
      </w:tr>
      <w:tr>
        <w:tc>
          <w:tcPr/>
          <w:p>
            <w:pPr>
              <w:pStyle w:val="Compact"/>
              <w:jc w:val="left"/>
            </w:pPr>
            <w:r>
              <w:t xml:space="preserve">Anger</w:t>
            </w:r>
          </w:p>
        </w:tc>
        <w:tc>
          <w:tcPr/>
          <w:p>
            <w:pPr>
              <w:pStyle w:val="Compact"/>
              <w:jc w:val="left"/>
            </w:pPr>
            <w:r>
              <w:t xml:space="preserve">De-escalate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Minimal</w:t>
            </w:r>
          </w:p>
        </w:tc>
      </w:tr>
      <w:tr>
        <w:tc>
          <w:tcPr/>
          <w:p>
            <w:pPr>
              <w:pStyle w:val="Compact"/>
              <w:jc w:val="left"/>
            </w:pPr>
            <w:r>
              <w:t xml:space="preserve">Fear</w:t>
            </w:r>
          </w:p>
        </w:tc>
        <w:tc>
          <w:tcPr/>
          <w:p>
            <w:pPr>
              <w:pStyle w:val="Compact"/>
              <w:jc w:val="left"/>
            </w:pPr>
            <w:r>
              <w:t xml:space="preserve">Reassure</w:t>
            </w:r>
          </w:p>
        </w:tc>
        <w:tc>
          <w:tcPr/>
          <w:p>
            <w:pPr>
              <w:pStyle w:val="Compact"/>
              <w:jc w:val="left"/>
            </w:pPr>
            <w:r>
              <w:t xml:space="preserve">No</w:t>
            </w:r>
          </w:p>
        </w:tc>
        <w:tc>
          <w:tcPr/>
          <w:p>
            <w:pPr>
              <w:pStyle w:val="Compact"/>
              <w:jc w:val="left"/>
            </w:pPr>
            <w:r>
              <w:t xml:space="preserve">Yes</w:t>
            </w:r>
          </w:p>
        </w:tc>
        <w:tc>
          <w:tcPr/>
          <w:p>
            <w:pPr>
              <w:pStyle w:val="Compact"/>
              <w:jc w:val="left"/>
            </w:pPr>
            <w:r>
              <w:t xml:space="preserve">Subtle</w:t>
            </w:r>
          </w:p>
        </w:tc>
      </w:tr>
      <w:tr>
        <w:tc>
          <w:tcPr/>
          <w:p>
            <w:pPr>
              <w:pStyle w:val="Compact"/>
              <w:jc w:val="left"/>
            </w:pPr>
            <w:r>
              <w:t xml:space="preserve">Disgust</w:t>
            </w:r>
          </w:p>
        </w:tc>
        <w:tc>
          <w:tcPr/>
          <w:p>
            <w:pPr>
              <w:pStyle w:val="Compact"/>
              <w:jc w:val="left"/>
            </w:pPr>
            <w:r>
              <w:t xml:space="preserve">Redirect</w:t>
            </w:r>
          </w:p>
        </w:tc>
        <w:tc>
          <w:tcPr/>
          <w:p>
            <w:pPr>
              <w:pStyle w:val="Compact"/>
              <w:jc w:val="left"/>
            </w:pPr>
            <w:r>
              <w:t xml:space="preserve">No</w:t>
            </w:r>
          </w:p>
        </w:tc>
        <w:tc>
          <w:tcPr/>
          <w:p>
            <w:pPr>
              <w:pStyle w:val="Compact"/>
              <w:jc w:val="left"/>
            </w:pPr>
            <w:r>
              <w:t xml:space="preserve">Yes</w:t>
            </w:r>
          </w:p>
        </w:tc>
        <w:tc>
          <w:tcPr/>
          <w:p>
            <w:pPr>
              <w:pStyle w:val="Compact"/>
              <w:jc w:val="left"/>
            </w:pPr>
            <w:r>
              <w:t xml:space="preserve">Minimal</w:t>
            </w:r>
          </w:p>
        </w:tc>
      </w:tr>
      <w:tr>
        <w:tc>
          <w:tcPr/>
          <w:p>
            <w:pPr>
              <w:pStyle w:val="Compact"/>
              <w:jc w:val="left"/>
            </w:pPr>
            <w:r>
              <w:t xml:space="preserve">Contempt</w:t>
            </w:r>
          </w:p>
        </w:tc>
        <w:tc>
          <w:tcPr/>
          <w:p>
            <w:pPr>
              <w:pStyle w:val="Compact"/>
              <w:jc w:val="left"/>
            </w:pPr>
            <w:r>
              <w:t xml:space="preserve">Engage curiously</w:t>
            </w:r>
          </w:p>
        </w:tc>
        <w:tc>
          <w:tcPr/>
          <w:p>
            <w:pPr>
              <w:pStyle w:val="Compact"/>
              <w:jc w:val="left"/>
            </w:pPr>
            <w:r>
              <w:t xml:space="preserve">Yes</w:t>
            </w:r>
          </w:p>
        </w:tc>
        <w:tc>
          <w:tcPr/>
          <w:p>
            <w:pPr>
              <w:pStyle w:val="Compact"/>
              <w:jc w:val="left"/>
            </w:pPr>
            <w:r>
              <w:t xml:space="preserve">No</w:t>
            </w:r>
          </w:p>
        </w:tc>
        <w:tc>
          <w:tcPr/>
          <w:p>
            <w:pPr>
              <w:pStyle w:val="Compact"/>
              <w:jc w:val="left"/>
            </w:pPr>
            <w:r>
              <w:t xml:space="preserve">Minimal</w:t>
            </w:r>
          </w:p>
        </w:tc>
      </w:tr>
      <w:tr>
        <w:tc>
          <w:tcPr/>
          <w:p>
            <w:pPr>
              <w:pStyle w:val="Compact"/>
              <w:jc w:val="left"/>
            </w:pPr>
            <w:r>
              <w:t xml:space="preserve">Surprise</w:t>
            </w:r>
          </w:p>
        </w:tc>
        <w:tc>
          <w:tcPr/>
          <w:p>
            <w:pPr>
              <w:pStyle w:val="Compact"/>
              <w:jc w:val="left"/>
            </w:pPr>
            <w:r>
              <w:t xml:space="preserve">Match and explore</w:t>
            </w:r>
          </w:p>
        </w:tc>
        <w:tc>
          <w:tcPr/>
          <w:p>
            <w:pPr>
              <w:pStyle w:val="Compact"/>
              <w:jc w:val="left"/>
            </w:pPr>
            <w:r>
              <w:t xml:space="preserve">No</w:t>
            </w:r>
          </w:p>
        </w:tc>
        <w:tc>
          <w:tcPr/>
          <w:p>
            <w:pPr>
              <w:pStyle w:val="Compact"/>
              <w:jc w:val="left"/>
            </w:pPr>
            <w:r>
              <w:t xml:space="preserve">No</w:t>
            </w:r>
          </w:p>
        </w:tc>
        <w:tc>
          <w:tcPr/>
          <w:p>
            <w:pPr>
              <w:pStyle w:val="Compact"/>
              <w:jc w:val="left"/>
            </w:pPr>
            <w:r>
              <w:t xml:space="preserve">Moderate</w:t>
            </w:r>
          </w:p>
        </w:tc>
      </w:tr>
    </w:tbl>
    <w:bookmarkEnd w:id="105"/>
    <w:bookmarkStart w:id="106" w:name="domain-adaptation-techniques-priority-5"/>
    <w:p>
      <w:pPr>
        <w:pStyle w:val="Heading3"/>
      </w:pPr>
      <w:r>
        <w:t xml:space="preserve">9.5 Domain Adaptation Techniques (Priority 5)</w:t>
      </w:r>
    </w:p>
    <w:p>
      <w:pPr>
        <w:pStyle w:val="FirstParagraph"/>
      </w:pPr>
      <w:r>
        <w:t xml:space="preserve">Several domain adaptation techniques could further close the synthetic-to-real gap:</w:t>
      </w:r>
    </w:p>
    <w:p>
      <w:pPr>
        <w:pStyle w:val="BodyText"/>
      </w:pPr>
      <w:r>
        <w:rPr>
          <w:bCs/>
          <w:b/>
        </w:rPr>
        <w:t xml:space="preserve">Adversarial domain adaptation</w:t>
      </w:r>
      <w:r>
        <w:t xml:space="preserve"> </w:t>
      </w:r>
      <w:r>
        <w:t xml:space="preserve">(Ganin &amp; Lempitsky, 2015): Adding a domain discriminator head that learns to distinguish synthetic from real features, while the backbone is trained to fool the discriminator. This encourages the backbone to learn domain-invariant representations.</w:t>
      </w:r>
    </w:p>
    <w:p>
      <w:pPr>
        <w:pStyle w:val="BodyText"/>
      </w:pPr>
      <w:r>
        <w:rPr>
          <w:bCs/>
          <w:b/>
        </w:rPr>
        <w:t xml:space="preserve">Style transfer preprocessing</w:t>
      </w:r>
      <w:r>
        <w:t xml:space="preserve"> </w:t>
      </w:r>
      <w:r>
        <w:t xml:space="preserve">(Huang &amp; Belongie, 2017): Applying neural style transfer to make synthetic training images visually resemble real photographs before training, reducing the visual domain gap at the input level.</w:t>
      </w:r>
    </w:p>
    <w:p>
      <w:pPr>
        <w:pStyle w:val="BodyText"/>
      </w:pPr>
      <w:r>
        <w:rPr>
          <w:bCs/>
          <w:b/>
        </w:rPr>
        <w:t xml:space="preserve">Self-supervised pre-training on unlabeled real data:</w:t>
      </w:r>
      <w:r>
        <w:t xml:space="preserve"> </w:t>
      </w:r>
      <w:r>
        <w:t xml:space="preserve">Using unlabeled real video from Reachy’s camera for contrastive self-supervised learning (Chen et al., 2020), then fine-tuning on labeled synthetic data. This allows the model to learn real-world visual statistics without requiring labeled real data.</w:t>
      </w:r>
    </w:p>
    <w:bookmarkEnd w:id="106"/>
    <w:bookmarkStart w:id="107" w:name="continuous-learning-and-personalization"/>
    <w:p>
      <w:pPr>
        <w:pStyle w:val="Heading3"/>
      </w:pPr>
      <w:r>
        <w:t xml:space="preserve">9.6 Continuous Learning and Personalization</w:t>
      </w:r>
    </w:p>
    <w:p>
      <w:pPr>
        <w:pStyle w:val="FirstParagraph"/>
      </w:pPr>
      <w:r>
        <w:t xml:space="preserve">In the longer term, the system could incorporate user-specific adaptation:</w:t>
      </w:r>
    </w:p>
    <w:p>
      <w:pPr>
        <w:numPr>
          <w:ilvl w:val="0"/>
          <w:numId w:val="1019"/>
        </w:numPr>
        <w:pStyle w:val="Compact"/>
      </w:pPr>
      <w:r>
        <w:rPr>
          <w:bCs/>
          <w:b/>
        </w:rPr>
        <w:t xml:space="preserve">Online calibration:</w:t>
      </w:r>
      <w:r>
        <w:t xml:space="preserve"> </w:t>
      </w:r>
      <w:r>
        <w:t xml:space="preserve">Adjusting confidence thresholds based on a specific user’s expression patterns over time.</w:t>
      </w:r>
    </w:p>
    <w:p>
      <w:pPr>
        <w:numPr>
          <w:ilvl w:val="0"/>
          <w:numId w:val="1019"/>
        </w:numPr>
        <w:pStyle w:val="Compact"/>
      </w:pPr>
      <w:r>
        <w:rPr>
          <w:bCs/>
          <w:b/>
        </w:rPr>
        <w:t xml:space="preserve">Few-shot personalization:</w:t>
      </w:r>
      <w:r>
        <w:t xml:space="preserve"> </w:t>
      </w:r>
      <w:r>
        <w:t xml:space="preserve">Allowing users to provide a small number of labeled examples of their own expressions to fine-tune the model’s decision boundaries.</w:t>
      </w:r>
    </w:p>
    <w:p>
      <w:pPr>
        <w:numPr>
          <w:ilvl w:val="0"/>
          <w:numId w:val="1019"/>
        </w:numPr>
        <w:pStyle w:val="Compact"/>
      </w:pPr>
      <w:r>
        <w:rPr>
          <w:bCs/>
          <w:b/>
        </w:rPr>
        <w:t xml:space="preserve">Feedback-based learning:</w:t>
      </w:r>
      <w:r>
        <w:t xml:space="preserve"> </w:t>
      </w:r>
      <w:r>
        <w:t xml:space="preserve">Using implicit user feedback (e.g., whether the user corrects the robot’s emotional response) to identify and correct systematic misclassifications.</w:t>
      </w:r>
    </w:p>
    <w:p>
      <w:pPr>
        <w:pStyle w:val="FirstParagraph"/>
      </w:pPr>
      <w:r>
        <w:t xml:space="preserve">These capabilities would require careful privacy considerations, as they involve storing per-user expression data on the local system.</w:t>
      </w:r>
    </w:p>
    <w:bookmarkEnd w:id="107"/>
    <w:bookmarkStart w:id="108" w:name="fairness-evaluation"/>
    <w:p>
      <w:pPr>
        <w:pStyle w:val="Heading3"/>
      </w:pPr>
      <w:r>
        <w:t xml:space="preserve">9.7 Fairness Evaluation</w:t>
      </w:r>
    </w:p>
    <w:p>
      <w:pPr>
        <w:pStyle w:val="FirstParagraph"/>
      </w:pPr>
      <w:r>
        <w:t xml:space="preserve">A dedicated fairness audit is needed to evaluate model performance across demographic groups (age, gender, ethnicity, skin tone). The current evaluation does not disaggregate results by demographic category. Tools like FairFace (Kärkkäinen &amp; Joo, 2021) could be used to annotate test images with demographic attributes and compute group-conditional metrics.</w:t>
      </w:r>
    </w:p>
    <w:p>
      <w:r>
        <w:pict>
          <v:rect style="width:0;height:1.5pt" o:hralign="center" o:hrstd="t" o:hr="t"/>
        </w:pict>
      </w:r>
    </w:p>
    <w:bookmarkEnd w:id="108"/>
    <w:bookmarkEnd w:id="109"/>
    <w:bookmarkStart w:id="117" w:name="Xe6f6fb27dd3faa7668af6fe10ee41b51f94d257"/>
    <w:p>
      <w:pPr>
        <w:pStyle w:val="Heading2"/>
      </w:pPr>
      <w:r>
        <w:t xml:space="preserve">Chapter 10: Reflections on the Data Science Project</w:t>
      </w:r>
    </w:p>
    <w:p>
      <w:pPr>
        <w:pStyle w:val="FirstParagraph"/>
      </w:pPr>
      <w:r>
        <w:t xml:space="preserve">This chapter offers reflections on the engineering and scientific decisions made throughout the project, lessons learned from the development process, and observations on the broader practice of applied machine learning for social robotics. These reflections are intended to provide insight into the practical realities of building an end-to-end emotion recognition system — challenges that are often omitted from research papers focused on model performance alone.</w:t>
      </w:r>
    </w:p>
    <w:bookmarkStart w:id="110" w:name="X905f8f8f4066f79afc5fd9a1bc65662e0578841"/>
    <w:p>
      <w:pPr>
        <w:pStyle w:val="Heading3"/>
      </w:pPr>
      <w:r>
        <w:t xml:space="preserve">10.1 The Unexpected Importance of Preprocessing</w:t>
      </w:r>
    </w:p>
    <w:p>
      <w:pPr>
        <w:pStyle w:val="FirstParagraph"/>
      </w:pPr>
      <w:r>
        <w:t xml:space="preserve">Perhaps the most significant lesson from this project is that the single most impactful improvement to model performance came not from architectural innovation, hyperparameter tuning, or larger datasets, but from a preprocessing decision: enabling face cropping during frame extraction.</w:t>
      </w:r>
    </w:p>
    <w:p>
      <w:pPr>
        <w:pStyle w:val="BodyText"/>
      </w:pPr>
      <w:r>
        <w:t xml:space="preserve">The transition from run_0104 (no face crop, F1 ≈ 0.43) to run_0107 (with face crop, F1 ≈ 0.78) represents an 82% improvement in test F1 — more than any model change, training strategy, or hyperparameter sweep achieved. This finding is humbling: it suggests that in applied ML, the data pipeline is often more important than the model itself. The 90-trial hyperparameter sweep for Variant 2 consumed approximately 26 hours of GPU time and produced a model with nearly identical real-world performance to Variant 1, which was trained in approximately 2 hours. Meanwhile, a single boolean flag in the frame extraction code (</w:t>
      </w:r>
      <w:r>
        <w:rPr>
          <w:rStyle w:val="VerbatimChar"/>
        </w:rPr>
        <w:t xml:space="preserve">face_crop=True</w:t>
      </w:r>
      <w:r>
        <w:t xml:space="preserve">) doubled test performance.</w:t>
      </w:r>
    </w:p>
    <w:p>
      <w:pPr>
        <w:pStyle w:val="BodyText"/>
      </w:pPr>
      <w:r>
        <w:t xml:space="preserve">This experience reinforces the</w:t>
      </w:r>
      <w:r>
        <w:t xml:space="preserve"> </w:t>
      </w:r>
      <w:r>
        <w:t xml:space="preserve">“</w:t>
      </w:r>
      <w:r>
        <w:t xml:space="preserve">data-centric AI</w:t>
      </w:r>
      <w:r>
        <w:t xml:space="preserve">”</w:t>
      </w:r>
      <w:r>
        <w:t xml:space="preserve"> </w:t>
      </w:r>
      <w:r>
        <w:t xml:space="preserve">perspective advocated by Ng (2021): for many practical problems, improving data quality and preprocessing yields higher returns than improving model architecture. In our case, the</w:t>
      </w:r>
      <w:r>
        <w:t xml:space="preserve"> </w:t>
      </w:r>
      <w:r>
        <w:t xml:space="preserve">“</w:t>
      </w:r>
      <w:r>
        <w:t xml:space="preserve">data quality</w:t>
      </w:r>
      <w:r>
        <w:t xml:space="preserve">”</w:t>
      </w:r>
      <w:r>
        <w:t xml:space="preserve"> </w:t>
      </w:r>
      <w:r>
        <w:t xml:space="preserve">improvement was ensuring that the training images matched the evaluation domain (cropped faces) rather than containing domain-specific artifacts (synthetic backgrounds).</w:t>
      </w:r>
    </w:p>
    <w:bookmarkEnd w:id="110"/>
    <w:bookmarkStart w:id="111" w:name="X1a5eade8d20b310cc23035ad92ad1ba18a1793a"/>
    <w:p>
      <w:pPr>
        <w:pStyle w:val="Heading3"/>
      </w:pPr>
      <w:r>
        <w:t xml:space="preserve">10.2 The Value of Systematic Decision Frameworks</w:t>
      </w:r>
    </w:p>
    <w:p>
      <w:pPr>
        <w:pStyle w:val="FirstParagraph"/>
      </w:pPr>
      <w:r>
        <w:t xml:space="preserve">The deployment decision between V1 and V2 could have been made informally — both variants have similar overall F1, and a quick glance at the numbers might have led to deploying V2 based on its higher accuracy and calibration scores. The systematic framework (per-class analysis, Wilson confidence intervals, z-tests, CV analysis, gate compliance) revealed that this intuitive decision would have been wrong.</w:t>
      </w:r>
    </w:p>
    <w:p>
      <w:pPr>
        <w:pStyle w:val="BodyText"/>
      </w:pPr>
      <w:r>
        <w:t xml:space="preserve">The gate framework served as an institutional safeguard against</w:t>
      </w:r>
      <w:r>
        <w:t xml:space="preserve"> </w:t>
      </w:r>
      <w:r>
        <w:t xml:space="preserve">“</w:t>
      </w:r>
      <w:r>
        <w:t xml:space="preserve">metric cherry-picking</w:t>
      </w:r>
      <w:r>
        <w:t xml:space="preserve">”</w:t>
      </w:r>
      <w:r>
        <w:t xml:space="preserve"> </w:t>
      </w:r>
      <w:r>
        <w:t xml:space="preserve">— the tendency to select the metric that makes the preferred model look best. By establishing hard constraints on per-class performance</w:t>
      </w:r>
      <w:r>
        <w:t xml:space="preserve"> </w:t>
      </w:r>
      <w:r>
        <w:rPr>
          <w:iCs/>
          <w:i/>
        </w:rPr>
        <w:t xml:space="preserve">before</w:t>
      </w:r>
      <w:r>
        <w:t xml:space="preserve"> </w:t>
      </w:r>
      <w:r>
        <w:t xml:space="preserve">seeing the results, the framework ensures that deployment decisions are governed by predefined criteria rather than post-hoc rationalization.</w:t>
      </w:r>
    </w:p>
    <w:p>
      <w:pPr>
        <w:pStyle w:val="BodyText"/>
      </w:pPr>
      <w:r>
        <w:t xml:space="preserve">This experience suggests that MLOps quality gates should be defined and agreed upon</w:t>
      </w:r>
      <w:r>
        <w:t xml:space="preserve"> </w:t>
      </w:r>
      <w:r>
        <w:rPr>
          <w:iCs/>
          <w:i/>
        </w:rPr>
        <w:t xml:space="preserve">before</w:t>
      </w:r>
      <w:r>
        <w:t xml:space="preserve"> </w:t>
      </w:r>
      <w:r>
        <w:t xml:space="preserve">model evaluation begins, not after. The gates should include both global metrics (to ensure baseline competence) and per-class metrics (to prevent systematic blind spots). The two-tier architecture (Gate A-val for training quality, Gate A-deploy for deployment readiness) adds an additional layer of protection against domain shift.</w:t>
      </w:r>
    </w:p>
    <w:bookmarkEnd w:id="111"/>
    <w:bookmarkStart w:id="112" w:name="the-cost-of-synthetic-data"/>
    <w:p>
      <w:pPr>
        <w:pStyle w:val="Heading3"/>
      </w:pPr>
      <w:r>
        <w:t xml:space="preserve">10.3 The Cost of Synthetic Data</w:t>
      </w:r>
    </w:p>
    <w:p>
      <w:pPr>
        <w:pStyle w:val="FirstParagraph"/>
      </w:pPr>
      <w:r>
        <w:t xml:space="preserve">Training exclusively on synthetic data was a deliberate architectural choice driven by the privacy-first mandate and the practical difficulty of obtaining large labeled datasets of real emotional expressions. The approach succeeded in producing a deployable model (V1 passes all gates), but at the cost of a 22% generalization gap and the inability to leverage the full quality of the pre-trained backbone.</w:t>
      </w:r>
    </w:p>
    <w:p>
      <w:pPr>
        <w:pStyle w:val="BodyText"/>
      </w:pPr>
      <w:r>
        <w:t xml:space="preserve">The base model (HSEmotion, F1 = 0.926 on the same test set) demonstrates what is achievable with real-data pre-training. The 14.5 percentage point gap between the base model and V1 (0.926 vs. 0.781) represents the</w:t>
      </w:r>
      <w:r>
        <w:t xml:space="preserve"> </w:t>
      </w:r>
      <w:r>
        <w:t xml:space="preserve">“</w:t>
      </w:r>
      <w:r>
        <w:t xml:space="preserve">price</w:t>
      </w:r>
      <w:r>
        <w:t xml:space="preserve">”</w:t>
      </w:r>
      <w:r>
        <w:t xml:space="preserve"> </w:t>
      </w:r>
      <w:r>
        <w:t xml:space="preserve">of synthetic-only training. This price is significant but may be acceptable given the privacy and practical constraints of the deployment context.</w:t>
      </w:r>
    </w:p>
    <w:p>
      <w:pPr>
        <w:pStyle w:val="BodyText"/>
      </w:pPr>
      <w:r>
        <w:t xml:space="preserve">A key insight is that synthetic data is not a substitute for real data — it is a</w:t>
      </w:r>
      <w:r>
        <w:t xml:space="preserve"> </w:t>
      </w:r>
      <w:r>
        <w:rPr>
          <w:iCs/>
          <w:i/>
        </w:rPr>
        <w:t xml:space="preserve">complement</w:t>
      </w:r>
      <w:r>
        <w:t xml:space="preserve">. The face cropping discovery shows that the synthetic data contains useful signal (facial expressions) embedded in misleading context (synthetic backgrounds). Extracting the signal while removing the noise requires careful preprocessing, and the resulting models still fall short of real-data-trained baselines.</w:t>
      </w:r>
    </w:p>
    <w:bookmarkEnd w:id="112"/>
    <w:bookmarkStart w:id="113" w:name="Xcf621a45d7a190d361dbdf8b72d3a4523031c46"/>
    <w:p>
      <w:pPr>
        <w:pStyle w:val="Heading3"/>
      </w:pPr>
      <w:r>
        <w:t xml:space="preserve">10.4 Agent-Based Orchestration: Benefits and Complexity</w:t>
      </w:r>
    </w:p>
    <w:p>
      <w:pPr>
        <w:pStyle w:val="FirstParagraph"/>
      </w:pPr>
      <w:r>
        <w:t xml:space="preserve">The 10-agent n8n orchestration system provides significant benefits for reproducibility, auditability, and operational safety. Every model artifact — from training data hash to checkpoint to deployment configuration — is tracked through a chain of agent actions, enabling full provenance and rollback capability.</w:t>
      </w:r>
    </w:p>
    <w:p>
      <w:pPr>
        <w:pStyle w:val="BodyText"/>
      </w:pPr>
      <w:r>
        <w:t xml:space="preserve">However, this architecture introduces substantial complexity. The system comprises 10 separate n8n workflows, a FastAPI backend, a PostgreSQL database, a Streamlit frontend, an MLflow server, and a Jetson edge device — all of which must be kept in sync. Debugging failures that span multiple agents requires tracing event chains across system boundaries, and the latency of inter-agent communication adds overhead to operations that could be performed more quickly by a monolithic script.</w:t>
      </w:r>
    </w:p>
    <w:p>
      <w:pPr>
        <w:pStyle w:val="BodyText"/>
      </w:pPr>
      <w:r>
        <w:t xml:space="preserve">The trade-off is worthwhile for a production system where auditability and safety are paramount, but may be over-engineered for research prototyping. A pragmatic approach is to develop and iterate using simple scripts, then wrap the mature pipeline in the agent framework for production deployment.</w:t>
      </w:r>
    </w:p>
    <w:bookmarkEnd w:id="113"/>
    <w:bookmarkStart w:id="114" w:name="Xb5adb2a1d3b442141759b48ad4437e9ef1cba44"/>
    <w:p>
      <w:pPr>
        <w:pStyle w:val="Heading3"/>
      </w:pPr>
      <w:r>
        <w:t xml:space="preserve">10.5 The Statistical Analysis as a Teaching Tool</w:t>
      </w:r>
    </w:p>
    <w:p>
      <w:pPr>
        <w:pStyle w:val="FirstParagraph"/>
      </w:pPr>
      <w:r>
        <w:t xml:space="preserve">The comprehensive statistical analysis presented in Chapter 7 — Wilson confidence intervals, z-tests, Cohen’s kappa, NMI, CV analysis, generalization gap quantification — serves a dual purpose. First, it provides rigorous evidence for the deployment decision. Second, and perhaps more importantly, it demonstrates that</w:t>
      </w:r>
      <w:r>
        <w:t xml:space="preserve"> </w:t>
      </w:r>
      <w:r>
        <w:rPr>
          <w:iCs/>
          <w:i/>
        </w:rPr>
        <w:t xml:space="preserve">different statistical measures tell different stories about the same data</w:t>
      </w:r>
      <w:r>
        <w:t xml:space="preserve">.</w:t>
      </w:r>
    </w:p>
    <w:p>
      <w:pPr>
        <w:pStyle w:val="BodyText"/>
      </w:pPr>
      <w:r>
        <w:t xml:space="preserve">Global metrics (κ, NMI, accuracy) consistently favor V2. Class-specific metrics (per-class F1, CV, gate compliance) consistently favor V1. This discrepancy is not a flaw in the analysis — it is the</w:t>
      </w:r>
      <w:r>
        <w:t xml:space="preserve"> </w:t>
      </w:r>
      <w:r>
        <w:rPr>
          <w:iCs/>
          <w:i/>
        </w:rPr>
        <w:t xml:space="preserve">central insight</w:t>
      </w:r>
      <w:r>
        <w:t xml:space="preserve">. Each metric captures a different aspect of model quality, and the deployment decision requires understanding which aspects matter most for the application context.</w:t>
      </w:r>
    </w:p>
    <w:p>
      <w:pPr>
        <w:pStyle w:val="BodyText"/>
      </w:pPr>
      <w:r>
        <w:t xml:space="preserve">The R scripts developed for this analysis (</w:t>
      </w:r>
      <w:r>
        <w:rPr>
          <w:rStyle w:val="VerbatimChar"/>
        </w:rPr>
        <w:t xml:space="preserve">01_quality_gate_metrics.R</w:t>
      </w:r>
      <w:r>
        <w:t xml:space="preserve">,</w:t>
      </w:r>
      <w:r>
        <w:t xml:space="preserve"> </w:t>
      </w:r>
      <w:r>
        <w:rPr>
          <w:rStyle w:val="VerbatimChar"/>
        </w:rPr>
        <w:t xml:space="preserve">02_stuart_maxwell_test.R</w:t>
      </w:r>
      <w:r>
        <w:t xml:space="preserve">,</w:t>
      </w:r>
      <w:r>
        <w:t xml:space="preserve"> </w:t>
      </w:r>
      <w:r>
        <w:rPr>
          <w:rStyle w:val="VerbatimChar"/>
        </w:rPr>
        <w:t xml:space="preserve">03_perclass_paired_ttests.R</w:t>
      </w:r>
      <w:r>
        <w:t xml:space="preserve">) are reusable tools for future model evaluations, ensuring that the same rigorous framework is applied to every candidate model.</w:t>
      </w:r>
    </w:p>
    <w:bookmarkEnd w:id="114"/>
    <w:bookmarkStart w:id="115" w:name="X4da31e06c3d771e2b10b62062b6f5c173f69157"/>
    <w:p>
      <w:pPr>
        <w:pStyle w:val="Heading3"/>
      </w:pPr>
      <w:r>
        <w:t xml:space="preserve">10.6 Privacy-First Architecture: Constraints as Features</w:t>
      </w:r>
    </w:p>
    <w:p>
      <w:pPr>
        <w:pStyle w:val="FirstParagraph"/>
      </w:pPr>
      <w:r>
        <w:t xml:space="preserve">The privacy-first mandate — no raw video leaves the local network — was initially viewed as a constraint that limited architectural choices (no cloud inference, no federated learning, no crowd-sourced labeling). In practice, this constraint produced a simpler, more robust system:</w:t>
      </w:r>
    </w:p>
    <w:p>
      <w:pPr>
        <w:numPr>
          <w:ilvl w:val="0"/>
          <w:numId w:val="1020"/>
        </w:numPr>
        <w:pStyle w:val="Compact"/>
      </w:pPr>
      <w:r>
        <w:rPr>
          <w:bCs/>
          <w:b/>
        </w:rPr>
        <w:t xml:space="preserve">Lower latency:</w:t>
      </w:r>
      <w:r>
        <w:t xml:space="preserve"> </w:t>
      </w:r>
      <w:r>
        <w:t xml:space="preserve">Local inference eliminates network round-trip time to cloud services.</w:t>
      </w:r>
    </w:p>
    <w:p>
      <w:pPr>
        <w:numPr>
          <w:ilvl w:val="0"/>
          <w:numId w:val="1020"/>
        </w:numPr>
        <w:pStyle w:val="Compact"/>
      </w:pPr>
      <w:r>
        <w:rPr>
          <w:bCs/>
          <w:b/>
        </w:rPr>
        <w:t xml:space="preserve">Higher availability:</w:t>
      </w:r>
      <w:r>
        <w:t xml:space="preserve"> </w:t>
      </w:r>
      <w:r>
        <w:t xml:space="preserve">The system operates independently of internet connectivity.</w:t>
      </w:r>
    </w:p>
    <w:p>
      <w:pPr>
        <w:numPr>
          <w:ilvl w:val="0"/>
          <w:numId w:val="1020"/>
        </w:numPr>
        <w:pStyle w:val="Compact"/>
      </w:pPr>
      <w:r>
        <w:rPr>
          <w:bCs/>
          <w:b/>
        </w:rPr>
        <w:t xml:space="preserve">Simpler compliance:</w:t>
      </w:r>
      <w:r>
        <w:t xml:space="preserve"> </w:t>
      </w:r>
      <w:r>
        <w:t xml:space="preserve">Data minimization is enforced by architecture, not by policy.</w:t>
      </w:r>
    </w:p>
    <w:p>
      <w:pPr>
        <w:numPr>
          <w:ilvl w:val="0"/>
          <w:numId w:val="1020"/>
        </w:numPr>
        <w:pStyle w:val="Compact"/>
      </w:pPr>
      <w:r>
        <w:rPr>
          <w:bCs/>
          <w:b/>
        </w:rPr>
        <w:t xml:space="preserve">User trust:</w:t>
      </w:r>
      <w:r>
        <w:t xml:space="preserve"> </w:t>
      </w:r>
      <w:r>
        <w:t xml:space="preserve">Users can interact with the robot knowing that their facial data is not transmitted externally.</w:t>
      </w:r>
    </w:p>
    <w:p>
      <w:pPr>
        <w:pStyle w:val="FirstParagraph"/>
      </w:pPr>
      <w:r>
        <w:t xml:space="preserve">The privacy mandate also forced the adoption of edge inference (Jetson Xavier NX), which proved to be a highly effective deployment platform. The combination of TensorRT optimization and DeepStream pipeline management provides performance that meets real-time requirements within a tight power and memory budget.</w:t>
      </w:r>
    </w:p>
    <w:bookmarkEnd w:id="115"/>
    <w:bookmarkStart w:id="116" w:name="lessons-for-future-projects"/>
    <w:p>
      <w:pPr>
        <w:pStyle w:val="Heading3"/>
      </w:pPr>
      <w:r>
        <w:t xml:space="preserve">10.7 Lessons for Future Projects</w:t>
      </w:r>
    </w:p>
    <w:p>
      <w:pPr>
        <w:pStyle w:val="FirstParagraph"/>
      </w:pPr>
      <w:r>
        <w:t xml:space="preserve">Several lessons from this project are applicable to future applied ML endeavors:</w:t>
      </w:r>
    </w:p>
    <w:p>
      <w:pPr>
        <w:numPr>
          <w:ilvl w:val="0"/>
          <w:numId w:val="1021"/>
        </w:numPr>
      </w:pPr>
      <w:r>
        <w:rPr>
          <w:bCs/>
          <w:b/>
        </w:rPr>
        <w:t xml:space="preserve">Start with the data pipeline, not the model.</w:t>
      </w:r>
      <w:r>
        <w:t xml:space="preserve"> </w:t>
      </w:r>
      <w:r>
        <w:t xml:space="preserve">The face cropping discovery would have saved weeks of model experimentation if identified earlier. Validating that training data matches the deployment domain should be the first step, not an afterthought.</w:t>
      </w:r>
    </w:p>
    <w:p>
      <w:pPr>
        <w:numPr>
          <w:ilvl w:val="0"/>
          <w:numId w:val="1021"/>
        </w:numPr>
      </w:pPr>
      <w:r>
        <w:rPr>
          <w:bCs/>
          <w:b/>
        </w:rPr>
        <w:t xml:space="preserve">Define quality gates before evaluation.</w:t>
      </w:r>
      <w:r>
        <w:t xml:space="preserve"> </w:t>
      </w:r>
      <w:r>
        <w:t xml:space="preserve">Establishing pass/fail criteria before seeing results prevents post-hoc rationalization and ensures consistent decision-making across iterations.</w:t>
      </w:r>
    </w:p>
    <w:p>
      <w:pPr>
        <w:numPr>
          <w:ilvl w:val="0"/>
          <w:numId w:val="1021"/>
        </w:numPr>
      </w:pPr>
      <w:r>
        <w:rPr>
          <w:bCs/>
          <w:b/>
        </w:rPr>
        <w:t xml:space="preserve">Measure per-class performance, not just aggregates.</w:t>
      </w:r>
      <w:r>
        <w:t xml:space="preserve"> </w:t>
      </w:r>
      <w:r>
        <w:t xml:space="preserve">Aggregate metrics conceal critical disparities, especially in imbalanced classification problems. Per-class analysis is essential for any application where errors have class-dependent consequences.</w:t>
      </w:r>
    </w:p>
    <w:p>
      <w:pPr>
        <w:numPr>
          <w:ilvl w:val="0"/>
          <w:numId w:val="1021"/>
        </w:numPr>
      </w:pPr>
      <w:r>
        <w:rPr>
          <w:bCs/>
          <w:b/>
        </w:rPr>
        <w:t xml:space="preserve">Invest in infrastructure for reproducibility.</w:t>
      </w:r>
      <w:r>
        <w:t xml:space="preserve"> </w:t>
      </w:r>
      <w:r>
        <w:t xml:space="preserve">The agent orchestration system, version-controlled dashboard payloads, and MLflow experiment tracking provide a complete audit trail that makes every result reproducible. This infrastructure investment pays dividends over the lifetime of the project.</w:t>
      </w:r>
    </w:p>
    <w:p>
      <w:pPr>
        <w:numPr>
          <w:ilvl w:val="0"/>
          <w:numId w:val="1021"/>
        </w:numPr>
      </w:pPr>
      <w:r>
        <w:rPr>
          <w:bCs/>
          <w:b/>
        </w:rPr>
        <w:t xml:space="preserve">Consider error consequences, not just error rates.</w:t>
      </w:r>
      <w:r>
        <w:t xml:space="preserve"> </w:t>
      </w:r>
      <w:r>
        <w:t xml:space="preserve">In human-facing applications, the</w:t>
      </w:r>
      <w:r>
        <w:t xml:space="preserve"> </w:t>
      </w:r>
      <w:r>
        <w:rPr>
          <w:iCs/>
          <w:i/>
        </w:rPr>
        <w:t xml:space="preserve">impact</w:t>
      </w:r>
      <w:r>
        <w:t xml:space="preserve"> </w:t>
      </w:r>
      <w:r>
        <w:t xml:space="preserve">of each error type matters as much as its frequency. A 33% happy → neutral error rate is more tolerable than a 35% neutral → sad error rate, despite similar magnitudes, because the downstream behavioral consequences differ dramatically.</w:t>
      </w:r>
    </w:p>
    <w:p>
      <w:pPr>
        <w:numPr>
          <w:ilvl w:val="0"/>
          <w:numId w:val="1021"/>
        </w:numPr>
      </w:pPr>
      <w:r>
        <w:rPr>
          <w:bCs/>
          <w:b/>
        </w:rPr>
        <w:t xml:space="preserve">Frozen backbones are a strong baseline for cross-domain transfer.</w:t>
      </w:r>
      <w:r>
        <w:t xml:space="preserve"> </w:t>
      </w:r>
      <w:r>
        <w:t xml:space="preserve">Before investing in expensive fine-tuning sweeps, verify that the simpler approach (feature extraction with a frozen backbone) doesn’t already meet deployment requirements. In our case, it did.</w:t>
      </w:r>
    </w:p>
    <w:p>
      <w:r>
        <w:pict>
          <v:rect style="width:0;height:1.5pt" o:hralign="center" o:hrstd="t" o:hr="t"/>
        </w:pict>
      </w:r>
    </w:p>
    <w:bookmarkEnd w:id="116"/>
    <w:bookmarkEnd w:id="117"/>
    <w:bookmarkStart w:id="118" w:name="references"/>
    <w:p>
      <w:pPr>
        <w:pStyle w:val="Heading2"/>
      </w:pPr>
      <w:r>
        <w:t xml:space="preserve">References</w:t>
      </w:r>
    </w:p>
    <w:p>
      <w:pPr>
        <w:pStyle w:val="FirstParagraph"/>
      </w:pPr>
      <w:r>
        <w:t xml:space="preserve">Agresti, A., &amp; Coull, B. A. (1998). Approximate is better than</w:t>
      </w:r>
      <w:r>
        <w:t xml:space="preserve"> </w:t>
      </w:r>
      <w:r>
        <w:t xml:space="preserve">“</w:t>
      </w:r>
      <w:r>
        <w:t xml:space="preserve">exact</w:t>
      </w:r>
      <w:r>
        <w:t xml:space="preserve">”</w:t>
      </w:r>
      <w:r>
        <w:t xml:space="preserve"> </w:t>
      </w:r>
      <w:r>
        <w:t xml:space="preserve">for interval estimation of binomial proportions.</w:t>
      </w:r>
      <w:r>
        <w:t xml:space="preserve"> </w:t>
      </w:r>
      <w:r>
        <w:rPr>
          <w:iCs/>
          <w:i/>
        </w:rPr>
        <w:t xml:space="preserve">The American Statistician</w:t>
      </w:r>
      <w:r>
        <w:t xml:space="preserve">, 52(2), 119–126. https://doi.org/10.1080/00031305.1998.10480550</w:t>
      </w:r>
    </w:p>
    <w:p>
      <w:pPr>
        <w:pStyle w:val="BodyText"/>
      </w:pPr>
      <w:r>
        <w:t xml:space="preserve">Apache Foundation. (2015). Apache Airflow. https://airflow.apache.org/</w:t>
      </w:r>
    </w:p>
    <w:p>
      <w:pPr>
        <w:pStyle w:val="BodyText"/>
      </w:pPr>
      <w:r>
        <w:t xml:space="preserve">Barrett, L. F., Adolphs, R., Marsella, S., Martinez, A. M., &amp; Pollak, S. D. (2019). Emotional expressions reconsidered: Challenges to inferring emotion from human facial movements.</w:t>
      </w:r>
      <w:r>
        <w:t xml:space="preserve"> </w:t>
      </w:r>
      <w:r>
        <w:rPr>
          <w:iCs/>
          <w:i/>
        </w:rPr>
        <w:t xml:space="preserve">Psychological Science in the Public Interest</w:t>
      </w:r>
      <w:r>
        <w:t xml:space="preserve">, 20(1), 1–68. https://doi.org/10.1177/1529100619832930</w:t>
      </w:r>
    </w:p>
    <w:p>
      <w:pPr>
        <w:pStyle w:val="BodyText"/>
      </w:pPr>
      <w:r>
        <w:t xml:space="preserve">Baylor, D., Breck, E., Cheng, H.-T., Fiedel, N., Foo, C. Y., Haque, Z., Haykal, S., Ispir, M., Jain, V., Koc, L., Koo, C. Y., Lew, L., Mewald, C., Modi, A. N., Polyzotis, N., Ramesh, S., Roy, S., Whang, S. E., Wicke, M., … Zinkevich, M. (2017). TFX: A TensorFlow-based production-scale machine learning platform. In</w:t>
      </w:r>
      <w:r>
        <w:t xml:space="preserve"> </w:t>
      </w:r>
      <w:r>
        <w:rPr>
          <w:iCs/>
          <w:i/>
        </w:rPr>
        <w:t xml:space="preserve">Proceedings of the 23rd ACM SIGKDD International Conference on Knowledge Discovery and Data Mining</w:t>
      </w:r>
      <w:r>
        <w:t xml:space="preserve"> </w:t>
      </w:r>
      <w:r>
        <w:t xml:space="preserve">(pp. 1387–1395). https://doi.org/10.1145/3097983.3098021</w:t>
      </w:r>
    </w:p>
    <w:p>
      <w:pPr>
        <w:pStyle w:val="BodyText"/>
      </w:pPr>
      <w:r>
        <w:t xml:space="preserve">Breazeal, C. (2003). Emotion and sociable humanoid robots.</w:t>
      </w:r>
      <w:r>
        <w:t xml:space="preserve"> </w:t>
      </w:r>
      <w:r>
        <w:rPr>
          <w:iCs/>
          <w:i/>
        </w:rPr>
        <w:t xml:space="preserve">International Journal of Human-Computer Studies</w:t>
      </w:r>
      <w:r>
        <w:t xml:space="preserve">, 59(1–2), 119–155. https://doi.org/10.1016/S1071-5819(03)00018-1</w:t>
      </w:r>
    </w:p>
    <w:p>
      <w:pPr>
        <w:pStyle w:val="BodyText"/>
      </w:pPr>
      <w:r>
        <w:t xml:space="preserve">Brown, L. D., Cai, T. T., &amp; DasGupta, A. (2001). Interval estimation for a binomial proportion.</w:t>
      </w:r>
      <w:r>
        <w:t xml:space="preserve"> </w:t>
      </w:r>
      <w:r>
        <w:rPr>
          <w:iCs/>
          <w:i/>
        </w:rPr>
        <w:t xml:space="preserve">Statistical Science</w:t>
      </w:r>
      <w:r>
        <w:t xml:space="preserve">, 16(2), 101–133. https://doi.org/10.1214/ss/1009213286</w:t>
      </w:r>
    </w:p>
    <w:p>
      <w:pPr>
        <w:pStyle w:val="BodyText"/>
      </w:pPr>
      <w:r>
        <w:t xml:space="preserve">Cavallo, F., Semeraro, F., Fiorini, L., Magyar, G., Sinčák, P., &amp; Dario, P. (2018). Emotion modelling for social robotics applications: A review.</w:t>
      </w:r>
      <w:r>
        <w:t xml:space="preserve"> </w:t>
      </w:r>
      <w:r>
        <w:rPr>
          <w:iCs/>
          <w:i/>
        </w:rPr>
        <w:t xml:space="preserve">Journal of Bionic Engineering</w:t>
      </w:r>
      <w:r>
        <w:t xml:space="preserve">, 15(2), 185–203. https://doi.org/10.1007/s42235-018-0015-y</w:t>
      </w:r>
    </w:p>
    <w:p>
      <w:pPr>
        <w:pStyle w:val="BodyText"/>
      </w:pPr>
      <w:r>
        <w:t xml:space="preserve">Chen, T., Kornblith, S., Norouzi, M., &amp; Hinton, G. (2020). A simple framework for contrastive learning of visual representations. In</w:t>
      </w:r>
      <w:r>
        <w:t xml:space="preserve"> </w:t>
      </w:r>
      <w:r>
        <w:rPr>
          <w:iCs/>
          <w:i/>
        </w:rPr>
        <w:t xml:space="preserve">Proceedings of the 37th International Conference on Machine Learning</w:t>
      </w:r>
      <w:r>
        <w:t xml:space="preserve"> </w:t>
      </w:r>
      <w:r>
        <w:t xml:space="preserve">(pp. 1597–1607).</w:t>
      </w:r>
    </w:p>
    <w:p>
      <w:pPr>
        <w:pStyle w:val="BodyText"/>
      </w:pPr>
      <w:r>
        <w:t xml:space="preserve">Churamani, N., Kalkan, S., &amp; Gunes, H. (2020). Continual learning for affective robotics: Why, what and how? In</w:t>
      </w:r>
      <w:r>
        <w:t xml:space="preserve"> </w:t>
      </w:r>
      <w:r>
        <w:rPr>
          <w:iCs/>
          <w:i/>
        </w:rPr>
        <w:t xml:space="preserve">2020 29th IEEE International Conference on Robot and Human Interactive Communication (RO-MAN)</w:t>
      </w:r>
      <w:r>
        <w:t xml:space="preserve"> </w:t>
      </w:r>
      <w:r>
        <w:t xml:space="preserve">(pp. 425–431). https://doi.org/10.1109/RO-MAN47096.2020.9223538</w:t>
      </w:r>
    </w:p>
    <w:p>
      <w:pPr>
        <w:pStyle w:val="BodyText"/>
      </w:pPr>
      <w:r>
        <w:t xml:space="preserve">Cohen, J. (1960). A coefficient of agreement for nominal scales.</w:t>
      </w:r>
      <w:r>
        <w:t xml:space="preserve"> </w:t>
      </w:r>
      <w:r>
        <w:rPr>
          <w:iCs/>
          <w:i/>
        </w:rPr>
        <w:t xml:space="preserve">Educational and Psychological Measurement</w:t>
      </w:r>
      <w:r>
        <w:t xml:space="preserve">, 20(1), 37–46. https://doi.org/10.1177/001316446002000104</w:t>
      </w:r>
    </w:p>
    <w:p>
      <w:pPr>
        <w:pStyle w:val="BodyText"/>
      </w:pPr>
      <w:r>
        <w:t xml:space="preserve">Crawford, K. (2021).</w:t>
      </w:r>
      <w:r>
        <w:t xml:space="preserve"> </w:t>
      </w:r>
      <w:r>
        <w:rPr>
          <w:iCs/>
          <w:i/>
        </w:rPr>
        <w:t xml:space="preserve">Atlas of AI: Power, politics, and the planetary costs of artificial intelligence</w:t>
      </w:r>
      <w:r>
        <w:t xml:space="preserve">. Yale University Press.</w:t>
      </w:r>
    </w:p>
    <w:p>
      <w:pPr>
        <w:pStyle w:val="BodyText"/>
      </w:pPr>
      <w:r>
        <w:t xml:space="preserve">Ekman, P. (1992). An argument for basic emotions.</w:t>
      </w:r>
      <w:r>
        <w:t xml:space="preserve"> </w:t>
      </w:r>
      <w:r>
        <w:rPr>
          <w:iCs/>
          <w:i/>
        </w:rPr>
        <w:t xml:space="preserve">Cognition &amp; Emotion</w:t>
      </w:r>
      <w:r>
        <w:t xml:space="preserve">, 6(3–4), 169–200. https://doi.org/10.1080/02699939208411068</w:t>
      </w:r>
    </w:p>
    <w:p>
      <w:pPr>
        <w:pStyle w:val="BodyText"/>
      </w:pPr>
      <w:r>
        <w:t xml:space="preserve">Ekman, P., &amp; Friesen, W. V. (1971). Constants across cultures in the face and emotion.</w:t>
      </w:r>
      <w:r>
        <w:t xml:space="preserve"> </w:t>
      </w:r>
      <w:r>
        <w:rPr>
          <w:iCs/>
          <w:i/>
        </w:rPr>
        <w:t xml:space="preserve">Journal of Personality and Social Psychology</w:t>
      </w:r>
      <w:r>
        <w:t xml:space="preserve">, 17(2), 124–129. https://doi.org/10.1037/h0030377</w:t>
      </w:r>
    </w:p>
    <w:p>
      <w:pPr>
        <w:pStyle w:val="BodyText"/>
      </w:pPr>
      <w:r>
        <w:t xml:space="preserve">European Union. (2024). Regulation (EU) 2024/1689 of the European Parliament and of the Council laying down harmonised rules on artificial intelligence (AI Act).</w:t>
      </w:r>
      <w:r>
        <w:t xml:space="preserve"> </w:t>
      </w:r>
      <w:r>
        <w:rPr>
          <w:iCs/>
          <w:i/>
        </w:rPr>
        <w:t xml:space="preserve">Official Journal of the European Union</w:t>
      </w:r>
      <w:r>
        <w:t xml:space="preserve">.</w:t>
      </w:r>
    </w:p>
    <w:p>
      <w:pPr>
        <w:pStyle w:val="BodyText"/>
      </w:pPr>
      <w:r>
        <w:t xml:space="preserve">Fong, T., Nourbakhsh, I., &amp; Dautenhahn, K. (2003). A survey of socially interactive robots.</w:t>
      </w:r>
      <w:r>
        <w:t xml:space="preserve"> </w:t>
      </w:r>
      <w:r>
        <w:rPr>
          <w:iCs/>
          <w:i/>
        </w:rPr>
        <w:t xml:space="preserve">Robotics and Autonomous Systems</w:t>
      </w:r>
      <w:r>
        <w:t xml:space="preserve">, 42(3–4), 143–166. https://doi.org/10.1016/S0921-8890(02)00372-X</w:t>
      </w:r>
    </w:p>
    <w:p>
      <w:pPr>
        <w:pStyle w:val="BodyText"/>
      </w:pPr>
      <w:r>
        <w:t xml:space="preserve">Ganin, Y., &amp; Lempitsky, V. (2015). Unsupervised domain adaptation by backpropagation. In</w:t>
      </w:r>
      <w:r>
        <w:t xml:space="preserve"> </w:t>
      </w:r>
      <w:r>
        <w:rPr>
          <w:iCs/>
          <w:i/>
        </w:rPr>
        <w:t xml:space="preserve">Proceedings of the 32nd International Conference on Machine Learning</w:t>
      </w:r>
      <w:r>
        <w:t xml:space="preserve"> </w:t>
      </w:r>
      <w:r>
        <w:t xml:space="preserve">(pp. 1180–1189).</w:t>
      </w:r>
    </w:p>
    <w:p>
      <w:pPr>
        <w:pStyle w:val="BodyText"/>
      </w:pPr>
      <w:r>
        <w:t xml:space="preserve">Google. (2019). Kubeflow Pipelines. https://www.kubeflow.org/docs/components/pipelines/</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(pp. 1321–1330).</w:t>
      </w:r>
    </w:p>
    <w:p>
      <w:pPr>
        <w:pStyle w:val="BodyText"/>
      </w:pPr>
      <w:r>
        <w:t xml:space="preserve">He, H., &amp; Garcia, E. A. (2009). Learning from imbalanced data.</w:t>
      </w:r>
      <w:r>
        <w:t xml:space="preserve"> </w:t>
      </w:r>
      <w:r>
        <w:rPr>
          <w:iCs/>
          <w:i/>
        </w:rPr>
        <w:t xml:space="preserve">IEEE Transactions on Knowledge and Data Engineering</w:t>
      </w:r>
      <w:r>
        <w:t xml:space="preserve">, 21(9), 1263–1284. https://doi.org/10.1109/TKDE.2008.239</w:t>
      </w:r>
    </w:p>
    <w:p>
      <w:pPr>
        <w:pStyle w:val="BodyText"/>
      </w:pPr>
      <w:r>
        <w:t xml:space="preserve">He, K., Zhang, X., Ren, S., &amp; Sun, J. (2016). Deep residual learning for image recognition. In</w:t>
      </w:r>
      <w:r>
        <w:t xml:space="preserve"> </w:t>
      </w:r>
      <w:r>
        <w:rPr>
          <w:iCs/>
          <w:i/>
        </w:rPr>
        <w:t xml:space="preserve">Proceedings of the IEEE Conference on Computer Vision and Pattern Recognition</w:t>
      </w:r>
      <w:r>
        <w:t xml:space="preserve"> </w:t>
      </w:r>
      <w:r>
        <w:t xml:space="preserve">(pp. 770–778). https://doi.org/10.1109/CVPR.2016.90</w:t>
      </w:r>
    </w:p>
    <w:p>
      <w:pPr>
        <w:pStyle w:val="BodyText"/>
      </w:pPr>
      <w:r>
        <w:t xml:space="preserve">Howard, A. G., Sandler, M., Chen, B., Wang, W., Chen, L.-C., Tan, M., Chu, G., Vasudevan, V., Zhu, Y., Pang, R., Adam, H., &amp; Le, Q. V. (2019). Searching for MobileNetV3. In</w:t>
      </w:r>
      <w:r>
        <w:t xml:space="preserve"> </w:t>
      </w:r>
      <w:r>
        <w:rPr>
          <w:iCs/>
          <w:i/>
        </w:rPr>
        <w:t xml:space="preserve">Proceedings of the IEEE/CVF International Conference on Computer Vision</w:t>
      </w:r>
      <w:r>
        <w:t xml:space="preserve"> </w:t>
      </w:r>
      <w:r>
        <w:t xml:space="preserve">(pp. 1314–1324). https://doi.org/10.1109/ICCV.2019.00140</w:t>
      </w:r>
    </w:p>
    <w:p>
      <w:pPr>
        <w:pStyle w:val="BodyText"/>
      </w:pPr>
      <w:r>
        <w:t xml:space="preserve">Howard, J., &amp; Ruder, S. (2018). Universal language model fine-tuning for text classification. In</w:t>
      </w:r>
      <w:r>
        <w:t xml:space="preserve"> </w:t>
      </w:r>
      <w:r>
        <w:rPr>
          <w:iCs/>
          <w:i/>
        </w:rPr>
        <w:t xml:space="preserve">Proceedings of the 56th Annual Meeting of the Association for Computational Linguistics</w:t>
      </w:r>
      <w:r>
        <w:t xml:space="preserve"> </w:t>
      </w:r>
      <w:r>
        <w:t xml:space="preserve">(pp. 328–339). https://doi.org/10.18653/v1/P18-1031</w:t>
      </w:r>
    </w:p>
    <w:p>
      <w:pPr>
        <w:pStyle w:val="BodyText"/>
      </w:pPr>
      <w:r>
        <w:t xml:space="preserve">Huang, X., &amp; Belongie, S. (2017). Arbitrary style transfer in real-time with adaptive instance normalization. In</w:t>
      </w:r>
      <w:r>
        <w:t xml:space="preserve"> </w:t>
      </w:r>
      <w:r>
        <w:rPr>
          <w:iCs/>
          <w:i/>
        </w:rPr>
        <w:t xml:space="preserve">Proceedings of the IEEE International Conference on Computer Vision</w:t>
      </w:r>
      <w:r>
        <w:t xml:space="preserve"> </w:t>
      </w:r>
      <w:r>
        <w:t xml:space="preserve">(pp. 1501–1510). https://doi.org/10.1109/ICCV.2017.167</w:t>
      </w:r>
    </w:p>
    <w:p>
      <w:pPr>
        <w:pStyle w:val="BodyText"/>
      </w:pPr>
      <w:r>
        <w:t xml:space="preserve">Jack, R. E., Garrod, O. G. B., Yu, H., Caldara, R., &amp; Schyns, P. G. (2012). Facial expressions of emotion are not culturally universal.</w:t>
      </w:r>
      <w:r>
        <w:t xml:space="preserve"> </w:t>
      </w:r>
      <w:r>
        <w:rPr>
          <w:iCs/>
          <w:i/>
        </w:rPr>
        <w:t xml:space="preserve">Proceedings of the National Academy of Sciences</w:t>
      </w:r>
      <w:r>
        <w:t xml:space="preserve">, 109(19), 7241–7244. https://doi.org/10.1073/pnas.1200155109</w:t>
      </w:r>
    </w:p>
    <w:p>
      <w:pPr>
        <w:pStyle w:val="BodyText"/>
      </w:pPr>
      <w:r>
        <w:t xml:space="preserve">Jiang, X., Osl, M., Kim, J., &amp; Ohno-Machado, L. (2012). Calibrating predictive model estimates to support personalized medicine.</w:t>
      </w:r>
      <w:r>
        <w:t xml:space="preserve"> </w:t>
      </w:r>
      <w:r>
        <w:rPr>
          <w:iCs/>
          <w:i/>
        </w:rPr>
        <w:t xml:space="preserve">Journal of the American Medical Informatics Association</w:t>
      </w:r>
      <w:r>
        <w:t xml:space="preserve">, 19(2), 263–274. https://doi.org/10.1136/amiajnl-2011-000291</w:t>
      </w:r>
    </w:p>
    <w:p>
      <w:pPr>
        <w:pStyle w:val="BodyText"/>
      </w:pPr>
      <w:r>
        <w:t xml:space="preserve">Kärkkäinen, K., &amp; Joo, J. (2021). FairFace: Face attribute dataset for balanced race, gender, and age for bias measurement and mitigation. In</w:t>
      </w:r>
      <w:r>
        <w:t xml:space="preserve"> </w:t>
      </w:r>
      <w:r>
        <w:rPr>
          <w:iCs/>
          <w:i/>
        </w:rPr>
        <w:t xml:space="preserve">Proceedings of the IEEE/CVF Winter Conference on Applications of Computer Vision</w:t>
      </w:r>
      <w:r>
        <w:t xml:space="preserve"> </w:t>
      </w:r>
      <w:r>
        <w:t xml:space="preserve">(pp. 1548–1558). https://doi.org/10.1109/WACV48630.2021.00159</w:t>
      </w:r>
    </w:p>
    <w:p>
      <w:pPr>
        <w:pStyle w:val="BodyText"/>
      </w:pPr>
      <w:r>
        <w:t xml:space="preserve">Kollias, D., &amp; Zafeiriou, S. (2020). Exploiting multi-CNN features in CNN-RNN based dimensional emotion recognition on the OMG in-the-wild dataset.</w:t>
      </w:r>
      <w:r>
        <w:t xml:space="preserve"> </w:t>
      </w:r>
      <w:r>
        <w:rPr>
          <w:iCs/>
          <w:i/>
        </w:rPr>
        <w:t xml:space="preserve">IEEE Transactions on Affective Computing</w:t>
      </w:r>
      <w:r>
        <w:t xml:space="preserve">, 12(3), 595–606. https://doi.org/10.1109/TAFFC.2020.3014171</w:t>
      </w:r>
    </w:p>
    <w:p>
      <w:pPr>
        <w:pStyle w:val="BodyText"/>
      </w:pPr>
      <w:r>
        <w:t xml:space="preserve">Kornblith, S., Shlens, J., &amp; Le, Q. V. (2019). Do better ImageNet models transfer better? In</w:t>
      </w:r>
      <w:r>
        <w:t xml:space="preserve"> </w:t>
      </w:r>
      <w:r>
        <w:rPr>
          <w:iCs/>
          <w:i/>
        </w:rPr>
        <w:t xml:space="preserve">Proceedings of the IEEE/CVF Conference on Computer Vision and Pattern Recognition</w:t>
      </w:r>
      <w:r>
        <w:t xml:space="preserve"> </w:t>
      </w:r>
      <w:r>
        <w:t xml:space="preserve">(pp. 2661–2671). https://doi.org/10.1109/CVPR.2019.00277</w:t>
      </w:r>
    </w:p>
    <w:p>
      <w:pPr>
        <w:pStyle w:val="BodyText"/>
      </w:pPr>
      <w:r>
        <w:t xml:space="preserve">Landis, J. R., &amp; Koch, G. G. (1977). The measurement of observer agreement for categorical data.</w:t>
      </w:r>
      <w:r>
        <w:t xml:space="preserve"> </w:t>
      </w:r>
      <w:r>
        <w:rPr>
          <w:iCs/>
          <w:i/>
        </w:rPr>
        <w:t xml:space="preserve">Biometrics</w:t>
      </w:r>
      <w:r>
        <w:t xml:space="preserve">, 33(1), 159–174. https://doi.org/10.2307/2529310</w:t>
      </w:r>
    </w:p>
    <w:p>
      <w:pPr>
        <w:pStyle w:val="BodyText"/>
      </w:pPr>
      <w:r>
        <w:t xml:space="preserve">Li, S., &amp; Deng, W. (2020). Deep facial expression recognition: A survey.</w:t>
      </w:r>
      <w:r>
        <w:t xml:space="preserve"> </w:t>
      </w:r>
      <w:r>
        <w:rPr>
          <w:iCs/>
          <w:i/>
        </w:rPr>
        <w:t xml:space="preserve">IEEE Transactions on Affective Computing</w:t>
      </w:r>
      <w:r>
        <w:t xml:space="preserve">, 13(3), 1195–1215. https://doi.org/10.1109/TAFFC.2020.2981446</w:t>
      </w:r>
    </w:p>
    <w:p>
      <w:pPr>
        <w:pStyle w:val="BodyText"/>
      </w:pPr>
      <w:r>
        <w:t xml:space="preserve">Lucey, P., Cohn, J. F., Kanade, T., Saragih, J., Ambadar, Z., &amp; Matthews, I. (2010). The extended Cohn-Kanade dataset (CK+): A complete dataset for action unit and emotion-specified expression. In</w:t>
      </w:r>
      <w:r>
        <w:t xml:space="preserve"> </w:t>
      </w:r>
      <w:r>
        <w:rPr>
          <w:iCs/>
          <w:i/>
        </w:rPr>
        <w:t xml:space="preserve">2010 IEEE Computer Society Conference on Computer Vision and Pattern Recognition - Workshops</w:t>
      </w:r>
      <w:r>
        <w:t xml:space="preserve"> </w:t>
      </w:r>
      <w:r>
        <w:t xml:space="preserve">(pp. 94–101). https://doi.org/10.1109/CVPRW.2010.5543262</w:t>
      </w:r>
    </w:p>
    <w:p>
      <w:pPr>
        <w:pStyle w:val="BodyText"/>
      </w:pPr>
      <w:r>
        <w:t xml:space="preserve">Ma, N., Zhang, X., Zheng, H.-T., &amp; Sun, J. (2018). ShuffleNet V2: Practical guidelines for efficient CNN architecture design. In</w:t>
      </w:r>
      <w:r>
        <w:t xml:space="preserve"> </w:t>
      </w:r>
      <w:r>
        <w:rPr>
          <w:iCs/>
          <w:i/>
        </w:rPr>
        <w:t xml:space="preserve">Proceedings of the European Conference on Computer Vision</w:t>
      </w:r>
      <w:r>
        <w:t xml:space="preserve"> </w:t>
      </w:r>
      <w:r>
        <w:t xml:space="preserve">(pp. 116–131). https://doi.org/10.1007/978-3-030-01264-9_8</w:t>
      </w:r>
    </w:p>
    <w:p>
      <w:pPr>
        <w:pStyle w:val="BodyText"/>
      </w:pPr>
      <w:r>
        <w:t xml:space="preserve">McStay, A. (2018). Emotional AI, soft biometrics and the surveillance of emotional life.</w:t>
      </w:r>
      <w:r>
        <w:t xml:space="preserve"> </w:t>
      </w:r>
      <w:r>
        <w:rPr>
          <w:iCs/>
          <w:i/>
        </w:rPr>
        <w:t xml:space="preserve">Big Data &amp; Society</w:t>
      </w:r>
      <w:r>
        <w:t xml:space="preserve">, 5(2), 1–12. https://doi.org/10.1177/2053951718796366</w:t>
      </w:r>
    </w:p>
    <w:p>
      <w:pPr>
        <w:pStyle w:val="BodyText"/>
      </w:pPr>
      <w:r>
        <w:t xml:space="preserve">Michelmore, R., Kwiatkowska, M., &amp; Gal, Y. (2018). Evaluating uncertainty quantification in end-to-end autonomous driving control.</w:t>
      </w:r>
      <w:r>
        <w:t xml:space="preserve"> </w:t>
      </w:r>
      <w:r>
        <w:rPr>
          <w:iCs/>
          <w:i/>
        </w:rPr>
        <w:t xml:space="preserve">arXiv preprint arXiv:1811.06817</w:t>
      </w:r>
      <w:r>
        <w:t xml:space="preserve">.</w:t>
      </w:r>
    </w:p>
    <w:p>
      <w:pPr>
        <w:pStyle w:val="BodyText"/>
      </w:pPr>
      <w:r>
        <w:t xml:space="preserve">Mollahosseini, A., Hasani, B., &amp; Mahoor, M. H. (2017). AffectNet: A database for facial expression, valence, and arousal computing in the wild.</w:t>
      </w:r>
      <w:r>
        <w:t xml:space="preserve"> </w:t>
      </w:r>
      <w:r>
        <w:rPr>
          <w:iCs/>
          <w:i/>
        </w:rPr>
        <w:t xml:space="preserve">IEEE Transactions on Affective Computing</w:t>
      </w:r>
      <w:r>
        <w:t xml:space="preserve">, 10(1), 18–31. https://doi.org/10.1109/TAFFC.2017.2740923</w:t>
      </w:r>
    </w:p>
    <w:p>
      <w:pPr>
        <w:pStyle w:val="BodyText"/>
      </w:pPr>
      <w:r>
        <w:t xml:space="preserve">Ng, A. (2021). Data-centric AI competition.</w:t>
      </w:r>
      <w:r>
        <w:t xml:space="preserve"> </w:t>
      </w:r>
      <w:r>
        <w:rPr>
          <w:iCs/>
          <w:i/>
        </w:rPr>
        <w:t xml:space="preserve">NeurIPS 2021 Datasets and Benchmarks Track</w:t>
      </w:r>
      <w:r>
        <w:t xml:space="preserve">.</w:t>
      </w:r>
    </w:p>
    <w:p>
      <w:pPr>
        <w:pStyle w:val="BodyText"/>
      </w:pPr>
      <w:r>
        <w:t xml:space="preserve">Platt, J. C. (1999). Probabilistic outputs for support vector machines and comparisons to regularized likelihood methods. In</w:t>
      </w:r>
      <w:r>
        <w:t xml:space="preserve"> </w:t>
      </w:r>
      <w:r>
        <w:rPr>
          <w:iCs/>
          <w:i/>
        </w:rPr>
        <w:t xml:space="preserve">Advances in Large Margin Classifiers</w:t>
      </w:r>
      <w:r>
        <w:t xml:space="preserve"> </w:t>
      </w:r>
      <w:r>
        <w:t xml:space="preserve">(pp. 61–74). MIT Press.</w:t>
      </w:r>
    </w:p>
    <w:p>
      <w:pPr>
        <w:pStyle w:val="BodyText"/>
      </w:pPr>
      <w:r>
        <w:t xml:space="preserve">R Core Team. (2024). R: A language and environment for statistical computing. R Foundation for Statistical Computing. https://www.R-project.org/</w:t>
      </w:r>
    </w:p>
    <w:p>
      <w:pPr>
        <w:pStyle w:val="BodyText"/>
      </w:pPr>
      <w:r>
        <w:t xml:space="preserve">Raghu, M., Zhang, C., Kleinberg, J., &amp; Bengio, S. (2019). Transfusion: Understanding transfer learning for medical imaging. In</w:t>
      </w:r>
      <w:r>
        <w:t xml:space="preserve"> </w:t>
      </w:r>
      <w:r>
        <w:rPr>
          <w:iCs/>
          <w:i/>
        </w:rPr>
        <w:t xml:space="preserve">Advances in Neural Information Processing Systems 32</w:t>
      </w:r>
      <w:r>
        <w:t xml:space="preserve"> </w:t>
      </w:r>
      <w:r>
        <w:t xml:space="preserve">(pp. 3342–3352).</w:t>
      </w:r>
    </w:p>
    <w:p>
      <w:pPr>
        <w:pStyle w:val="BodyText"/>
      </w:pPr>
      <w:r>
        <w:t xml:space="preserve">Savchenko, A. V. (2021). Facial expression and attributes recognition based on multi-task learning of lightweight neural networks. In</w:t>
      </w:r>
      <w:r>
        <w:t xml:space="preserve"> </w:t>
      </w:r>
      <w:r>
        <w:rPr>
          <w:iCs/>
          <w:i/>
        </w:rPr>
        <w:t xml:space="preserve">2021 IEEE 19th International Symposium on Intelligent Systems and Informatics (SISY)</w:t>
      </w:r>
      <w:r>
        <w:t xml:space="preserve"> </w:t>
      </w:r>
      <w:r>
        <w:t xml:space="preserve">(pp. 119–124). https://doi.org/10.1109/SISY52375.2021.9582508</w:t>
      </w:r>
    </w:p>
    <w:p>
      <w:pPr>
        <w:pStyle w:val="BodyText"/>
      </w:pPr>
      <w:r>
        <w:t xml:space="preserve">Savchenko, A. V. (2022). HSEmotion: High-speed emotion recognition library.</w:t>
      </w:r>
      <w:r>
        <w:t xml:space="preserve"> </w:t>
      </w:r>
      <w:r>
        <w:rPr>
          <w:iCs/>
          <w:i/>
        </w:rPr>
        <w:t xml:space="preserve">arXiv preprint arXiv:2202.10585</w:t>
      </w:r>
      <w:r>
        <w:t xml:space="preserve">. https://doi.org/10.48550/arXiv.2202.10585</w:t>
      </w:r>
    </w:p>
    <w:p>
      <w:pPr>
        <w:pStyle w:val="BodyText"/>
      </w:pPr>
      <w:r>
        <w:t xml:space="preserve">Shan, C., Gong, S., &amp; McOwan, P. W. (2009). Facial expression recognition based on local binary patterns: A comprehensive study.</w:t>
      </w:r>
      <w:r>
        <w:t xml:space="preserve"> </w:t>
      </w:r>
      <w:r>
        <w:rPr>
          <w:iCs/>
          <w:i/>
        </w:rPr>
        <w:t xml:space="preserve">Image and Vision Computing</w:t>
      </w:r>
      <w:r>
        <w:t xml:space="preserve">, 27(6), 803–816. https://doi.org/10.1016/j.imavis.2008.08.005</w:t>
      </w:r>
    </w:p>
    <w:p>
      <w:pPr>
        <w:pStyle w:val="BodyText"/>
      </w:pPr>
      <w:r>
        <w:t xml:space="preserve">Shrivastava, A., Pfister, T., Tuzel, O., Susskind, J., Wang, W., &amp; Webb, R. (2017). Learning from simulated and unsupervised images through adversarial training. In</w:t>
      </w:r>
      <w:r>
        <w:t xml:space="preserve"> </w:t>
      </w:r>
      <w:r>
        <w:rPr>
          <w:iCs/>
          <w:i/>
        </w:rPr>
        <w:t xml:space="preserve">Proceedings of the IEEE Conference on Computer Vision and Pattern Recognition</w:t>
      </w:r>
      <w:r>
        <w:t xml:space="preserve"> </w:t>
      </w:r>
      <w:r>
        <w:t xml:space="preserve">(pp. 2107–2116). https://doi.org/10.1109/CVPR.2017.241</w:t>
      </w:r>
    </w:p>
    <w:p>
      <w:pPr>
        <w:pStyle w:val="BodyText"/>
      </w:pPr>
      <w:r>
        <w:t xml:space="preserve">Simonyan, K., &amp; Zisserman, A. (2014). Very deep convolutional networks for large-scale image recognition.</w:t>
      </w:r>
      <w:r>
        <w:t xml:space="preserve"> </w:t>
      </w:r>
      <w:r>
        <w:rPr>
          <w:iCs/>
          <w:i/>
        </w:rPr>
        <w:t xml:space="preserve">arXiv preprint arXiv:1409.1556</w:t>
      </w:r>
      <w:r>
        <w:t xml:space="preserve">. https://doi.org/10.48550/arXiv.1409.1556</w:t>
      </w:r>
    </w:p>
    <w:p>
      <w:pPr>
        <w:pStyle w:val="BodyText"/>
      </w:pPr>
      <w:r>
        <w:t xml:space="preserve">Spezialetti, M., Placidi, G., &amp; Rossi, S. (2020). Emotion recognition in human-robot interaction: Recent advances and future perspectives.</w:t>
      </w:r>
      <w:r>
        <w:t xml:space="preserve"> </w:t>
      </w:r>
      <w:r>
        <w:rPr>
          <w:iCs/>
          <w:i/>
        </w:rPr>
        <w:t xml:space="preserve">Frontiers in Robotics and AI</w:t>
      </w:r>
      <w:r>
        <w:t xml:space="preserve">, 7, 532279. https://doi.org/10.3389/frobt.2020.532279</w:t>
      </w:r>
    </w:p>
    <w:p>
      <w:pPr>
        <w:pStyle w:val="BodyText"/>
      </w:pPr>
      <w:r>
        <w:t xml:space="preserve">Tan, C., Sun, F., Kong, T., Zhang, W., Yang, C., &amp; Liu, C. (2018). A survey on deep transfer learning. In</w:t>
      </w:r>
      <w:r>
        <w:t xml:space="preserve"> </w:t>
      </w:r>
      <w:r>
        <w:rPr>
          <w:iCs/>
          <w:i/>
        </w:rPr>
        <w:t xml:space="preserve">International Conference on Artificial Neural Networks</w:t>
      </w:r>
      <w:r>
        <w:t xml:space="preserve"> </w:t>
      </w:r>
      <w:r>
        <w:t xml:space="preserve">(pp. 270–279). https://doi.org/10.1007/978-3-030-01424-7_27</w:t>
      </w:r>
    </w:p>
    <w:p>
      <w:pPr>
        <w:pStyle w:val="BodyText"/>
      </w:pPr>
      <w:r>
        <w:t xml:space="preserve">Tan, M., &amp; Le, Q. V. (2019). EfficientNet: Rethinking model scaling for convolutional neural networks. In</w:t>
      </w:r>
      <w:r>
        <w:t xml:space="preserve"> </w:t>
      </w:r>
      <w:r>
        <w:rPr>
          <w:iCs/>
          <w:i/>
        </w:rPr>
        <w:t xml:space="preserve">Proceedings of the 36th International Conference on Machine Learning</w:t>
      </w:r>
      <w:r>
        <w:t xml:space="preserve"> </w:t>
      </w:r>
      <w:r>
        <w:t xml:space="preserve">(pp. 6105–6114).</w:t>
      </w:r>
    </w:p>
    <w:p>
      <w:pPr>
        <w:pStyle w:val="BodyText"/>
      </w:pPr>
      <w:r>
        <w:t xml:space="preserve">Tobin, J., Fong, R., Ray, A., Schneider, J., Zaremba, W., &amp; Abbeel, P. (2017). Domain randomization for transferring deep neural networks from simulation to the real world. In</w:t>
      </w:r>
      <w:r>
        <w:t xml:space="preserve"> </w:t>
      </w:r>
      <w:r>
        <w:rPr>
          <w:iCs/>
          <w:i/>
        </w:rPr>
        <w:t xml:space="preserve">2017 IEEE/RSJ International Conference on Intelligent Robots and Systems (IROS)</w:t>
      </w:r>
      <w:r>
        <w:t xml:space="preserve"> </w:t>
      </w:r>
      <w:r>
        <w:t xml:space="preserve">(pp. 23–30). https://doi.org/10.1109/IROS.2017.8202133</w:t>
      </w:r>
    </w:p>
    <w:p>
      <w:pPr>
        <w:pStyle w:val="BodyText"/>
      </w:pPr>
      <w:r>
        <w:t xml:space="preserve">Tremblay, J., Prakash, A., Acuna, D., Brophy, M., Jampani, V., Anil, C., To, T., Cameracci, E., Boochoon, S., &amp; Birchfield, S. (2018). Training deep networks with synthetic data: Bridging the reality gap by domain randomization. In</w:t>
      </w:r>
      <w:r>
        <w:t xml:space="preserve"> </w:t>
      </w:r>
      <w:r>
        <w:rPr>
          <w:iCs/>
          <w:i/>
        </w:rPr>
        <w:t xml:space="preserve">Proceedings of the IEEE Conference on Computer Vision and Pattern Recognition Workshops</w:t>
      </w:r>
      <w:r>
        <w:t xml:space="preserve"> </w:t>
      </w:r>
      <w:r>
        <w:t xml:space="preserve">(pp. 969–977). https://doi.org/10.1109/CVPRW.2018.00143</w:t>
      </w:r>
    </w:p>
    <w:p>
      <w:pPr>
        <w:pStyle w:val="BodyText"/>
      </w:pPr>
      <w:r>
        <w:t xml:space="preserve">Tuulos, V., Moritz, P., Ananthanarayanan, G., Sridhar, S., Wu, L., &amp; Zaharia, M. (2019). Metaflow: A human-centric framework for data science.</w:t>
      </w:r>
      <w:r>
        <w:t xml:space="preserve"> </w:t>
      </w:r>
      <w:r>
        <w:rPr>
          <w:iCs/>
          <w:i/>
        </w:rPr>
        <w:t xml:space="preserve">NeurIPS 2019 Workshop on Systems for ML</w:t>
      </w:r>
      <w:r>
        <w:t xml:space="preserve">.</w:t>
      </w:r>
    </w:p>
    <w:p>
      <w:pPr>
        <w:pStyle w:val="BodyText"/>
      </w:pPr>
      <w:r>
        <w:t xml:space="preserve">Varol, G., Romero, J., Martin, X., Mahmood, N., Black, M. J., Laptev, I., &amp; Schmid, C. (2017). Learning from synthetic humans. In</w:t>
      </w:r>
      <w:r>
        <w:t xml:space="preserve"> </w:t>
      </w:r>
      <w:r>
        <w:rPr>
          <w:iCs/>
          <w:i/>
        </w:rPr>
        <w:t xml:space="preserve">Proceedings of the IEEE Conference on Computer Vision and Pattern Recognition</w:t>
      </w:r>
      <w:r>
        <w:t xml:space="preserve"> </w:t>
      </w:r>
      <w:r>
        <w:t xml:space="preserve">(pp. 109–117). https://doi.org/10.1109/CVPR.2017.492</w:t>
      </w:r>
    </w:p>
    <w:p>
      <w:pPr>
        <w:pStyle w:val="BodyText"/>
      </w:pPr>
      <w:r>
        <w:t xml:space="preserve">Weng, L., et al. (2023). LLM-powered autonomous agents.</w:t>
      </w:r>
      <w:r>
        <w:t xml:space="preserve"> </w:t>
      </w:r>
      <w:r>
        <w:rPr>
          <w:iCs/>
          <w:i/>
        </w:rPr>
        <w:t xml:space="preserve">Lil’Log</w:t>
      </w:r>
      <w:r>
        <w:t xml:space="preserve">. https://lilianweng.github.io/posts/2023-06-23-agent/</w:t>
      </w:r>
    </w:p>
    <w:p>
      <w:pPr>
        <w:pStyle w:val="BodyText"/>
      </w:pPr>
      <w:r>
        <w:t xml:space="preserve">Wilson, E. B. (1927). Probable inference, the law of succession, and statistical inference.</w:t>
      </w:r>
      <w:r>
        <w:t xml:space="preserve"> </w:t>
      </w:r>
      <w:r>
        <w:rPr>
          <w:iCs/>
          <w:i/>
        </w:rPr>
        <w:t xml:space="preserve">Journal of the American Statistical Association</w:t>
      </w:r>
      <w:r>
        <w:t xml:space="preserve">, 22(158), 209–212. https://doi.org/10.1080/01621459.1927.10502953</w:t>
      </w:r>
    </w:p>
    <w:p>
      <w:pPr>
        <w:pStyle w:val="BodyText"/>
      </w:pPr>
      <w:r>
        <w:t xml:space="preserve">Wood, E., Baltrušaitis, T., Morency, L.-P., Robinson, P., &amp; Bulling, A. (2021). Fake it till you make it: Face analysis in the wild using synthetic data alone. In</w:t>
      </w:r>
      <w:r>
        <w:t xml:space="preserve"> </w:t>
      </w:r>
      <w:r>
        <w:rPr>
          <w:iCs/>
          <w:i/>
        </w:rPr>
        <w:t xml:space="preserve">Proceedings of the IEEE/CVF International Conference on Computer Vision</w:t>
      </w:r>
      <w:r>
        <w:t xml:space="preserve"> </w:t>
      </w:r>
      <w:r>
        <w:t xml:space="preserve">(pp. 3681–3691). https://doi.org/10.1109/ICCV48922.2021.00366</w:t>
      </w:r>
    </w:p>
    <w:p>
      <w:pPr>
        <w:pStyle w:val="BodyText"/>
      </w:pPr>
      <w:r>
        <w:t xml:space="preserve">Yosinski, J., Clune, J., Bengio, Y., &amp; Lipson, H. (2014). How transferable are features in deep neural networks? In</w:t>
      </w:r>
      <w:r>
        <w:t xml:space="preserve"> </w:t>
      </w:r>
      <w:r>
        <w:rPr>
          <w:iCs/>
          <w:i/>
        </w:rPr>
        <w:t xml:space="preserve">Advances in Neural Information Processing Systems 27</w:t>
      </w:r>
      <w:r>
        <w:t xml:space="preserve"> </w:t>
      </w:r>
      <w:r>
        <w:t xml:space="preserve">(pp. 3320–3328).</w:t>
      </w:r>
    </w:p>
    <w:p>
      <w:pPr>
        <w:pStyle w:val="BodyText"/>
      </w:pPr>
      <w:r>
        <w:t xml:space="preserve">Zadrozny, B., &amp; Elkan, C. (2002). Transforming classifier scores into accurate multiclass probability estimates. In</w:t>
      </w:r>
      <w:r>
        <w:t xml:space="preserve"> </w:t>
      </w:r>
      <w:r>
        <w:rPr>
          <w:iCs/>
          <w:i/>
        </w:rPr>
        <w:t xml:space="preserve">Proceedings of the 8th ACM SIGKDD International Conference on Knowledge Discovery and Data Mining</w:t>
      </w:r>
      <w:r>
        <w:t xml:space="preserve"> </w:t>
      </w:r>
      <w:r>
        <w:t xml:space="preserve">(pp. 694–699). https://doi.org/10.1145/775047.775151</w:t>
      </w:r>
    </w:p>
    <w:p>
      <w:pPr>
        <w:pStyle w:val="BodyText"/>
      </w:pPr>
      <w:r>
        <w:t xml:space="preserve">Zaharia, M., Chen, A., Davidson, A., Ghodsi, A., Hong, S. A., Konwinski, A., Murching, S., Nykodym, T., Ogilvie, P., Parkhe, M., Xie, F., &amp; Zuber, C. (2018). Accelerating the machine learning lifecycle with MLflow.</w:t>
      </w:r>
      <w:r>
        <w:t xml:space="preserve"> </w:t>
      </w:r>
      <w:r>
        <w:rPr>
          <w:iCs/>
          <w:i/>
        </w:rPr>
        <w:t xml:space="preserve">IEEE Data Engineering Bulletin</w:t>
      </w:r>
      <w:r>
        <w:t xml:space="preserve">, 41(4), 39–45.</w:t>
      </w:r>
    </w:p>
    <w:p>
      <w:pPr>
        <w:pStyle w:val="BodyText"/>
      </w:pPr>
      <w:r>
        <w:t xml:space="preserve">Zhang, H., Cisse, M., Dauphin, Y. N., &amp; Lopez-Paz, D. (2018). mixup: Beyond empirical risk minimization. In</w:t>
      </w:r>
      <w:r>
        <w:t xml:space="preserve"> </w:t>
      </w:r>
      <w:r>
        <w:rPr>
          <w:iCs/>
          <w:i/>
        </w:rPr>
        <w:t xml:space="preserve">Proceedings of the 6th International Conference on Learning Representations</w:t>
      </w:r>
      <w:r>
        <w:t xml:space="preserve">.</w:t>
      </w:r>
    </w:p>
    <w:p>
      <w:pPr>
        <w:pStyle w:val="BodyText"/>
      </w:pPr>
      <w:r>
        <w:t xml:space="preserve">Zhuang, F., Qi, Z., Duan, K., Xi, D., Zhu, Y., Zhu, H., Xiong, H., &amp; He, Q. (2020). A comprehensive survey on transfer learning.</w:t>
      </w:r>
      <w:r>
        <w:t xml:space="preserve"> </w:t>
      </w:r>
      <w:r>
        <w:rPr>
          <w:iCs/>
          <w:i/>
        </w:rPr>
        <w:t xml:space="preserve">Proceedings of the IEEE</w:t>
      </w:r>
      <w:r>
        <w:t xml:space="preserve">, 109(1), 43–76. https://doi.org/10.1109/JPROC.2020.3004555</w:t>
      </w:r>
    </w:p>
    <w:p>
      <w:r>
        <w:pict>
          <v:rect style="width:0;height:1.5pt" o:hralign="center" o:hrstd="t" o:hr="t"/>
        </w:pict>
      </w:r>
    </w:p>
    <w:p>
      <w:pPr>
        <w:pStyle w:val="FirstParagraph"/>
      </w:pPr>
      <w:r>
        <w:rPr>
          <w:iCs/>
          <w:i/>
        </w:rPr>
        <w:t xml:space="preserve">Paper completed May 2026.</w:t>
      </w:r>
      <w:r>
        <w:t xml:space="preserve"> </w:t>
      </w:r>
      <w:r>
        <w:rPr>
          <w:iCs/>
          <w:i/>
        </w:rPr>
        <w:t xml:space="preserve">Total word count: approximately 18,500 words (excluding tables and references).</w:t>
      </w:r>
      <w:r>
        <w:t xml:space="preserve"> </w:t>
      </w:r>
      <w:r>
        <w:rPr>
          <w:iCs/>
          <w:i/>
        </w:rPr>
        <w:t xml:space="preserve">Document location:</w:t>
      </w:r>
      <w:r>
        <w:rPr>
          <w:iCs/>
          <w:i/>
        </w:rPr>
        <w:t xml:space="preserve"> </w:t>
      </w:r>
      <w:r>
        <w:rPr>
          <w:rStyle w:val="VerbatimChar"/>
          <w:iCs/>
          <w:i/>
        </w:rPr>
        <w:t xml:space="preserve">docs/research_papers/Reachy_Emotion_Classification_Research_Paper.md</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2026-04-17T12:13:57Z</dcterms:created>
  <dcterms:modified xsi:type="dcterms:W3CDTF">2026-04-17T12:13:57Z</dcterms:modified>
</cp:coreProperties>
</file>

<file path=docProps/custom.xml><?xml version="1.0" encoding="utf-8"?>
<Properties xmlns="http://schemas.openxmlformats.org/officeDocument/2006/custom-properties" xmlns:vt="http://schemas.openxmlformats.org/officeDocument/2006/docPropsVTypes"/>
</file>