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4994c1bf6de6f0a7430de1e4a9401d47ad69ed"/>
    <w:p>
      <w:pPr>
        <w:pStyle w:val="Heading1"/>
      </w:pPr>
      <w:r>
        <w:t xml:space="preserve">Reachy Emotion Classification System: A Privacy-First Emotion Recognition System</w:t>
      </w:r>
    </w:p>
    <w:p>
      <w:r>
        <w:pict>
          <v:rect style="width:0;height:1.5pt" o:hralign="center" o:hrstd="t" o:hr="t"/>
        </w:pict>
      </w:r>
    </w:p>
    <w:p>
      <w:pPr>
        <w:pStyle w:val="FirstParagraph"/>
      </w:pPr>
      <w:r>
        <w:rPr>
          <w:bCs/>
          <w:b/>
        </w:rPr>
        <w:t xml:space="preserve">A Research Paper</w:t>
      </w:r>
    </w:p>
    <w:p>
      <w:pPr>
        <w:pStyle w:val="BodyText"/>
      </w:pPr>
      <w:r>
        <w:rPr>
          <w:bCs/>
          <w:b/>
        </w:rPr>
        <w:t xml:space="preserve">Presented to the Faculty of the Graduate School</w:t>
      </w:r>
      <w:r>
        <w:t xml:space="preserve"> </w:t>
      </w:r>
      <w:r>
        <w:rPr>
          <w:bCs/>
          <w:b/>
        </w:rPr>
        <w:t xml:space="preserve">Loyola University Chicago</w:t>
      </w:r>
    </w:p>
    <w:p>
      <w:pPr>
        <w:pStyle w:val="BodyText"/>
      </w:pPr>
      <w:r>
        <w:rPr>
          <w:bCs/>
          <w:b/>
        </w:rPr>
        <w:t xml:space="preserve">In Partial Fulfillment of the Requirements for the Degree of</w:t>
      </w:r>
      <w:r>
        <w:t xml:space="preserve"> </w:t>
      </w:r>
      <w:r>
        <w:rPr>
          <w:bCs/>
          <w:b/>
        </w:rPr>
        <w:t xml:space="preserve">Master of Science in Computer Science</w:t>
      </w:r>
    </w:p>
    <w:p>
      <w:pPr>
        <w:pStyle w:val="BodyText"/>
      </w:pPr>
      <w:r>
        <w:rPr>
          <w:bCs/>
          <w:b/>
        </w:rPr>
        <w:t xml:space="preserve">by</w:t>
      </w:r>
    </w:p>
    <w:p>
      <w:pPr>
        <w:pStyle w:val="BodyText"/>
      </w:pPr>
      <w:r>
        <w:rPr>
          <w:bCs/>
          <w:b/>
        </w:rPr>
        <w:t xml:space="preserve">Russell Bray</w:t>
      </w:r>
    </w:p>
    <w:p>
      <w:pPr>
        <w:pStyle w:val="BodyText"/>
      </w:pPr>
      <w:r>
        <w:rPr>
          <w:bCs/>
          <w:b/>
        </w:rPr>
        <w:t xml:space="preserve">May 2026</w:t>
      </w:r>
    </w:p>
    <w:p>
      <w:r>
        <w:pict>
          <v:rect style="width:0;height:1.5pt" o:hralign="center" o:hrstd="t" o:hr="t"/>
        </w:pict>
      </w:r>
    </w:p>
    <w:bookmarkStart w:id="20" w:name="copyright"/>
    <w:p>
      <w:pPr>
        <w:pStyle w:val="Heading2"/>
      </w:pPr>
      <w:r>
        <w:t xml:space="preserve">Copyright</w:t>
      </w:r>
    </w:p>
    <w:p>
      <w:pPr>
        <w:pStyle w:val="FirstParagraph"/>
      </w:pPr>
      <w:r>
        <w:t xml:space="preserve">Copyright © 2026 by Russell Bray. All rights reserved.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abstract">
        <w:r>
          <w:rPr>
            <w:rStyle w:val="Hyperlink"/>
          </w:rPr>
          <w:t xml:space="preserve">Abstract</w:t>
        </w:r>
      </w:hyperlink>
    </w:p>
    <w:p>
      <w:pPr>
        <w:numPr>
          <w:ilvl w:val="0"/>
          <w:numId w:val="1001"/>
        </w:numPr>
        <w:pStyle w:val="Compact"/>
      </w:pPr>
      <w:hyperlink w:anchor="chapter-1-introduction">
        <w:r>
          <w:rPr>
            <w:rStyle w:val="Hyperlink"/>
          </w:rPr>
          <w:t xml:space="preserve">Chapter 1: Introduction</w:t>
        </w:r>
      </w:hyperlink>
    </w:p>
    <w:p>
      <w:pPr>
        <w:numPr>
          <w:ilvl w:val="0"/>
          <w:numId w:val="1001"/>
        </w:numPr>
        <w:pStyle w:val="Compact"/>
      </w:pPr>
      <w:hyperlink w:anchor="chapter-2-background-and-related-work">
        <w:r>
          <w:rPr>
            <w:rStyle w:val="Hyperlink"/>
          </w:rPr>
          <w:t xml:space="preserve">Chapter 2: Background and Related Work</w:t>
        </w:r>
      </w:hyperlink>
    </w:p>
    <w:p>
      <w:pPr>
        <w:numPr>
          <w:ilvl w:val="0"/>
          <w:numId w:val="1001"/>
        </w:numPr>
        <w:pStyle w:val="Compact"/>
      </w:pPr>
      <w:hyperlink w:anchor="X0135fa7e83f75cab4b3033f5b4f6afa7cc25059">
        <w:r>
          <w:rPr>
            <w:rStyle w:val="Hyperlink"/>
          </w:rPr>
          <w:t xml:space="preserve">Chapter 3: System Architecture and Methodology</w:t>
        </w:r>
      </w:hyperlink>
    </w:p>
    <w:p>
      <w:pPr>
        <w:numPr>
          <w:ilvl w:val="0"/>
          <w:numId w:val="1001"/>
        </w:numPr>
        <w:pStyle w:val="Compact"/>
      </w:pPr>
      <w:hyperlink w:anchor="chapter-4-experiments-and-results">
        <w:r>
          <w:rPr>
            <w:rStyle w:val="Hyperlink"/>
          </w:rPr>
          <w:t xml:space="preserve">Chapter 4: Experiments and Results</w:t>
        </w:r>
      </w:hyperlink>
    </w:p>
    <w:p>
      <w:pPr>
        <w:numPr>
          <w:ilvl w:val="0"/>
          <w:numId w:val="1001"/>
        </w:numPr>
        <w:pStyle w:val="Compact"/>
      </w:pPr>
      <w:hyperlink w:anchor="X0cbbab911358e5082bdcc2e140627259ffefdad">
        <w:r>
          <w:rPr>
            <w:rStyle w:val="Hyperlink"/>
          </w:rPr>
          <w:t xml:space="preserve">Chapter 5: Statistical Analysis for Model Selection</w:t>
        </w:r>
      </w:hyperlink>
    </w:p>
    <w:p>
      <w:pPr>
        <w:numPr>
          <w:ilvl w:val="0"/>
          <w:numId w:val="1001"/>
        </w:numPr>
        <w:pStyle w:val="Compact"/>
      </w:pPr>
      <w:hyperlink w:anchor="X9b4b616abc91887bd5ab1f9be5cb39971b7cac8">
        <w:r>
          <w:rPr>
            <w:rStyle w:val="Hyperlink"/>
          </w:rPr>
          <w:t xml:space="preserve">Chapter 6: Discussion and Threats to Validity</w:t>
        </w:r>
      </w:hyperlink>
    </w:p>
    <w:p>
      <w:pPr>
        <w:numPr>
          <w:ilvl w:val="0"/>
          <w:numId w:val="1001"/>
        </w:numPr>
        <w:pStyle w:val="Compact"/>
      </w:pPr>
      <w:hyperlink w:anchor="chapter-7-future-work-and-reflections">
        <w:r>
          <w:rPr>
            <w:rStyle w:val="Hyperlink"/>
          </w:rPr>
          <w:t xml:space="preserve">Chapter 7: Future Work and Reflections</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1"/>
    <w:bookmarkStart w:id="22" w:name="abstract"/>
    <w:p>
      <w:pPr>
        <w:pStyle w:val="Heading2"/>
      </w:pPr>
      <w:r>
        <w:t xml:space="preserve">Abstract</w:t>
      </w:r>
    </w:p>
    <w:p>
      <w:pPr>
        <w:pStyle w:val="FirstParagraph"/>
      </w:pPr>
      <w:r>
        <w:t xml:space="preserve">This paper presents the design, implementation, and rigorous evaluation of the Reachy Emotion Classification System — a privacy-first, local-only platform for real-time facial emotion recognition on the Reachy Mini companion robot. The system classifies facial expressions into three emotion categories (happy, sad, neutral) using an EfficientNet-B0 convolutional neural network pre-trained on VGGFace2 and AffectNet via the HSEmotion framework, then fine-tuned on 86,519 synthetically generated face-cropped frames.</w:t>
      </w:r>
    </w:p>
    <w:p>
      <w:pPr>
        <w:pStyle w:val="BodyText"/>
      </w:pPr>
      <w:r>
        <w:t xml:space="preserve">Two model variants were developed: Variant 1 (V1), which freezes the pre-trained backbone and trains only a lightweight classification head (~4,000 parameters), and Variant 2 (V2), which selectively unfreezes the final convolutional blocks (~500,000 trainable parameters) and was optimized through a 90-trial automated hyperparameter sweep. Both were evaluated on 894 real-world photographs from the AffectNet dataset — images from a completely different visual domain than the synthetic training data.</w:t>
      </w:r>
    </w:p>
    <w:p>
      <w:pPr>
        <w:pStyle w:val="BodyText"/>
      </w:pPr>
      <w:r>
        <w:t xml:space="preserve">Despite near-identical F1 macro scores (V1: 0.781, V2: 0.780), the variants exhibit fundamentally different error profiles. Comprehensive statistical analysis — Wilson score confidence intervals, z-tests, Cohen’s kappa, NMI, coefficient of variation analysis, generalization gap quantification, and calibration decomposition — reveals that V1 distributes errors evenly across classes (CV = 4.2%), while V2 concentrates errors on sad and neutral detection (CV = 15.1%). V1 passes all six Gate A deployment thresholds; V2 fails two. Based on this analysis, V1 (run_0107) was selected for deployment via ONNX-to-TensorRT conversion on an NVIDIA Jetson Xavier NX, achieving sub-120ms latency within a DeepStream real-time inference pipeline. A 10-agent n8n orchestration system automates the complete lifecycle from data ingestion through deployment, with privacy enforcement ensuring no raw video leaves the local network.</w:t>
      </w:r>
    </w:p>
    <w:p>
      <w:pPr>
        <w:pStyle w:val="BodyText"/>
      </w:pPr>
      <w:r>
        <w:rPr>
          <w:bCs/>
          <w:b/>
        </w:rPr>
        <w:t xml:space="preserve">Keywords:</w:t>
      </w:r>
      <w:r>
        <w:t xml:space="preserve"> </w:t>
      </w:r>
      <w:r>
        <w:t xml:space="preserve">facial emotion recognition, transfer learning, EfficientNet, privacy-first AI, edge deployment, model calibration, social robotics, synthetic-to-real domain adaptation</w:t>
      </w:r>
    </w:p>
    <w:p>
      <w:r>
        <w:pict>
          <v:rect style="width:0;height:1.5pt" o:hralign="center" o:hrstd="t" o:hr="t"/>
        </w:pict>
      </w:r>
    </w:p>
    <w:bookmarkEnd w:id="22"/>
    <w:bookmarkStart w:id="25" w:name="chapter-1-introduction"/>
    <w:p>
      <w:pPr>
        <w:pStyle w:val="Heading2"/>
      </w:pPr>
      <w:r>
        <w:t xml:space="preserve">Chapter 1: Introduction</w:t>
      </w:r>
    </w:p>
    <w:bookmarkStart w:id="23" w:name="problem-statement"/>
    <w:p>
      <w:pPr>
        <w:pStyle w:val="Heading3"/>
      </w:pPr>
      <w:r>
        <w:t xml:space="preserve">1.1 Problem Statement</w:t>
      </w:r>
    </w:p>
    <w:p>
      <w:pPr>
        <w:pStyle w:val="FirstParagraph"/>
      </w:pPr>
      <w:r>
        <w:t xml:space="preserve">Social robots deployed in companion, educational, and therapeutic contexts require the ability to perceive and respond to human emotions (Breazeal, 2003; Fong et al., 2003). Facial expression recognition (FER) provides the primary perceptual channel, but deploying it in social robotics introduces unique challenges:</w:t>
      </w:r>
      <w:r>
        <w:t xml:space="preserve"> </w:t>
      </w:r>
      <w:r>
        <w:rPr>
          <w:bCs/>
          <w:b/>
        </w:rPr>
        <w:t xml:space="preserve">real-time inference</w:t>
      </w:r>
      <w:r>
        <w:t xml:space="preserve"> </w:t>
      </w:r>
      <w:r>
        <w:t xml:space="preserve">on resource-constrained edge hardware (latency &lt; 120 ms), a</w:t>
      </w:r>
      <w:r>
        <w:t xml:space="preserve"> </w:t>
      </w:r>
      <w:r>
        <w:rPr>
          <w:bCs/>
          <w:b/>
        </w:rPr>
        <w:t xml:space="preserve">privacy-first architecture</w:t>
      </w:r>
      <w:r>
        <w:t xml:space="preserve"> </w:t>
      </w:r>
      <w:r>
        <w:t xml:space="preserve">where raw video never leaves the local network, and</w:t>
      </w:r>
      <w:r>
        <w:t xml:space="preserve"> </w:t>
      </w:r>
      <w:r>
        <w:rPr>
          <w:bCs/>
          <w:b/>
        </w:rPr>
        <w:t xml:space="preserve">asymmetric error consequences</w:t>
      </w:r>
      <w:r>
        <w:t xml:space="preserve"> </w:t>
      </w:r>
      <w:r>
        <w:t xml:space="preserve">where misidentifying neutral expressions as sadness creates qualitatively worse user experiences than failing to detect happiness. This asymmetry means aggregate accuracy metrics alone are insufficient — the</w:t>
      </w:r>
      <w:r>
        <w:t xml:space="preserve"> </w:t>
      </w:r>
      <w:r>
        <w:rPr>
          <w:iCs/>
          <w:i/>
        </w:rPr>
        <w:t xml:space="preserve">distribution</w:t>
      </w:r>
      <w:r>
        <w:t xml:space="preserve"> </w:t>
      </w:r>
      <w:r>
        <w:t xml:space="preserve">of errors and their</w:t>
      </w:r>
      <w:r>
        <w:t xml:space="preserve"> </w:t>
      </w:r>
      <w:r>
        <w:rPr>
          <w:iCs/>
          <w:i/>
        </w:rPr>
        <w:t xml:space="preserve">behavioral consequences</w:t>
      </w:r>
      <w:r>
        <w:t xml:space="preserve"> </w:t>
      </w:r>
      <w:r>
        <w:t xml:space="preserve">must be explicitly analyzed.</w:t>
      </w:r>
    </w:p>
    <w:p>
      <w:pPr>
        <w:pStyle w:val="BodyText"/>
      </w:pPr>
      <w:r>
        <w:t xml:space="preserve">This paper addresses these challenges through the Reachy Emotion Classification System — an end-to-end platform for emotion-aware interaction on the Reachy Mini companion robot, with emphasis on the statistical methodology required to make principled deployment decisions when candidate models achieve near-identical aggregate performance but exhibit fundamentally different error profiles.</w:t>
      </w:r>
    </w:p>
    <w:bookmarkEnd w:id="23"/>
    <w:bookmarkStart w:id="24" w:name="research-contributions"/>
    <w:p>
      <w:pPr>
        <w:pStyle w:val="Heading3"/>
      </w:pPr>
      <w:r>
        <w:t xml:space="preserve">1.2 Research Contributions</w:t>
      </w:r>
    </w:p>
    <w:p>
      <w:pPr>
        <w:numPr>
          <w:ilvl w:val="0"/>
          <w:numId w:val="1002"/>
        </w:numPr>
      </w:pPr>
      <w:r>
        <w:rPr>
          <w:bCs/>
          <w:b/>
        </w:rPr>
        <w:t xml:space="preserve">A privacy-first emotion recognition architecture</w:t>
      </w:r>
      <w:r>
        <w:t xml:space="preserve"> </w:t>
      </w:r>
      <w:r>
        <w:t xml:space="preserve">processing all data locally across a three-node network with no cloud dependencies.</w:t>
      </w:r>
    </w:p>
    <w:p>
      <w:pPr>
        <w:numPr>
          <w:ilvl w:val="0"/>
          <w:numId w:val="1002"/>
        </w:numPr>
      </w:pPr>
      <w:r>
        <w:rPr>
          <w:bCs/>
          <w:b/>
        </w:rPr>
        <w:t xml:space="preserve">A systematic comparison of frozen-backbone vs. fine-tuned transfer learning</w:t>
      </w:r>
      <w:r>
        <w:t xml:space="preserve"> </w:t>
      </w:r>
      <w:r>
        <w:t xml:space="preserve">for 3-class emotion classification, demonstrating that freezing the pre-trained backbone preserves features that transfer better from synthetic to real domains than selective fine-tuning.</w:t>
      </w:r>
    </w:p>
    <w:p>
      <w:pPr>
        <w:numPr>
          <w:ilvl w:val="0"/>
          <w:numId w:val="1002"/>
        </w:numPr>
      </w:pPr>
      <w:r>
        <w:rPr>
          <w:bCs/>
          <w:b/>
        </w:rPr>
        <w:t xml:space="preserve">A comprehensive statistical framework for deployment decision-making</w:t>
      </w:r>
      <w:r>
        <w:t xml:space="preserve"> </w:t>
      </w:r>
      <w:r>
        <w:t xml:space="preserve">including Wilson score CIs, z-tests, Cohen’s kappa, NMI, CV analysis, generalization gap quantification, and Brier decomposition — revealing critical selection criteria that aggregate metrics conceal.</w:t>
      </w:r>
    </w:p>
    <w:p>
      <w:pPr>
        <w:numPr>
          <w:ilvl w:val="0"/>
          <w:numId w:val="1002"/>
        </w:numPr>
      </w:pPr>
      <w:r>
        <w:rPr>
          <w:bCs/>
          <w:b/>
        </w:rPr>
        <w:t xml:space="preserve">A two-tier quality gate architecture</w:t>
      </w:r>
      <w:r>
        <w:t xml:space="preserve"> </w:t>
      </w:r>
      <w:r>
        <w:t xml:space="preserve">(Gate A-val for synthetic validation, Gate A-deploy for real-world deployment) decoupling training quality control from deployment readiness.</w:t>
      </w:r>
    </w:p>
    <w:p>
      <w:pPr>
        <w:numPr>
          <w:ilvl w:val="0"/>
          <w:numId w:val="1002"/>
        </w:numPr>
      </w:pPr>
      <w:r>
        <w:rPr>
          <w:bCs/>
          <w:b/>
        </w:rPr>
        <w:t xml:space="preserve">A 10-agent orchestration system</w:t>
      </w:r>
      <w:r>
        <w:t xml:space="preserve"> </w:t>
      </w:r>
      <w:r>
        <w:t xml:space="preserve">on n8n automating the complete ML lifecycle with reproducible, auditable model management.</w:t>
      </w:r>
    </w:p>
    <w:p>
      <w:r>
        <w:pict>
          <v:rect style="width:0;height:1.5pt" o:hralign="center" o:hrstd="t" o:hr="t"/>
        </w:pict>
      </w:r>
    </w:p>
    <w:bookmarkEnd w:id="24"/>
    <w:bookmarkEnd w:id="25"/>
    <w:bookmarkStart w:id="31" w:name="chapter-2-background-and-related-work"/>
    <w:p>
      <w:pPr>
        <w:pStyle w:val="Heading2"/>
      </w:pPr>
      <w:r>
        <w:t xml:space="preserve">Chapter 2: Background and Related Work</w:t>
      </w:r>
    </w:p>
    <w:bookmarkStart w:id="26" w:name="facial-emotion-recognition"/>
    <w:p>
      <w:pPr>
        <w:pStyle w:val="Heading3"/>
      </w:pPr>
      <w:r>
        <w:t xml:space="preserve">2.1 Facial Emotion Recognition</w:t>
      </w:r>
    </w:p>
    <w:p>
      <w:pPr>
        <w:pStyle w:val="FirstParagraph"/>
      </w:pPr>
      <w:r>
        <w:t xml:space="preserve">FER research traces to Ekman’s foundational work proposing universal basic emotions (Ekman &amp; Friesen, 1971; Ekman, 1992). Deep CNNs transformed the field, with architectures like EfficientNet (Tan &amp; Le, 2019) achieving human-competitive performance on benchmarks such as AffectNet (Mollahosseini et al., 2017; Li &amp; Deng, 2020). The HSEmotion framework (Savchenko, 2021, 2022) provides EfficientNet-B0 pre-trained on VGGFace2 (~3.3M face images) and fine-tuned on AffectNet, yielding state-of-the-art FER with architectures suitable for edge deployment.</w:t>
      </w:r>
    </w:p>
    <w:bookmarkEnd w:id="26"/>
    <w:bookmarkStart w:id="27" w:name="transfer-learning-strategies"/>
    <w:p>
      <w:pPr>
        <w:pStyle w:val="Heading3"/>
      </w:pPr>
      <w:r>
        <w:t xml:space="preserve">2.2 Transfer Learning Strategies</w:t>
      </w:r>
    </w:p>
    <w:p>
      <w:pPr>
        <w:pStyle w:val="FirstParagraph"/>
      </w:pPr>
      <w:r>
        <w:t xml:space="preserve">Two canonical strategies exist for transfer learning (Tan et al., 2018; Zhuang et al., 2020):</w:t>
      </w:r>
    </w:p>
    <w:p>
      <w:pPr>
        <w:pStyle w:val="BodyText"/>
      </w:pPr>
      <w:r>
        <w:rPr>
          <w:bCs/>
          <w:b/>
        </w:rPr>
        <w:t xml:space="preserve">Feature extraction (frozen backbone):</w:t>
      </w:r>
      <w:r>
        <w:t xml:space="preserve"> </w:t>
      </w:r>
      <w:r>
        <w:t xml:space="preserve">Only the classification head is trained, preserving domain-general representations. Effective when source and target domains are similar and target data is small or noisy (Yosinski et al., 2014).</w:t>
      </w:r>
    </w:p>
    <w:p>
      <w:pPr>
        <w:pStyle w:val="BodyText"/>
      </w:pPr>
      <w:r>
        <w:rPr>
          <w:bCs/>
          <w:b/>
        </w:rPr>
        <w:t xml:space="preserve">Fine-tuning (unfrozen backbone):</w:t>
      </w:r>
      <w:r>
        <w:t xml:space="preserve"> </w:t>
      </w:r>
      <w:r>
        <w:t xml:space="preserve">Some backbone layers are updated with reduced learning rates, allowing domain adaptation but risking</w:t>
      </w:r>
      <w:r>
        <w:t xml:space="preserve"> </w:t>
      </w:r>
      <w:r>
        <w:t xml:space="preserve">“</w:t>
      </w:r>
      <w:r>
        <w:t xml:space="preserve">catastrophic forgetting</w:t>
      </w:r>
      <w:r>
        <w:t xml:space="preserve">”</w:t>
      </w:r>
      <w:r>
        <w:t xml:space="preserve"> </w:t>
      </w:r>
      <w:r>
        <w:t xml:space="preserve">of useful source features (Raghu et al., 2019; Kornblith et al., 2019).</w:t>
      </w:r>
    </w:p>
    <w:p>
      <w:pPr>
        <w:pStyle w:val="BodyText"/>
      </w:pPr>
      <w:r>
        <w:t xml:space="preserve">When training on synthetic data and deploying on real data, fine-tuning may cause the backbone to adapt</w:t>
      </w:r>
      <w:r>
        <w:t xml:space="preserve"> </w:t>
      </w:r>
      <w:r>
        <w:rPr>
          <w:iCs/>
          <w:i/>
        </w:rPr>
        <w:t xml:space="preserve">toward</w:t>
      </w:r>
      <w:r>
        <w:t xml:space="preserve"> </w:t>
      </w:r>
      <w:r>
        <w:t xml:space="preserve">synthetic characteristics and</w:t>
      </w:r>
      <w:r>
        <w:t xml:space="preserve"> </w:t>
      </w:r>
      <w:r>
        <w:rPr>
          <w:iCs/>
          <w:i/>
        </w:rPr>
        <w:t xml:space="preserve">away from</w:t>
      </w:r>
      <w:r>
        <w:t xml:space="preserve"> </w:t>
      </w:r>
      <w:r>
        <w:t xml:space="preserve">natural variation — a hypothesis directly tested in this work.</w:t>
      </w:r>
    </w:p>
    <w:bookmarkEnd w:id="27"/>
    <w:bookmarkStart w:id="28" w:name="synthetic-to-real-domain-gap"/>
    <w:p>
      <w:pPr>
        <w:pStyle w:val="Heading3"/>
      </w:pPr>
      <w:r>
        <w:t xml:space="preserve">2.3 Synthetic-to-Real Domain Gap</w:t>
      </w:r>
    </w:p>
    <w:p>
      <w:pPr>
        <w:pStyle w:val="FirstParagraph"/>
      </w:pPr>
      <w:r>
        <w:t xml:space="preserve">Training on synthetic data introduces a distributional shift that can substantially degrade performance (Tobin et al., 2017; Tremblay et al., 2018). We train on 86,519 frames from AI-generated face videos and evaluate on 894 real AffectNet photographs. The resulting generalization gap (F1 ≈ 0.99 synthetic → F1 ≈ 0.78 real) motivates the two-tier gate architecture. Face cropping proved decisive: without it, test F1 = 0.43; with it, F1 = 0.78 — suggesting the primary domain gap lies in contextual information (backgrounds, body poses) rather than facial expressions themselves.</w:t>
      </w:r>
    </w:p>
    <w:bookmarkEnd w:id="28"/>
    <w:bookmarkStart w:id="29" w:name="calibration-and-confidence-aware-systems"/>
    <w:p>
      <w:pPr>
        <w:pStyle w:val="Heading3"/>
      </w:pPr>
      <w:r>
        <w:t xml:space="preserve">2.4 Calibration and Confidence-Aware Systems</w:t>
      </w:r>
    </w:p>
    <w:p>
      <w:pPr>
        <w:pStyle w:val="FirstParagraph"/>
      </w:pPr>
      <w:r>
        <w:t xml:space="preserve">Modern DNNs are systematically overconfident (Guo et al., 2017). For social robotics, calibration directly controls physical behavior through a 5-tier gesture expressiveness modulation system. ECE (Expected Calibration Error) measures this reliability:</w:t>
      </w:r>
    </w:p>
    <w:p>
      <w:pPr>
        <w:pStyle w:val="BodyText"/>
      </w:pPr>
      <m:oMathPara>
        <m:oMathParaPr>
          <m:jc m:val="center"/>
        </m:oMathParaPr>
        <m:oMath>
          <m:r>
            <m:t>E</m:t>
          </m:r>
          <m:r>
            <m:t>C</m:t>
          </m:r>
          <m:r>
            <m:t>E</m:t>
          </m:r>
          <m:r>
            <m:rPr>
              <m:sty m:val="p"/>
            </m:rPr>
            <m:t>=</m:t>
          </m:r>
          <m:nary>
            <m:naryPr>
              <m:chr m:val="∑"/>
              <m:limLoc m:val="undOvr"/>
              <m:subHide m:val="off"/>
              <m:supHide m:val="off"/>
            </m:naryPr>
            <m:sub>
              <m:r>
                <m:t>b</m:t>
              </m:r>
              <m:r>
                <m:rPr>
                  <m:sty m:val="p"/>
                </m:rPr>
                <m:t>=</m:t>
              </m:r>
              <m:r>
                <m:t>1</m:t>
              </m:r>
            </m:sub>
            <m:sup>
              <m:r>
                <m:t>B</m:t>
              </m:r>
            </m:sup>
            <m:e>
              <m:f>
                <m:fPr>
                  <m:type m:val="bar"/>
                </m:fPr>
                <m:num>
                  <m:d>
                    <m:dPr>
                      <m:begChr m:val="|"/>
                      <m:endChr m:val="|"/>
                      <m:sepChr m:val=""/>
                      <m:grow/>
                    </m:dPr>
                    <m:e>
                      <m:sSub>
                        <m:e>
                          <m:r>
                            <m:t>S</m:t>
                          </m:r>
                        </m:e>
                        <m:sub>
                          <m:r>
                            <m:t>b</m:t>
                          </m:r>
                        </m:sub>
                      </m:sSub>
                    </m:e>
                  </m:d>
                </m:num>
                <m:den>
                  <m:r>
                    <m:t>N</m:t>
                  </m:r>
                </m:den>
              </m:f>
            </m:e>
          </m:nary>
          <m:r>
            <m:rPr>
              <m:sty m:val="p"/>
            </m:rPr>
            <m:t>⋅</m:t>
          </m:r>
          <m:d>
            <m:dPr>
              <m:begChr m:val="|"/>
              <m:endChr m:val="|"/>
              <m:sepChr m:val=""/>
              <m:grow/>
            </m:dPr>
            <m:e>
              <m:r>
                <m:t>a</m:t>
              </m:r>
              <m:r>
                <m:t>c</m:t>
              </m:r>
              <m:r>
                <m:t>c</m:t>
              </m:r>
              <m:d>
                <m:dPr>
                  <m:begChr m:val="("/>
                  <m:endChr m:val=")"/>
                  <m:sepChr m:val=""/>
                  <m:grow/>
                </m:dPr>
                <m:e>
                  <m:sSub>
                    <m:e>
                      <m:r>
                        <m:t>S</m:t>
                      </m:r>
                    </m:e>
                    <m:sub>
                      <m:r>
                        <m:t>b</m:t>
                      </m:r>
                    </m:sub>
                  </m:sSub>
                </m:e>
              </m:d>
              <m:r>
                <m:rPr>
                  <m:sty m:val="p"/>
                </m:rPr>
                <m:t>−</m:t>
              </m:r>
              <m:r>
                <m:t>c</m:t>
              </m:r>
              <m:r>
                <m:t>o</m:t>
              </m:r>
              <m:r>
                <m:t>n</m:t>
              </m:r>
              <m:r>
                <m:t>f</m:t>
              </m:r>
              <m:d>
                <m:dPr>
                  <m:begChr m:val="("/>
                  <m:endChr m:val=")"/>
                  <m:sepChr m:val=""/>
                  <m:grow/>
                </m:dPr>
                <m:e>
                  <m:sSub>
                    <m:e>
                      <m:r>
                        <m:t>S</m:t>
                      </m:r>
                    </m:e>
                    <m:sub>
                      <m:r>
                        <m:t>b</m:t>
                      </m:r>
                    </m:sub>
                  </m:sSub>
                </m:e>
              </m:d>
            </m:e>
          </m:d>
        </m:oMath>
      </m:oMathPara>
    </w:p>
    <w:p>
      <w:pPr>
        <w:pStyle w:val="FirstParagraph"/>
      </w:pPr>
      <w:r>
        <w:t xml:space="preserve">The system employs an abstention mechanism: predictions with confidence &lt; 0.6 or top-two margin &lt; 0.15 are suppressed, preventing the robot from acting on uncertain inputs.</w:t>
      </w:r>
    </w:p>
    <w:bookmarkEnd w:id="29"/>
    <w:bookmarkStart w:id="30" w:name="related-systems"/>
    <w:p>
      <w:pPr>
        <w:pStyle w:val="Heading3"/>
      </w:pPr>
      <w:r>
        <w:t xml:space="preserve">2.5 Related Systems</w:t>
      </w:r>
    </w:p>
    <w:p>
      <w:pPr>
        <w:pStyle w:val="FirstParagraph"/>
      </w:pPr>
      <w:r>
        <w:t xml:space="preserve">Prior social robotics FER systems (Breazeal, 2003; Churamani et al., 2020; Spezialetti et al., 2020) have addressed real-time performance and environmental robustness but not the explicit treatment of</w:t>
      </w:r>
      <w:r>
        <w:t xml:space="preserve"> </w:t>
      </w:r>
      <w:r>
        <w:rPr>
          <w:iCs/>
          <w:i/>
        </w:rPr>
        <w:t xml:space="preserve">error asymmetry</w:t>
      </w:r>
      <w:r>
        <w:t xml:space="preserve"> </w:t>
      </w:r>
      <w:r>
        <w:t xml:space="preserve">central to our approach. Our Gate A architecture extends MLOps quality gates (Baylor et al., 2017; Zaharia et al., 2018) with two innovations: a two-tier structure acknowledging domain shift as permanent, and</w:t>
      </w:r>
      <w:r>
        <w:t xml:space="preserve"> </w:t>
      </w:r>
      <w:r>
        <w:rPr>
          <w:iCs/>
          <w:i/>
        </w:rPr>
        <w:t xml:space="preserve">per-class</w:t>
      </w:r>
      <w:r>
        <w:t xml:space="preserve"> </w:t>
      </w:r>
      <w:r>
        <w:t xml:space="preserve">F1 thresholds preventing models from excelling on majority classes while neglecting minorities.</w:t>
      </w:r>
    </w:p>
    <w:p>
      <w:r>
        <w:pict>
          <v:rect style="width:0;height:1.5pt" o:hralign="center" o:hrstd="t" o:hr="t"/>
        </w:pict>
      </w:r>
    </w:p>
    <w:bookmarkEnd w:id="30"/>
    <w:bookmarkEnd w:id="31"/>
    <w:bookmarkStart w:id="38" w:name="X0135fa7e83f75cab4b3033f5b4f6afa7cc25059"/>
    <w:p>
      <w:pPr>
        <w:pStyle w:val="Heading2"/>
      </w:pPr>
      <w:r>
        <w:t xml:space="preserve">Chapter 3: System Architecture and Methodology</w:t>
      </w:r>
    </w:p>
    <w:bookmarkStart w:id="32" w:name="hardware-and-software-infrastructure"/>
    <w:p>
      <w:pPr>
        <w:pStyle w:val="Heading3"/>
      </w:pPr>
      <w:r>
        <w:t xml:space="preserve">3.1 Hardware and Software Infrastructure</w:t>
      </w:r>
    </w:p>
    <w:p>
      <w:pPr>
        <w:pStyle w:val="FirstParagraph"/>
      </w:pPr>
      <w:r>
        <w:t xml:space="preserve">The system operates across a three-node LAN with static IPs, eliminating cloud dependencies:</w:t>
      </w:r>
    </w:p>
    <w:tbl>
      <w:tblPr>
        <w:tblStyle w:val="Table"/>
        <w:tblW w:type="pct" w:w="5000"/>
        <w:tblLook w:firstRow="1" w:lastRow="0" w:firstColumn="0" w:lastColumn="0" w:noHBand="0" w:noVBand="0" w:val="0020"/>
        <w:jc w:val="start"/>
      </w:tblPr>
      <w:tblGrid>
        <w:gridCol w:w="1584"/>
        <w:gridCol w:w="1584"/>
        <w:gridCol w:w="3696"/>
        <w:gridCol w:w="1056"/>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Key Hardware</w:t>
            </w:r>
          </w:p>
        </w:tc>
        <w:tc>
          <w:tcPr/>
          <w:p>
            <w:pPr>
              <w:pStyle w:val="Compact"/>
              <w:jc w:val="left"/>
            </w:pPr>
            <w:r>
              <w:t xml:space="preserve">IP</w:t>
            </w:r>
          </w:p>
        </w:tc>
      </w:tr>
      <w:tr>
        <w:tc>
          <w:tcPr/>
          <w:p>
            <w:pPr>
              <w:pStyle w:val="Compact"/>
              <w:jc w:val="left"/>
            </w:pPr>
            <w:r>
              <w:rPr>
                <w:bCs/>
                <w:b/>
              </w:rPr>
              <w:t xml:space="preserve">Ubuntu 1</w:t>
            </w:r>
          </w:p>
        </w:tc>
        <w:tc>
          <w:tcPr/>
          <w:p>
            <w:pPr>
              <w:pStyle w:val="Compact"/>
              <w:jc w:val="left"/>
            </w:pPr>
            <w:r>
              <w:t xml:space="preserve">GPU training, FastAPI, PostgreSQL, n8n</w:t>
            </w:r>
          </w:p>
        </w:tc>
        <w:tc>
          <w:tcPr/>
          <w:p>
            <w:pPr>
              <w:pStyle w:val="Compact"/>
              <w:jc w:val="left"/>
            </w:pPr>
            <w:r>
              <w:t xml:space="preserve">NVIDIA GPU workstation</w:t>
            </w:r>
          </w:p>
        </w:tc>
        <w:tc>
          <w:tcPr/>
          <w:p>
            <w:pPr>
              <w:pStyle w:val="Compact"/>
              <w:jc w:val="left"/>
            </w:pPr>
            <w:r>
              <w:t xml:space="preserve">10.0.4.130</w:t>
            </w:r>
          </w:p>
        </w:tc>
      </w:tr>
      <w:tr>
        <w:tc>
          <w:tcPr/>
          <w:p>
            <w:pPr>
              <w:pStyle w:val="Compact"/>
              <w:jc w:val="left"/>
            </w:pPr>
            <w:r>
              <w:rPr>
                <w:bCs/>
                <w:b/>
              </w:rPr>
              <w:t xml:space="preserve">Ubuntu 2</w:t>
            </w:r>
          </w:p>
        </w:tc>
        <w:tc>
          <w:tcPr/>
          <w:p>
            <w:pPr>
              <w:pStyle w:val="Compact"/>
              <w:jc w:val="left"/>
            </w:pPr>
            <w:r>
              <w:t xml:space="preserve">Streamlit frontend, Nginx</w:t>
            </w:r>
          </w:p>
        </w:tc>
        <w:tc>
          <w:tcPr/>
          <w:p>
            <w:pPr>
              <w:pStyle w:val="Compact"/>
              <w:jc w:val="left"/>
            </w:pPr>
            <w:r>
              <w:t xml:space="preserve">General-purpose server</w:t>
            </w:r>
          </w:p>
        </w:tc>
        <w:tc>
          <w:tcPr/>
          <w:p>
            <w:pPr>
              <w:pStyle w:val="Compact"/>
              <w:jc w:val="left"/>
            </w:pPr>
            <w:r>
              <w:t xml:space="preserve">10.0.4.140</w:t>
            </w:r>
          </w:p>
        </w:tc>
      </w:tr>
      <w:tr>
        <w:tc>
          <w:tcPr/>
          <w:p>
            <w:pPr>
              <w:pStyle w:val="Compact"/>
              <w:jc w:val="left"/>
            </w:pPr>
            <w:r>
              <w:rPr>
                <w:bCs/>
                <w:b/>
              </w:rPr>
              <w:t xml:space="preserve">Jetson Xavier NX</w:t>
            </w:r>
          </w:p>
        </w:tc>
        <w:tc>
          <w:tcPr/>
          <w:p>
            <w:pPr>
              <w:pStyle w:val="Compact"/>
              <w:jc w:val="left"/>
            </w:pPr>
            <w:r>
              <w:t xml:space="preserve">Real-time inference (DeepStream + TensorRT)</w:t>
            </w:r>
          </w:p>
        </w:tc>
        <w:tc>
          <w:tcPr/>
          <w:p>
            <w:pPr>
              <w:pStyle w:val="Compact"/>
              <w:jc w:val="left"/>
            </w:pPr>
            <w:r>
              <w:t xml:space="preserve">384-core Volta GPU, 8GB RAM</w:t>
            </w:r>
          </w:p>
        </w:tc>
        <w:tc>
          <w:tcPr/>
          <w:p>
            <w:pPr>
              <w:pStyle w:val="Compact"/>
              <w:jc w:val="left"/>
            </w:pPr>
            <w:r>
              <w:t xml:space="preserve">10.0.4.150</w:t>
            </w:r>
          </w:p>
        </w:tc>
      </w:tr>
    </w:tbl>
    <w:p>
      <w:pPr>
        <w:pStyle w:val="BodyText"/>
      </w:pPr>
      <w:r>
        <w:t xml:space="preserve">The software stack includes PyTorch 2.x, HSEmotion pre-trained weights, TensorRT + DeepStream for edge inference, FastAPI backend, PostgreSQL 16, Streamlit UI, n8n orchestration, and MLflow experiment tracking.</w:t>
      </w:r>
    </w:p>
    <w:bookmarkEnd w:id="32"/>
    <w:bookmarkStart w:id="33" w:name="model-architecture"/>
    <w:p>
      <w:pPr>
        <w:pStyle w:val="Heading3"/>
      </w:pPr>
      <w:r>
        <w:t xml:space="preserve">3.2 Model Architecture</w:t>
      </w:r>
    </w:p>
    <w:p>
      <w:pPr>
        <w:pStyle w:val="FirstParagraph"/>
      </w:pPr>
      <w:r>
        <w:t xml:space="preserve">EfficientNet-B0 (Tan &amp; Le, 2019) processes 224×224 RGB inputs through MBConv blocks producing a 1280-dimensional feature vector. The HSEmotion checkpoint (</w:t>
      </w:r>
      <w:r>
        <w:rPr>
          <w:rStyle w:val="VerbatimChar"/>
        </w:rPr>
        <w:t xml:space="preserve">enet_b0_8_best_vgaf</w:t>
      </w:r>
      <w:r>
        <w:t xml:space="preserve">) was pre-trained on VGGFace2 then AffectNet for 8-class emotion classification. The 8-class head is replaced with a 3-class head:</w:t>
      </w:r>
    </w:p>
    <w:p>
      <w:pPr>
        <w:pStyle w:val="SourceCode"/>
      </w:pPr>
      <w:r>
        <w:rPr>
          <w:rStyle w:val="VerbatimChar"/>
        </w:rPr>
        <w:t xml:space="preserve">ClassificationHead(Dropout(p=0.3), Linear(1280 → 3))  # ~3,843 parameters</w:t>
      </w:r>
    </w:p>
    <w:p>
      <w:pPr>
        <w:pStyle w:val="FirstParagraph"/>
      </w:pPr>
      <w:r>
        <w:rPr>
          <w:bCs/>
          <w:b/>
        </w:rPr>
        <w:t xml:space="preserve">Variant 1 (Frozen):</w:t>
      </w:r>
      <w:r>
        <w:t xml:space="preserve"> </w:t>
      </w:r>
      <w:r>
        <w:t xml:space="preserve">Backbone completely frozen; only head trained (~4K params, ~2 hours GPU time).</w:t>
      </w:r>
    </w:p>
    <w:p>
      <w:pPr>
        <w:pStyle w:val="BodyText"/>
      </w:pPr>
      <w:r>
        <w:rPr>
          <w:bCs/>
          <w:b/>
        </w:rPr>
        <w:t xml:space="preserve">Variant 2 (Fine-Tuned):</w:t>
      </w:r>
      <w:r>
        <w:t xml:space="preserve"> </w:t>
      </w:r>
      <w:r>
        <w:t xml:space="preserve">Starting from V1 checkpoint, blocks.5, blocks.6, and conv_head are unfrozen (~500K params). Optimized via 90-trial hyperparameter sweep (~26 hours GPU time). Differential learning rate: backbone at LR/10, head at full LR.</w:t>
      </w:r>
    </w:p>
    <w:bookmarkEnd w:id="33"/>
    <w:bookmarkStart w:id="34" w:name="training-data-and-procedure"/>
    <w:p>
      <w:pPr>
        <w:pStyle w:val="Heading3"/>
      </w:pPr>
      <w:r>
        <w:t xml:space="preserve">3.3 Training Data and Procedure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Happy</w:t>
            </w:r>
          </w:p>
        </w:tc>
        <w:tc>
          <w:tcPr/>
          <w:p>
            <w:pPr>
              <w:pStyle w:val="Compact"/>
              <w:jc w:val="left"/>
            </w:pPr>
            <w:r>
              <w:t xml:space="preserve">Sad</w:t>
            </w:r>
          </w:p>
        </w:tc>
        <w:tc>
          <w:tcPr/>
          <w:p>
            <w:pPr>
              <w:pStyle w:val="Compact"/>
              <w:jc w:val="left"/>
            </w:pPr>
            <w:r>
              <w:t xml:space="preserve">Neutral</w:t>
            </w:r>
          </w:p>
        </w:tc>
        <w:tc>
          <w:tcPr/>
          <w:p>
            <w:pPr>
              <w:pStyle w:val="Compact"/>
              <w:jc w:val="left"/>
            </w:pPr>
            <w:r>
              <w:t xml:space="preserve">Total</w:t>
            </w:r>
          </w:p>
        </w:tc>
      </w:tr>
      <w:tr>
        <w:tc>
          <w:tcPr/>
          <w:p>
            <w:pPr>
              <w:pStyle w:val="Compact"/>
              <w:jc w:val="left"/>
            </w:pPr>
            <w:r>
              <w:rPr>
                <w:bCs/>
                <w:b/>
              </w:rPr>
              <w:t xml:space="preserve">Source videos</w:t>
            </w:r>
          </w:p>
        </w:tc>
        <w:tc>
          <w:tcPr/>
          <w:p>
            <w:pPr>
              <w:pStyle w:val="Compact"/>
              <w:jc w:val="left"/>
            </w:pPr>
            <w:r>
              <w:t xml:space="preserve">3,589</w:t>
            </w:r>
          </w:p>
        </w:tc>
        <w:tc>
          <w:tcPr/>
          <w:p>
            <w:pPr>
              <w:pStyle w:val="Compact"/>
              <w:jc w:val="left"/>
            </w:pPr>
            <w:r>
              <w:t xml:space="preserve">5,015</w:t>
            </w:r>
          </w:p>
        </w:tc>
        <w:tc>
          <w:tcPr/>
          <w:p>
            <w:pPr>
              <w:pStyle w:val="Compact"/>
              <w:jc w:val="left"/>
            </w:pPr>
            <w:r>
              <w:t xml:space="preserve">3,307</w:t>
            </w:r>
          </w:p>
        </w:tc>
        <w:tc>
          <w:tcPr/>
          <w:p>
            <w:pPr>
              <w:pStyle w:val="Compact"/>
              <w:jc w:val="left"/>
            </w:pPr>
            <w:r>
              <w:rPr>
                <w:bCs/>
                <w:b/>
              </w:rPr>
              <w:t xml:space="preserve">11,911</w:t>
            </w:r>
          </w:p>
        </w:tc>
      </w:tr>
      <w:tr>
        <w:tc>
          <w:tcPr/>
          <w:p>
            <w:pPr>
              <w:pStyle w:val="Compact"/>
              <w:jc w:val="left"/>
            </w:pPr>
            <w:r>
              <w:rPr>
                <w:bCs/>
                <w:b/>
              </w:rPr>
              <w:t xml:space="preserve">Training frames</w:t>
            </w:r>
            <w:r>
              <w:t xml:space="preserve"> </w:t>
            </w:r>
            <w:r>
              <w:t xml:space="preserve">(75%)</w:t>
            </w:r>
          </w:p>
        </w:tc>
        <w:tc>
          <w:tcPr/>
          <w:p>
            <w:pPr>
              <w:pStyle w:val="Compact"/>
              <w:jc w:val="left"/>
            </w:pPr>
            <w:r>
              <w:t xml:space="preserve">26,723</w:t>
            </w:r>
          </w:p>
        </w:tc>
        <w:tc>
          <w:tcPr/>
          <w:p>
            <w:pPr>
              <w:pStyle w:val="Compact"/>
              <w:jc w:val="left"/>
            </w:pPr>
            <w:r>
              <w:t xml:space="preserve">35,227</w:t>
            </w:r>
          </w:p>
        </w:tc>
        <w:tc>
          <w:tcPr/>
          <w:p>
            <w:pPr>
              <w:pStyle w:val="Compact"/>
              <w:jc w:val="left"/>
            </w:pPr>
            <w:r>
              <w:t xml:space="preserve">24,569</w:t>
            </w:r>
          </w:p>
        </w:tc>
        <w:tc>
          <w:tcPr/>
          <w:p>
            <w:pPr>
              <w:pStyle w:val="Compact"/>
              <w:jc w:val="left"/>
            </w:pPr>
            <w:r>
              <w:rPr>
                <w:bCs/>
                <w:b/>
              </w:rPr>
              <w:t xml:space="preserve">86,519</w:t>
            </w:r>
          </w:p>
        </w:tc>
      </w:tr>
      <w:tr>
        <w:tc>
          <w:tcPr/>
          <w:p>
            <w:pPr>
              <w:pStyle w:val="Compact"/>
              <w:jc w:val="left"/>
            </w:pPr>
            <w:r>
              <w:rPr>
                <w:bCs/>
                <w:b/>
              </w:rPr>
              <w:t xml:space="preserve">Validation frames</w:t>
            </w:r>
            <w:r>
              <w:t xml:space="preserve"> </w:t>
            </w:r>
            <w:r>
              <w:t xml:space="preserve">(25%)</w:t>
            </w:r>
          </w:p>
        </w:tc>
        <w:tc>
          <w:tcPr/>
          <w:p>
            <w:pPr>
              <w:pStyle w:val="Compact"/>
              <w:jc w:val="left"/>
            </w:pPr>
            <w:r>
              <w:t xml:space="preserve">8,908</w:t>
            </w:r>
          </w:p>
        </w:tc>
        <w:tc>
          <w:tcPr/>
          <w:p>
            <w:pPr>
              <w:pStyle w:val="Compact"/>
              <w:jc w:val="left"/>
            </w:pPr>
            <w:r>
              <w:t xml:space="preserve">11,742</w:t>
            </w:r>
          </w:p>
        </w:tc>
        <w:tc>
          <w:tcPr/>
          <w:p>
            <w:pPr>
              <w:pStyle w:val="Compact"/>
              <w:jc w:val="left"/>
            </w:pPr>
            <w:r>
              <w:t xml:space="preserve">8,190</w:t>
            </w:r>
          </w:p>
        </w:tc>
        <w:tc>
          <w:tcPr/>
          <w:p>
            <w:pPr>
              <w:pStyle w:val="Compact"/>
              <w:jc w:val="left"/>
            </w:pPr>
            <w:r>
              <w:rPr>
                <w:bCs/>
                <w:b/>
              </w:rPr>
              <w:t xml:space="preserve">28,840</w:t>
            </w:r>
          </w:p>
        </w:tc>
      </w:tr>
    </w:tbl>
    <w:p>
      <w:pPr>
        <w:pStyle w:val="BodyText"/>
      </w:pPr>
      <w:r>
        <w:t xml:space="preserve">All data is AI-generated synthetic face video, processed with face detection and cropping. Training uses AdamW optimizer, cosine annealing with warmup, mixed precision (FP16), Mixup augmentation (α=0.2), and label smoothing (0.15 for V1, 0.10 for V2). Early stopping monitors validation F1 macro with patience of 10 epochs.</w:t>
      </w:r>
    </w:p>
    <w:bookmarkEnd w:id="34"/>
    <w:bookmarkStart w:id="35" w:name="quality-gates"/>
    <w:p>
      <w:pPr>
        <w:pStyle w:val="Heading3"/>
      </w:pPr>
      <w:r>
        <w:t xml:space="preserve">3.4 Quality Gates</w:t>
      </w:r>
    </w:p>
    <w:p>
      <w:pPr>
        <w:pStyle w:val="FirstParagraph"/>
      </w:pPr>
      <w:r>
        <w:rPr>
          <w:bCs/>
          <w:b/>
        </w:rPr>
        <w:t xml:space="preserve">Gate A-val (synthetic validation):</w:t>
      </w:r>
      <w:r>
        <w:t xml:space="preserve"> </w:t>
      </w:r>
      <w:r>
        <w:t xml:space="preserve">F1 ≥ 0.84, balanced accuracy ≥ 0.85, per-class F1 ≥ 0.75, ECE ≤ 0.12, Brier ≤ 0.16. Controls ONNX export.</w:t>
      </w:r>
    </w:p>
    <w:p>
      <w:pPr>
        <w:pStyle w:val="BodyText"/>
      </w:pPr>
      <w:r>
        <w:rPr>
          <w:bCs/>
          <w:b/>
        </w:rPr>
        <w:t xml:space="preserve">Gate A-deploy (real-world test, per ADR 011):</w:t>
      </w:r>
      <w:r>
        <w:t xml:space="preserve"> </w:t>
      </w:r>
      <w:r>
        <w:t xml:space="preserve">F1 ≥ 0.75, balanced accuracy ≥ 0.75, per-class F1 ≥ 0.70, ECE ≤ 0.12. Controls Jetson deployment.</w:t>
      </w:r>
    </w:p>
    <w:p>
      <w:pPr>
        <w:pStyle w:val="BodyText"/>
      </w:pPr>
      <w:r>
        <w:t xml:space="preserve">The deploy tier has lower thresholds to accommodate the inherent synthetic-to-real generalization gap.</w:t>
      </w:r>
    </w:p>
    <w:bookmarkEnd w:id="35"/>
    <w:bookmarkStart w:id="36" w:name="deployment-pipeline"/>
    <w:p>
      <w:pPr>
        <w:pStyle w:val="Heading3"/>
      </w:pPr>
      <w:r>
        <w:t xml:space="preserve">3.5 Deployment Pipeline</w:t>
      </w:r>
    </w:p>
    <w:p>
      <w:pPr>
        <w:pStyle w:val="FirstParagraph"/>
      </w:pPr>
      <w:r>
        <w:t xml:space="preserve">Models passing Gate A-val are exported to ONNX (opset 13, dynamic batch), converted to TensorRT engines on the Jetson with FP16 precision, and integrated into NVIDIA DeepStream. The complete pipeline achieves p50 latency ≤ 120 ms and GPU memory ≤ 0.8 GB. The Deployment Agent (Agent 7) performs backup, Gate B validation (FPS ≥ 25, latency ≤ 120 ms, GPU ≤ 2.5 GB), and automatic rollback on failure.</w:t>
      </w:r>
    </w:p>
    <w:bookmarkEnd w:id="36"/>
    <w:bookmarkStart w:id="37" w:name="X8d425ed23c1d53620b23a7d050c6c3f37779a8f"/>
    <w:p>
      <w:pPr>
        <w:pStyle w:val="Heading3"/>
      </w:pPr>
      <w:r>
        <w:t xml:space="preserve">3.6 Agent Orchestration and Emotional Intelligence</w:t>
      </w:r>
    </w:p>
    <w:p>
      <w:pPr>
        <w:pStyle w:val="FirstParagraph"/>
      </w:pPr>
      <w:r>
        <w:t xml:space="preserve">Ten n8n agents automate the ML lifecycle: Ingest, Labeling, Promotion/Curation, Reconciler/Audit, Training Orchestrator, Evaluation, Deployment, Privacy/Retention, Observability, and Gesture Execution. Each agent operates within explicit safety constraints with full audit logging.</w:t>
      </w:r>
    </w:p>
    <w:p>
      <w:pPr>
        <w:pStyle w:val="BodyText"/>
      </w:pPr>
      <w:r>
        <w:t xml:space="preserve">The Emotional Intelligence Layer maps detected emotions to behavioral profiles via the Ekman taxonomy, with a 5-tier confidence-based gesture modulation 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Confidence</w:t>
            </w:r>
          </w:p>
        </w:tc>
        <w:tc>
          <w:tcPr/>
          <w:p>
            <w:pPr>
              <w:pStyle w:val="Compact"/>
              <w:jc w:val="left"/>
            </w:pPr>
            <w:r>
              <w:t xml:space="preserve">Expressiveness</w:t>
            </w:r>
          </w:p>
        </w:tc>
        <w:tc>
          <w:tcPr/>
          <w:p>
            <w:pPr>
              <w:pStyle w:val="Compact"/>
              <w:jc w:val="left"/>
            </w:pPr>
            <w:r>
              <w:t xml:space="preserve">Behavior</w:t>
            </w:r>
          </w:p>
        </w:tc>
      </w:tr>
      <w:tr>
        <w:tc>
          <w:tcPr/>
          <w:p>
            <w:pPr>
              <w:pStyle w:val="Compact"/>
              <w:jc w:val="left"/>
            </w:pPr>
            <w:r>
              <w:t xml:space="preserve">1</w:t>
            </w:r>
          </w:p>
        </w:tc>
        <w:tc>
          <w:tcPr/>
          <w:p>
            <w:pPr>
              <w:pStyle w:val="Compact"/>
              <w:jc w:val="left"/>
            </w:pPr>
            <w:r>
              <w:t xml:space="preserve">&lt; 0.60</w:t>
            </w:r>
          </w:p>
        </w:tc>
        <w:tc>
          <w:tcPr/>
          <w:p>
            <w:pPr>
              <w:pStyle w:val="Compact"/>
              <w:jc w:val="left"/>
            </w:pPr>
            <w:r>
              <w:t xml:space="preserve">Abstain</w:t>
            </w:r>
          </w:p>
        </w:tc>
        <w:tc>
          <w:tcPr/>
          <w:p>
            <w:pPr>
              <w:pStyle w:val="Compact"/>
              <w:jc w:val="left"/>
            </w:pPr>
            <w:r>
              <w:t xml:space="preserve">No gesture</w:t>
            </w:r>
          </w:p>
        </w:tc>
      </w:tr>
      <w:tr>
        <w:tc>
          <w:tcPr/>
          <w:p>
            <w:pPr>
              <w:pStyle w:val="Compact"/>
              <w:jc w:val="left"/>
            </w:pPr>
            <w:r>
              <w:t xml:space="preserve">2</w:t>
            </w:r>
          </w:p>
        </w:tc>
        <w:tc>
          <w:tcPr/>
          <w:p>
            <w:pPr>
              <w:pStyle w:val="Compact"/>
              <w:jc w:val="left"/>
            </w:pPr>
            <w:r>
              <w:t xml:space="preserve">0.60–0.70</w:t>
            </w:r>
          </w:p>
        </w:tc>
        <w:tc>
          <w:tcPr/>
          <w:p>
            <w:pPr>
              <w:pStyle w:val="Compact"/>
              <w:jc w:val="left"/>
            </w:pPr>
            <w:r>
              <w:t xml:space="preserve">Minimal</w:t>
            </w:r>
          </w:p>
        </w:tc>
        <w:tc>
          <w:tcPr/>
          <w:p>
            <w:pPr>
              <w:pStyle w:val="Compact"/>
              <w:jc w:val="left"/>
            </w:pPr>
            <w:r>
              <w:t xml:space="preserve">Subtle response</w:t>
            </w:r>
          </w:p>
        </w:tc>
      </w:tr>
      <w:tr>
        <w:tc>
          <w:tcPr/>
          <w:p>
            <w:pPr>
              <w:pStyle w:val="Compact"/>
              <w:jc w:val="left"/>
            </w:pPr>
            <w:r>
              <w:t xml:space="preserve">3</w:t>
            </w:r>
          </w:p>
        </w:tc>
        <w:tc>
          <w:tcPr/>
          <w:p>
            <w:pPr>
              <w:pStyle w:val="Compact"/>
              <w:jc w:val="left"/>
            </w:pPr>
            <w:r>
              <w:t xml:space="preserve">0.70–0.80</w:t>
            </w:r>
          </w:p>
        </w:tc>
        <w:tc>
          <w:tcPr/>
          <w:p>
            <w:pPr>
              <w:pStyle w:val="Compact"/>
              <w:jc w:val="left"/>
            </w:pPr>
            <w:r>
              <w:t xml:space="preserve">Moderate</w:t>
            </w:r>
          </w:p>
        </w:tc>
        <w:tc>
          <w:tcPr/>
          <w:p>
            <w:pPr>
              <w:pStyle w:val="Compact"/>
              <w:jc w:val="left"/>
            </w:pPr>
            <w:r>
              <w:t xml:space="preserve">Gentle gesture</w:t>
            </w:r>
          </w:p>
        </w:tc>
      </w:tr>
      <w:tr>
        <w:tc>
          <w:tcPr/>
          <w:p>
            <w:pPr>
              <w:pStyle w:val="Compact"/>
              <w:jc w:val="left"/>
            </w:pPr>
            <w:r>
              <w:t xml:space="preserve">4</w:t>
            </w:r>
          </w:p>
        </w:tc>
        <w:tc>
          <w:tcPr/>
          <w:p>
            <w:pPr>
              <w:pStyle w:val="Compact"/>
              <w:jc w:val="left"/>
            </w:pPr>
            <w:r>
              <w:t xml:space="preserve">0.80–0.90</w:t>
            </w:r>
          </w:p>
        </w:tc>
        <w:tc>
          <w:tcPr/>
          <w:p>
            <w:pPr>
              <w:pStyle w:val="Compact"/>
              <w:jc w:val="left"/>
            </w:pPr>
            <w:r>
              <w:t xml:space="preserve">Full</w:t>
            </w:r>
          </w:p>
        </w:tc>
        <w:tc>
          <w:tcPr/>
          <w:p>
            <w:pPr>
              <w:pStyle w:val="Compact"/>
              <w:jc w:val="left"/>
            </w:pPr>
            <w:r>
              <w:t xml:space="preserve">Clear gesture</w:t>
            </w:r>
          </w:p>
        </w:tc>
      </w:tr>
      <w:tr>
        <w:tc>
          <w:tcPr/>
          <w:p>
            <w:pPr>
              <w:pStyle w:val="Compact"/>
              <w:jc w:val="left"/>
            </w:pPr>
            <w:r>
              <w:t xml:space="preserve">5</w:t>
            </w:r>
          </w:p>
        </w:tc>
        <w:tc>
          <w:tcPr/>
          <w:p>
            <w:pPr>
              <w:pStyle w:val="Compact"/>
              <w:jc w:val="left"/>
            </w:pPr>
            <w:r>
              <w:t xml:space="preserve">&gt; 0.90</w:t>
            </w:r>
          </w:p>
        </w:tc>
        <w:tc>
          <w:tcPr/>
          <w:p>
            <w:pPr>
              <w:pStyle w:val="Compact"/>
              <w:jc w:val="left"/>
            </w:pPr>
            <w:r>
              <w:t xml:space="preserve">Maximum</w:t>
            </w:r>
          </w:p>
        </w:tc>
        <w:tc>
          <w:tcPr/>
          <w:p>
            <w:pPr>
              <w:pStyle w:val="Compact"/>
              <w:jc w:val="left"/>
            </w:pPr>
            <w:r>
              <w:t xml:space="preserve">Expressive gesture</w:t>
            </w:r>
          </w:p>
        </w:tc>
      </w:tr>
    </w:tbl>
    <w:p>
      <w:pPr>
        <w:pStyle w:val="BodyText"/>
      </w:pPr>
      <w:r>
        <w:t xml:space="preserve">Emotion-conditioned LLM prompting aligns the robot’s verbal responses with its physical gestures.</w:t>
      </w:r>
    </w:p>
    <w:p>
      <w:r>
        <w:pict>
          <v:rect style="width:0;height:1.5pt" o:hralign="center" o:hrstd="t" o:hr="t"/>
        </w:pict>
      </w:r>
    </w:p>
    <w:bookmarkEnd w:id="37"/>
    <w:bookmarkEnd w:id="38"/>
    <w:bookmarkStart w:id="47" w:name="chapter-4-experiments-and-results"/>
    <w:p>
      <w:pPr>
        <w:pStyle w:val="Heading2"/>
      </w:pPr>
      <w:r>
        <w:t xml:space="preserve">Chapter 4: Experiments and Results</w:t>
      </w:r>
    </w:p>
    <w:bookmarkStart w:id="39" w:name="test-dataset"/>
    <w:p>
      <w:pPr>
        <w:pStyle w:val="Heading3"/>
      </w:pPr>
      <w:r>
        <w:t xml:space="preserve">4.1 Test Dataset</w:t>
      </w:r>
    </w:p>
    <w:p>
      <w:pPr>
        <w:pStyle w:val="FirstParagraph"/>
      </w:pPr>
      <w:r>
        <w:t xml:space="preserve">The test set consists of 894 real photographs from AffectNet (Mollahosseini et al., 2017): 435 happy (48.7%), 160 sad (17.9%), 299 neutral (33.4%). Neither model saw any real photographs during training.</w:t>
      </w:r>
    </w:p>
    <w:bookmarkEnd w:id="39"/>
    <w:bookmarkStart w:id="40" w:name="the-face-cropping-discovery"/>
    <w:p>
      <w:pPr>
        <w:pStyle w:val="Heading3"/>
      </w:pPr>
      <w:r>
        <w:t xml:space="preserve">4.2 The Face Cropping Discovery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V1 Test F1</w:t>
            </w:r>
          </w:p>
        </w:tc>
        <w:tc>
          <w:tcPr/>
          <w:p>
            <w:pPr>
              <w:pStyle w:val="Compact"/>
              <w:jc w:val="left"/>
            </w:pPr>
            <w:r>
              <w:t xml:space="preserve">V2 Test F1</w:t>
            </w:r>
          </w:p>
        </w:tc>
      </w:tr>
      <w:tr>
        <w:tc>
          <w:tcPr/>
          <w:p>
            <w:pPr>
              <w:pStyle w:val="Compact"/>
              <w:jc w:val="left"/>
            </w:pPr>
            <w:r>
              <w:rPr>
                <w:bCs/>
                <w:b/>
              </w:rPr>
              <w:t xml:space="preserve">run_0104</w:t>
            </w:r>
            <w:r>
              <w:t xml:space="preserve"> </w:t>
            </w:r>
            <w:r>
              <w:t xml:space="preserve">(no face crop)</w:t>
            </w:r>
          </w:p>
        </w:tc>
        <w:tc>
          <w:tcPr/>
          <w:p>
            <w:pPr>
              <w:pStyle w:val="Compact"/>
              <w:jc w:val="left"/>
            </w:pPr>
            <w:r>
              <w:t xml:space="preserve">0.43</w:t>
            </w:r>
          </w:p>
        </w:tc>
        <w:tc>
          <w:tcPr/>
          <w:p>
            <w:pPr>
              <w:pStyle w:val="Compact"/>
              <w:jc w:val="left"/>
            </w:pPr>
            <w:r>
              <w:t xml:space="preserve">0.44</w:t>
            </w:r>
          </w:p>
        </w:tc>
      </w:tr>
      <w:tr>
        <w:tc>
          <w:tcPr/>
          <w:p>
            <w:pPr>
              <w:pStyle w:val="Compact"/>
              <w:jc w:val="left"/>
            </w:pPr>
            <w:r>
              <w:rPr>
                <w:bCs/>
                <w:b/>
              </w:rPr>
              <w:t xml:space="preserve">run_0107</w:t>
            </w:r>
            <w:r>
              <w:t xml:space="preserve"> </w:t>
            </w:r>
            <w:r>
              <w:t xml:space="preserve">(with face crop)</w:t>
            </w:r>
          </w:p>
        </w:tc>
        <w:tc>
          <w:tcPr/>
          <w:p>
            <w:pPr>
              <w:pStyle w:val="Compact"/>
              <w:jc w:val="left"/>
            </w:pPr>
            <w:r>
              <w:t xml:space="preserve">0.781</w:t>
            </w:r>
          </w:p>
        </w:tc>
        <w:tc>
          <w:tcPr/>
          <w:p>
            <w:pPr>
              <w:pStyle w:val="Compact"/>
              <w:jc w:val="left"/>
            </w:pPr>
            <w:r>
              <w:t xml:space="preserve">0.780</w:t>
            </w:r>
          </w:p>
        </w:tc>
      </w:tr>
      <w:tr>
        <w:tc>
          <w:tcPr/>
          <w:p>
            <w:pPr>
              <w:pStyle w:val="Compact"/>
              <w:jc w:val="left"/>
            </w:pPr>
            <w:r>
              <w:rPr>
                <w:bCs/>
                <w:b/>
              </w:rPr>
              <w:t xml:space="preserve">Improvement</w:t>
            </w:r>
          </w:p>
        </w:tc>
        <w:tc>
          <w:tcPr/>
          <w:p>
            <w:pPr>
              <w:pStyle w:val="Compact"/>
              <w:jc w:val="left"/>
            </w:pPr>
            <w:r>
              <w:rPr>
                <w:bCs/>
                <w:b/>
              </w:rPr>
              <w:t xml:space="preserve">+82%</w:t>
            </w:r>
          </w:p>
        </w:tc>
        <w:tc>
          <w:tcPr/>
          <w:p>
            <w:pPr>
              <w:pStyle w:val="Compact"/>
              <w:jc w:val="left"/>
            </w:pPr>
            <w:r>
              <w:rPr>
                <w:bCs/>
                <w:b/>
              </w:rPr>
              <w:t xml:space="preserve">+77%</w:t>
            </w:r>
          </w:p>
        </w:tc>
      </w:tr>
    </w:tbl>
    <w:p>
      <w:pPr>
        <w:pStyle w:val="BodyText"/>
      </w:pPr>
      <w:r>
        <w:t xml:space="preserve">Face cropping was the single most impactful change — more than any model architecture or hyperparameter optimization. The primary domain gap was contextual information (synthetic backgrounds), not facial expressions.</w:t>
      </w:r>
    </w:p>
    <w:bookmarkEnd w:id="40"/>
    <w:bookmarkStart w:id="41" w:name="synthetic-validation-results"/>
    <w:p>
      <w:pPr>
        <w:pStyle w:val="Heading3"/>
      </w:pPr>
      <w:r>
        <w:t xml:space="preserve">4.3 Synthetic Validation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F1 Macro</w:t>
            </w:r>
          </w:p>
        </w:tc>
        <w:tc>
          <w:tcPr/>
          <w:p>
            <w:pPr>
              <w:pStyle w:val="Compact"/>
              <w:jc w:val="left"/>
            </w:pPr>
            <w:r>
              <w:t xml:space="preserve">0.990</w:t>
            </w:r>
          </w:p>
        </w:tc>
        <w:tc>
          <w:tcPr/>
          <w:p>
            <w:pPr>
              <w:pStyle w:val="Compact"/>
              <w:jc w:val="left"/>
            </w:pPr>
            <w:r>
              <w:t xml:space="preserve">0.999</w:t>
            </w:r>
          </w:p>
        </w:tc>
      </w:tr>
      <w:tr>
        <w:tc>
          <w:tcPr/>
          <w:p>
            <w:pPr>
              <w:pStyle w:val="Compact"/>
              <w:jc w:val="left"/>
            </w:pPr>
            <w:r>
              <w:t xml:space="preserve">ECE</w:t>
            </w:r>
          </w:p>
        </w:tc>
        <w:tc>
          <w:tcPr/>
          <w:p>
            <w:pPr>
              <w:pStyle w:val="Compact"/>
              <w:jc w:val="left"/>
            </w:pPr>
            <w:r>
              <w:t xml:space="preserve">0.124</w:t>
            </w:r>
          </w:p>
        </w:tc>
        <w:tc>
          <w:tcPr/>
          <w:p>
            <w:pPr>
              <w:pStyle w:val="Compact"/>
              <w:jc w:val="left"/>
            </w:pPr>
            <w:r>
              <w:t xml:space="preserve">0.076</w:t>
            </w:r>
          </w:p>
        </w:tc>
      </w:tr>
      <w:tr>
        <w:tc>
          <w:tcPr/>
          <w:p>
            <w:pPr>
              <w:pStyle w:val="Compact"/>
              <w:jc w:val="left"/>
            </w:pPr>
            <w:r>
              <w:t xml:space="preserve">Gate A-val</w:t>
            </w:r>
          </w:p>
        </w:tc>
        <w:tc>
          <w:tcPr/>
          <w:p>
            <w:pPr>
              <w:pStyle w:val="Compact"/>
              <w:jc w:val="left"/>
            </w:pPr>
            <w:r>
              <w:rPr>
                <w:bCs/>
                <w:b/>
              </w:rPr>
              <w:t xml:space="preserve">FAILED</w:t>
            </w:r>
            <w:r>
              <w:t xml:space="preserve"> </w:t>
            </w:r>
            <w:r>
              <w:t xml:space="preserve">(ECE)</w:t>
            </w:r>
          </w:p>
        </w:tc>
        <w:tc>
          <w:tcPr/>
          <w:p>
            <w:pPr>
              <w:pStyle w:val="Compact"/>
              <w:jc w:val="left"/>
            </w:pPr>
            <w:r>
              <w:rPr>
                <w:bCs/>
                <w:b/>
              </w:rPr>
              <w:t xml:space="preserve">PASSED</w:t>
            </w:r>
          </w:p>
        </w:tc>
      </w:tr>
    </w:tbl>
    <w:p>
      <w:pPr>
        <w:pStyle w:val="BodyText"/>
      </w:pPr>
      <w:r>
        <w:t xml:space="preserve">V2’s near-perfect synthetic metrics do not translate to equivalent real-world performance.</w:t>
      </w:r>
    </w:p>
    <w:bookmarkEnd w:id="41"/>
    <w:bookmarkStart w:id="42" w:name="real-world-test-results"/>
    <w:p>
      <w:pPr>
        <w:pStyle w:val="Heading3"/>
      </w:pPr>
      <w:r>
        <w:t xml:space="preserve">4.4 Real-World Test Results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V1 run_0107</w:t>
            </w:r>
          </w:p>
        </w:tc>
        <w:tc>
          <w:tcPr/>
          <w:p>
            <w:pPr>
              <w:pStyle w:val="Compact"/>
              <w:jc w:val="left"/>
            </w:pPr>
            <w:r>
              <w:t xml:space="preserve">V2 run_0107</w:t>
            </w:r>
          </w:p>
        </w:tc>
        <w:tc>
          <w:tcPr/>
          <w:p>
            <w:pPr>
              <w:pStyle w:val="Compact"/>
              <w:jc w:val="left"/>
            </w:pPr>
            <w:r>
              <w:t xml:space="preserve">Winner</w:t>
            </w:r>
          </w:p>
        </w:tc>
      </w:tr>
      <w:tr>
        <w:tc>
          <w:tcPr/>
          <w:p>
            <w:pPr>
              <w:pStyle w:val="Compact"/>
              <w:jc w:val="left"/>
            </w:pPr>
            <w:r>
              <w:rPr>
                <w:bCs/>
                <w:b/>
              </w:rPr>
              <w:t xml:space="preserve">F1 Macro</w:t>
            </w:r>
          </w:p>
        </w:tc>
        <w:tc>
          <w:tcPr/>
          <w:p>
            <w:pPr>
              <w:pStyle w:val="Compact"/>
              <w:jc w:val="left"/>
            </w:pPr>
            <w:r>
              <w:rPr>
                <w:bCs/>
                <w:b/>
              </w:rPr>
              <w:t xml:space="preserve">0.7807</w:t>
            </w:r>
          </w:p>
        </w:tc>
        <w:tc>
          <w:tcPr/>
          <w:p>
            <w:pPr>
              <w:pStyle w:val="Compact"/>
              <w:jc w:val="left"/>
            </w:pPr>
            <w:r>
              <w:t xml:space="preserve">0.7798</w:t>
            </w:r>
          </w:p>
        </w:tc>
        <w:tc>
          <w:tcPr/>
          <w:p>
            <w:pPr>
              <w:pStyle w:val="Compact"/>
              <w:jc w:val="left"/>
            </w:pPr>
            <w:r>
              <w:t xml:space="preserve">V1</w:t>
            </w:r>
          </w:p>
        </w:tc>
      </w:tr>
      <w:tr>
        <w:tc>
          <w:tcPr/>
          <w:p>
            <w:pPr>
              <w:pStyle w:val="Compact"/>
              <w:jc w:val="left"/>
            </w:pPr>
            <w:r>
              <w:rPr>
                <w:bCs/>
                <w:b/>
              </w:rPr>
              <w:t xml:space="preserve">Balanced Accuracy</w:t>
            </w:r>
          </w:p>
        </w:tc>
        <w:tc>
          <w:tcPr/>
          <w:p>
            <w:pPr>
              <w:pStyle w:val="Compact"/>
              <w:jc w:val="left"/>
            </w:pPr>
            <w:r>
              <w:t xml:space="preserve">0.7994</w:t>
            </w:r>
          </w:p>
        </w:tc>
        <w:tc>
          <w:tcPr/>
          <w:p>
            <w:pPr>
              <w:pStyle w:val="Compact"/>
              <w:jc w:val="left"/>
            </w:pPr>
            <w:r>
              <w:rPr>
                <w:bCs/>
                <w:b/>
              </w:rPr>
              <w:t xml:space="preserve">0.8118</w:t>
            </w:r>
          </w:p>
        </w:tc>
        <w:tc>
          <w:tcPr/>
          <w:p>
            <w:pPr>
              <w:pStyle w:val="Compact"/>
              <w:jc w:val="left"/>
            </w:pPr>
            <w:r>
              <w:t xml:space="preserve">V2</w:t>
            </w:r>
          </w:p>
        </w:tc>
      </w:tr>
      <w:tr>
        <w:tc>
          <w:tcPr/>
          <w:p>
            <w:pPr>
              <w:pStyle w:val="Compact"/>
              <w:jc w:val="left"/>
            </w:pPr>
            <w:r>
              <w:t xml:space="preserve">Accuracy</w:t>
            </w:r>
          </w:p>
        </w:tc>
        <w:tc>
          <w:tcPr/>
          <w:p>
            <w:pPr>
              <w:pStyle w:val="Compact"/>
              <w:jc w:val="left"/>
            </w:pPr>
            <w:r>
              <w:t xml:space="preserve">0.7707</w:t>
            </w:r>
          </w:p>
        </w:tc>
        <w:tc>
          <w:tcPr/>
          <w:p>
            <w:pPr>
              <w:pStyle w:val="Compact"/>
              <w:jc w:val="left"/>
            </w:pPr>
            <w:r>
              <w:rPr>
                <w:bCs/>
                <w:b/>
              </w:rPr>
              <w:t xml:space="preserve">0.8166</w:t>
            </w:r>
          </w:p>
        </w:tc>
        <w:tc>
          <w:tcPr/>
          <w:p>
            <w:pPr>
              <w:pStyle w:val="Compact"/>
              <w:jc w:val="left"/>
            </w:pPr>
            <w:r>
              <w:t xml:space="preserve">V2</w:t>
            </w:r>
          </w:p>
        </w:tc>
      </w:tr>
      <w:tr>
        <w:tc>
          <w:tcPr/>
          <w:p>
            <w:pPr>
              <w:pStyle w:val="Compact"/>
              <w:jc w:val="left"/>
            </w:pPr>
            <w:r>
              <w:rPr>
                <w:bCs/>
                <w:b/>
              </w:rPr>
              <w:t xml:space="preserve">F1 Happy</w:t>
            </w:r>
          </w:p>
        </w:tc>
        <w:tc>
          <w:tcPr/>
          <w:p>
            <w:pPr>
              <w:pStyle w:val="Compact"/>
              <w:jc w:val="left"/>
            </w:pPr>
            <w:r>
              <w:t xml:space="preserve">0.7770</w:t>
            </w:r>
          </w:p>
        </w:tc>
        <w:tc>
          <w:tcPr/>
          <w:p>
            <w:pPr>
              <w:pStyle w:val="Compact"/>
              <w:jc w:val="left"/>
            </w:pPr>
            <w:r>
              <w:rPr>
                <w:bCs/>
                <w:b/>
              </w:rPr>
              <w:t xml:space="preserve">0.9464</w:t>
            </w:r>
          </w:p>
        </w:tc>
        <w:tc>
          <w:tcPr/>
          <w:p>
            <w:pPr>
              <w:pStyle w:val="Compact"/>
              <w:jc w:val="left"/>
            </w:pPr>
            <w:r>
              <w:t xml:space="preserve">V2</w:t>
            </w:r>
          </w:p>
        </w:tc>
      </w:tr>
      <w:tr>
        <w:tc>
          <w:tcPr/>
          <w:p>
            <w:pPr>
              <w:pStyle w:val="Compact"/>
              <w:jc w:val="left"/>
            </w:pPr>
            <w:r>
              <w:rPr>
                <w:bCs/>
                <w:b/>
              </w:rPr>
              <w:t xml:space="preserve">F1 Sad</w:t>
            </w:r>
          </w:p>
        </w:tc>
        <w:tc>
          <w:tcPr/>
          <w:p>
            <w:pPr>
              <w:pStyle w:val="Compact"/>
              <w:jc w:val="left"/>
            </w:pPr>
            <w:r>
              <w:rPr>
                <w:bCs/>
                <w:b/>
              </w:rPr>
              <w:t xml:space="preserve">0.8224</w:t>
            </w:r>
          </w:p>
        </w:tc>
        <w:tc>
          <w:tcPr/>
          <w:p>
            <w:pPr>
              <w:pStyle w:val="Compact"/>
              <w:jc w:val="left"/>
            </w:pPr>
            <w:r>
              <w:t xml:space="preserve">0.6940</w:t>
            </w:r>
          </w:p>
        </w:tc>
        <w:tc>
          <w:tcPr/>
          <w:p>
            <w:pPr>
              <w:pStyle w:val="Compact"/>
              <w:jc w:val="left"/>
            </w:pPr>
            <w:r>
              <w:t xml:space="preserve">V1</w:t>
            </w:r>
          </w:p>
        </w:tc>
      </w:tr>
      <w:tr>
        <w:tc>
          <w:tcPr/>
          <w:p>
            <w:pPr>
              <w:pStyle w:val="Compact"/>
              <w:jc w:val="left"/>
            </w:pPr>
            <w:r>
              <w:rPr>
                <w:bCs/>
                <w:b/>
              </w:rPr>
              <w:t xml:space="preserve">F1 Neutral</w:t>
            </w:r>
          </w:p>
        </w:tc>
        <w:tc>
          <w:tcPr/>
          <w:p>
            <w:pPr>
              <w:pStyle w:val="Compact"/>
              <w:jc w:val="left"/>
            </w:pPr>
            <w:r>
              <w:rPr>
                <w:bCs/>
                <w:b/>
              </w:rPr>
              <w:t xml:space="preserve">0.7427</w:t>
            </w:r>
          </w:p>
        </w:tc>
        <w:tc>
          <w:tcPr/>
          <w:p>
            <w:pPr>
              <w:pStyle w:val="Compact"/>
              <w:jc w:val="left"/>
            </w:pPr>
            <w:r>
              <w:t xml:space="preserve">0.6990</w:t>
            </w:r>
          </w:p>
        </w:tc>
        <w:tc>
          <w:tcPr/>
          <w:p>
            <w:pPr>
              <w:pStyle w:val="Compact"/>
              <w:jc w:val="left"/>
            </w:pPr>
            <w:r>
              <w:t xml:space="preserve">V1</w:t>
            </w:r>
          </w:p>
        </w:tc>
      </w:tr>
      <w:tr>
        <w:tc>
          <w:tcPr/>
          <w:p>
            <w:pPr>
              <w:pStyle w:val="Compact"/>
              <w:jc w:val="left"/>
            </w:pPr>
            <w:r>
              <w:rPr>
                <w:bCs/>
                <w:b/>
              </w:rPr>
              <w:t xml:space="preserve">ECE</w:t>
            </w:r>
          </w:p>
        </w:tc>
        <w:tc>
          <w:tcPr/>
          <w:p>
            <w:pPr>
              <w:pStyle w:val="Compact"/>
              <w:jc w:val="left"/>
            </w:pPr>
            <w:r>
              <w:t xml:space="preserve">0.1024</w:t>
            </w:r>
          </w:p>
        </w:tc>
        <w:tc>
          <w:tcPr/>
          <w:p>
            <w:pPr>
              <w:pStyle w:val="Compact"/>
              <w:jc w:val="left"/>
            </w:pPr>
            <w:r>
              <w:rPr>
                <w:bCs/>
                <w:b/>
              </w:rPr>
              <w:t xml:space="preserve">0.0955</w:t>
            </w:r>
          </w:p>
        </w:tc>
        <w:tc>
          <w:tcPr/>
          <w:p>
            <w:pPr>
              <w:pStyle w:val="Compact"/>
              <w:jc w:val="left"/>
            </w:pPr>
            <w:r>
              <w:t xml:space="preserve">V2</w:t>
            </w:r>
          </w:p>
        </w:tc>
      </w:tr>
      <w:tr>
        <w:tc>
          <w:tcPr/>
          <w:p>
            <w:pPr>
              <w:pStyle w:val="Compact"/>
              <w:jc w:val="left"/>
            </w:pPr>
            <w:r>
              <w:t xml:space="preserve">Brier</w:t>
            </w:r>
          </w:p>
        </w:tc>
        <w:tc>
          <w:tcPr/>
          <w:p>
            <w:pPr>
              <w:pStyle w:val="Compact"/>
              <w:jc w:val="left"/>
            </w:pPr>
            <w:r>
              <w:t xml:space="preserve">0.3401</w:t>
            </w:r>
          </w:p>
        </w:tc>
        <w:tc>
          <w:tcPr/>
          <w:p>
            <w:pPr>
              <w:pStyle w:val="Compact"/>
              <w:jc w:val="left"/>
            </w:pPr>
            <w:r>
              <w:rPr>
                <w:bCs/>
                <w:b/>
              </w:rPr>
              <w:t xml:space="preserve">0.2787</w:t>
            </w:r>
          </w:p>
        </w:tc>
        <w:tc>
          <w:tcPr/>
          <w:p>
            <w:pPr>
              <w:pStyle w:val="Compact"/>
              <w:jc w:val="left"/>
            </w:pPr>
            <w:r>
              <w:t xml:space="preserve">V2</w:t>
            </w:r>
          </w:p>
        </w:tc>
      </w:tr>
    </w:tbl>
    <w:p>
      <w:pPr>
        <w:pStyle w:val="BodyText"/>
      </w:pPr>
      <w:r>
        <w:t xml:space="preserve">The near-identical F1 macro (Δ = 0.001) conceals radically different per-class profiles.</w:t>
      </w:r>
    </w:p>
    <w:bookmarkEnd w:id="42"/>
    <w:bookmarkStart w:id="43" w:name="confusion-matrix-analysis"/>
    <w:p>
      <w:pPr>
        <w:pStyle w:val="Heading3"/>
      </w:pPr>
      <w:r>
        <w:t xml:space="preserve">4.5 Confusion Matrix Analysis</w:t>
      </w:r>
    </w:p>
    <w:p>
      <w:pPr>
        <w:pStyle w:val="FirstParagraph"/>
      </w:pPr>
      <w:r>
        <w:rPr>
          <w:bCs/>
          <w:b/>
        </w:rPr>
        <w:t xml:space="preserve">Variant 1:</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277      11      147       435      63.7%</w:t>
      </w:r>
      <w:r>
        <w:br/>
      </w:r>
      <w:r>
        <w:rPr>
          <w:rStyle w:val="VerbatimChar"/>
        </w:rPr>
        <w:t xml:space="preserve">  Sad              0     132       28       160      82.5%</w:t>
      </w:r>
      <w:r>
        <w:br/>
      </w:r>
      <w:r>
        <w:rPr>
          <w:rStyle w:val="VerbatimChar"/>
        </w:rPr>
        <w:t xml:space="preserve">  Neutral          1      18      280       299      93.6%</w:t>
      </w:r>
      <w:r>
        <w:br/>
      </w:r>
      <w:r>
        <w:br/>
      </w:r>
      <w:r>
        <w:rPr>
          <w:rStyle w:val="VerbatimChar"/>
        </w:rPr>
        <w:t xml:space="preserve">  Precision:   99.6%   81.9%   61.5%</w:t>
      </w:r>
    </w:p>
    <w:p>
      <w:pPr>
        <w:pStyle w:val="FirstParagraph"/>
      </w:pPr>
      <w:r>
        <w:rPr>
          <w:bCs/>
          <w:b/>
        </w:rPr>
        <w:t xml:space="preserve">Variant 2:</w:t>
      </w:r>
    </w:p>
    <w:p>
      <w:pPr>
        <w:pStyle w:val="SourceCode"/>
      </w:pPr>
      <w:r>
        <w:rPr>
          <w:rStyle w:val="VerbatimChar"/>
        </w:rPr>
        <w:t xml:space="preserve">                Predicted</w:t>
      </w:r>
      <w:r>
        <w:br/>
      </w:r>
      <w:r>
        <w:rPr>
          <w:rStyle w:val="VerbatimChar"/>
        </w:rPr>
        <w:t xml:space="preserve">                Happy    Sad    Neutral    Total    Recall</w:t>
      </w:r>
      <w:r>
        <w:br/>
      </w:r>
      <w:r>
        <w:rPr>
          <w:rStyle w:val="VerbatimChar"/>
        </w:rPr>
        <w:t xml:space="preserve">  Happy          406       6       23       435      93.3%</w:t>
      </w:r>
      <w:r>
        <w:br/>
      </w:r>
      <w:r>
        <w:rPr>
          <w:rStyle w:val="VerbatimChar"/>
        </w:rPr>
        <w:t xml:space="preserve">  Sad              3     144       13       160      90.0%</w:t>
      </w:r>
      <w:r>
        <w:br/>
      </w:r>
      <w:r>
        <w:rPr>
          <w:rStyle w:val="VerbatimChar"/>
        </w:rPr>
        <w:t xml:space="preserve">  Neutral         14     105      180       299      60.2%</w:t>
      </w:r>
      <w:r>
        <w:br/>
      </w:r>
      <w:r>
        <w:br/>
      </w:r>
      <w:r>
        <w:rPr>
          <w:rStyle w:val="VerbatimChar"/>
        </w:rPr>
        <w:t xml:space="preserve">  Precision:   96.0%   56.5%   83.3%</w:t>
      </w:r>
    </w:p>
    <w:p>
      <w:pPr>
        <w:pStyle w:val="FirstParagraph"/>
      </w:pPr>
      <w:r>
        <w:rPr>
          <w:bCs/>
          <w:b/>
        </w:rPr>
        <w:t xml:space="preserve">V1’s dominant error</w:t>
      </w:r>
      <w:r>
        <w:t xml:space="preserve"> </w:t>
      </w:r>
      <w:r>
        <w:t xml:space="preserve">is happy → neutral (33.8%), which is</w:t>
      </w:r>
      <w:r>
        <w:t xml:space="preserve"> </w:t>
      </w:r>
      <w:r>
        <w:rPr>
          <w:bCs/>
          <w:b/>
        </w:rPr>
        <w:t xml:space="preserve">behaviorally benign</w:t>
      </w:r>
      <w:r>
        <w:t xml:space="preserve"> </w:t>
      </w:r>
      <w:r>
        <w:t xml:space="preserve">— the robot under-reacts with a neutral demeanor rather than celebrating. V1 produces zero happy → sad cross-valence errors.</w:t>
      </w:r>
    </w:p>
    <w:p>
      <w:pPr>
        <w:pStyle w:val="BodyText"/>
      </w:pPr>
      <w:r>
        <w:rPr>
          <w:bCs/>
          <w:b/>
        </w:rPr>
        <w:t xml:space="preserve">V2’s dominant error</w:t>
      </w:r>
      <w:r>
        <w:t xml:space="preserve"> </w:t>
      </w:r>
      <w:r>
        <w:t xml:space="preserve">is neutral → sad (35.1%), which is</w:t>
      </w:r>
      <w:r>
        <w:t xml:space="preserve"> </w:t>
      </w:r>
      <w:r>
        <w:rPr>
          <w:bCs/>
          <w:b/>
        </w:rPr>
        <w:t xml:space="preserve">behaviorally disruptive</w:t>
      </w:r>
      <w:r>
        <w:t xml:space="preserve"> </w:t>
      </w:r>
      <w:r>
        <w:t xml:space="preserve">— the robot offers unsolicited empathy to people who are merely at rest. V2’s sad precision is only 56.5%, meaning its sad predictions are correct barely more than half the time.</w:t>
      </w:r>
    </w:p>
    <w:bookmarkEnd w:id="43"/>
    <w:bookmarkStart w:id="44" w:name="gate-a-deploy-compliance"/>
    <w:p>
      <w:pPr>
        <w:pStyle w:val="Heading3"/>
      </w:pPr>
      <w:r>
        <w:t xml:space="preserve">4.6 Gate A-deploy Compliance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Threshold</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F1 Macro ≥ 0.75</w:t>
            </w:r>
          </w:p>
        </w:tc>
        <w:tc>
          <w:tcPr/>
          <w:p>
            <w:pPr>
              <w:pStyle w:val="Compact"/>
              <w:jc w:val="left"/>
            </w:pPr>
            <w:r>
              <w:t xml:space="preserve">0.75</w:t>
            </w:r>
          </w:p>
        </w:tc>
        <w:tc>
          <w:tcPr/>
          <w:p>
            <w:pPr>
              <w:pStyle w:val="Compact"/>
              <w:jc w:val="left"/>
            </w:pPr>
            <w:r>
              <w:rPr>
                <w:bCs/>
                <w:b/>
              </w:rPr>
              <w:t xml:space="preserve">0.7807 PASS</w:t>
            </w:r>
          </w:p>
        </w:tc>
        <w:tc>
          <w:tcPr/>
          <w:p>
            <w:pPr>
              <w:pStyle w:val="Compact"/>
              <w:jc w:val="left"/>
            </w:pPr>
            <w:r>
              <w:rPr>
                <w:bCs/>
                <w:b/>
              </w:rPr>
              <w:t xml:space="preserve">0.7798 PASS</w:t>
            </w:r>
          </w:p>
        </w:tc>
      </w:tr>
      <w:tr>
        <w:tc>
          <w:tcPr/>
          <w:p>
            <w:pPr>
              <w:pStyle w:val="Compact"/>
              <w:jc w:val="left"/>
            </w:pPr>
            <w:r>
              <w:t xml:space="preserve">Balanced Acc ≥ 0.75</w:t>
            </w:r>
          </w:p>
        </w:tc>
        <w:tc>
          <w:tcPr/>
          <w:p>
            <w:pPr>
              <w:pStyle w:val="Compact"/>
              <w:jc w:val="left"/>
            </w:pPr>
            <w:r>
              <w:t xml:space="preserve">0.75</w:t>
            </w:r>
          </w:p>
        </w:tc>
        <w:tc>
          <w:tcPr/>
          <w:p>
            <w:pPr>
              <w:pStyle w:val="Compact"/>
              <w:jc w:val="left"/>
            </w:pPr>
            <w:r>
              <w:rPr>
                <w:bCs/>
                <w:b/>
              </w:rPr>
              <w:t xml:space="preserve">0.7994 PASS</w:t>
            </w:r>
          </w:p>
        </w:tc>
        <w:tc>
          <w:tcPr/>
          <w:p>
            <w:pPr>
              <w:pStyle w:val="Compact"/>
              <w:jc w:val="left"/>
            </w:pPr>
            <w:r>
              <w:rPr>
                <w:bCs/>
                <w:b/>
              </w:rPr>
              <w:t xml:space="preserve">0.8118 PASS</w:t>
            </w:r>
          </w:p>
        </w:tc>
      </w:tr>
      <w:tr>
        <w:tc>
          <w:tcPr/>
          <w:p>
            <w:pPr>
              <w:pStyle w:val="Compact"/>
              <w:jc w:val="left"/>
            </w:pPr>
            <w:r>
              <w:t xml:space="preserve">F1 Happy ≥ 0.70</w:t>
            </w:r>
          </w:p>
        </w:tc>
        <w:tc>
          <w:tcPr/>
          <w:p>
            <w:pPr>
              <w:pStyle w:val="Compact"/>
              <w:jc w:val="left"/>
            </w:pPr>
            <w:r>
              <w:t xml:space="preserve">0.70</w:t>
            </w:r>
          </w:p>
        </w:tc>
        <w:tc>
          <w:tcPr/>
          <w:p>
            <w:pPr>
              <w:pStyle w:val="Compact"/>
              <w:jc w:val="left"/>
            </w:pPr>
            <w:r>
              <w:rPr>
                <w:bCs/>
                <w:b/>
              </w:rPr>
              <w:t xml:space="preserve">0.7770 PASS</w:t>
            </w:r>
          </w:p>
        </w:tc>
        <w:tc>
          <w:tcPr/>
          <w:p>
            <w:pPr>
              <w:pStyle w:val="Compact"/>
              <w:jc w:val="left"/>
            </w:pPr>
            <w:r>
              <w:rPr>
                <w:bCs/>
                <w:b/>
              </w:rPr>
              <w:t xml:space="preserve">0.9464 PASS</w:t>
            </w:r>
          </w:p>
        </w:tc>
      </w:tr>
      <w:tr>
        <w:tc>
          <w:tcPr/>
          <w:p>
            <w:pPr>
              <w:pStyle w:val="Compact"/>
              <w:jc w:val="left"/>
            </w:pPr>
            <w:r>
              <w:t xml:space="preserve">F1 Sad ≥ 0.70</w:t>
            </w:r>
          </w:p>
        </w:tc>
        <w:tc>
          <w:tcPr/>
          <w:p>
            <w:pPr>
              <w:pStyle w:val="Compact"/>
              <w:jc w:val="left"/>
            </w:pPr>
            <w:r>
              <w:t xml:space="preserve">0.70</w:t>
            </w:r>
          </w:p>
        </w:tc>
        <w:tc>
          <w:tcPr/>
          <w:p>
            <w:pPr>
              <w:pStyle w:val="Compact"/>
              <w:jc w:val="left"/>
            </w:pPr>
            <w:r>
              <w:rPr>
                <w:bCs/>
                <w:b/>
              </w:rPr>
              <w:t xml:space="preserve">0.8224 PASS</w:t>
            </w:r>
          </w:p>
        </w:tc>
        <w:tc>
          <w:tcPr/>
          <w:p>
            <w:pPr>
              <w:pStyle w:val="Compact"/>
              <w:jc w:val="left"/>
            </w:pPr>
            <w:r>
              <w:rPr>
                <w:bCs/>
                <w:b/>
              </w:rPr>
              <w:t xml:space="preserve">0.6940 FAIL</w:t>
            </w:r>
          </w:p>
        </w:tc>
      </w:tr>
      <w:tr>
        <w:tc>
          <w:tcPr/>
          <w:p>
            <w:pPr>
              <w:pStyle w:val="Compact"/>
              <w:jc w:val="left"/>
            </w:pPr>
            <w:r>
              <w:t xml:space="preserve">F1 Neutral ≥ 0.70</w:t>
            </w:r>
          </w:p>
        </w:tc>
        <w:tc>
          <w:tcPr/>
          <w:p>
            <w:pPr>
              <w:pStyle w:val="Compact"/>
              <w:jc w:val="left"/>
            </w:pPr>
            <w:r>
              <w:t xml:space="preserve">0.70</w:t>
            </w:r>
          </w:p>
        </w:tc>
        <w:tc>
          <w:tcPr/>
          <w:p>
            <w:pPr>
              <w:pStyle w:val="Compact"/>
              <w:jc w:val="left"/>
            </w:pPr>
            <w:r>
              <w:rPr>
                <w:bCs/>
                <w:b/>
              </w:rPr>
              <w:t xml:space="preserve">0.7427 PASS</w:t>
            </w:r>
          </w:p>
        </w:tc>
        <w:tc>
          <w:tcPr/>
          <w:p>
            <w:pPr>
              <w:pStyle w:val="Compact"/>
              <w:jc w:val="left"/>
            </w:pPr>
            <w:r>
              <w:rPr>
                <w:bCs/>
                <w:b/>
              </w:rPr>
              <w:t xml:space="preserve">0.6990 FAIL</w:t>
            </w:r>
          </w:p>
        </w:tc>
      </w:tr>
      <w:tr>
        <w:tc>
          <w:tcPr/>
          <w:p>
            <w:pPr>
              <w:pStyle w:val="Compact"/>
              <w:jc w:val="left"/>
            </w:pPr>
            <w:r>
              <w:t xml:space="preserve">ECE ≤ 0.12</w:t>
            </w:r>
          </w:p>
        </w:tc>
        <w:tc>
          <w:tcPr/>
          <w:p>
            <w:pPr>
              <w:pStyle w:val="Compact"/>
              <w:jc w:val="left"/>
            </w:pPr>
            <w:r>
              <w:t xml:space="preserve">0.12</w:t>
            </w:r>
          </w:p>
        </w:tc>
        <w:tc>
          <w:tcPr/>
          <w:p>
            <w:pPr>
              <w:pStyle w:val="Compact"/>
              <w:jc w:val="left"/>
            </w:pPr>
            <w:r>
              <w:rPr>
                <w:bCs/>
                <w:b/>
              </w:rPr>
              <w:t xml:space="preserve">0.1024 PASS</w:t>
            </w:r>
          </w:p>
        </w:tc>
        <w:tc>
          <w:tcPr/>
          <w:p>
            <w:pPr>
              <w:pStyle w:val="Compact"/>
              <w:jc w:val="left"/>
            </w:pPr>
            <w:r>
              <w:rPr>
                <w:bCs/>
                <w:b/>
              </w:rPr>
              <w:t xml:space="preserve">0.0955 PASS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6/6 PASSED</w:t>
            </w:r>
          </w:p>
        </w:tc>
        <w:tc>
          <w:tcPr/>
          <w:p>
            <w:pPr>
              <w:pStyle w:val="Compact"/>
              <w:jc w:val="left"/>
            </w:pPr>
            <w:r>
              <w:rPr>
                <w:bCs/>
                <w:b/>
              </w:rPr>
              <w:t xml:space="preserve">4/6 FAILED</w:t>
            </w:r>
          </w:p>
        </w:tc>
      </w:tr>
    </w:tbl>
    <w:p>
      <w:pPr>
        <w:pStyle w:val="BodyText"/>
      </w:pPr>
      <w:r>
        <w:t xml:space="preserve">The per-class F1 gate catches V2’s systematic neglect of sad and neutral classes — a failure mode invisible to aggregate metrics.</w:t>
      </w:r>
    </w:p>
    <w:bookmarkEnd w:id="44"/>
    <w:bookmarkStart w:id="45" w:name="base-model-benchmark"/>
    <w:p>
      <w:pPr>
        <w:pStyle w:val="Heading3"/>
      </w:pPr>
      <w:r>
        <w:t xml:space="preserve">4.7 Base Model Benchmark</w:t>
      </w:r>
    </w:p>
    <w:p>
      <w:pPr>
        <w:pStyle w:val="FirstParagraph"/>
      </w:pPr>
      <w:r>
        <w:t xml:space="preserve">The unmodified HSEmotion base model (8-class head) achieves F1 = 0.926 on the same test set, demonstrating the ceiling achievable with real-data pre-training. The 14.5 pp gap (0.926 vs. 0.781) represents the cost of synthetic-only training. The base model is not a deployment candidate because its 8-class output is incompatible with the project’s 3-class behavioral pipeline.</w:t>
      </w:r>
    </w:p>
    <w:bookmarkEnd w:id="45"/>
    <w:bookmarkStart w:id="46" w:name="calibration"/>
    <w:p>
      <w:pPr>
        <w:pStyle w:val="Heading3"/>
      </w:pPr>
      <w:r>
        <w:t xml:space="preserve">4.8 Calibration</w:t>
      </w:r>
    </w:p>
    <w:p>
      <w:pPr>
        <w:pStyle w:val="FirstParagraph"/>
      </w:pPr>
      <w:r>
        <w:t xml:space="preserve">Both variants pass ECE ≤ 0.12 (V1: 0.102, V2: 0.096). The Brier score difference (0.340 vs. 0.279) is driven by V2’s higher raw accuracy on happy, not by calibration quality. Both models’ confidence scores are similarly trustworthy for the gesture modulation system.</w:t>
      </w:r>
    </w:p>
    <w:p>
      <w:r>
        <w:pict>
          <v:rect style="width:0;height:1.5pt" o:hralign="center" o:hrstd="t" o:hr="t"/>
        </w:pict>
      </w:r>
    </w:p>
    <w:bookmarkEnd w:id="46"/>
    <w:bookmarkEnd w:id="47"/>
    <w:bookmarkStart w:id="57" w:name="X0cbbab911358e5082bdcc2e140627259ffefdad"/>
    <w:p>
      <w:pPr>
        <w:pStyle w:val="Heading2"/>
      </w:pPr>
      <w:r>
        <w:t xml:space="preserve">Chapter 5: Statistical Analysis for Model Selection</w:t>
      </w:r>
    </w:p>
    <w:p>
      <w:pPr>
        <w:pStyle w:val="FirstParagraph"/>
      </w:pPr>
      <w:r>
        <w:t xml:space="preserve">This chapter presents the comprehensive statistical analysis underpinning the deployment decision. The analysis goes beyond point estimates to characterize uncertainty, significance, and practical implications. All tests were implemented in R (R Core Team, 2024).</w:t>
      </w:r>
    </w:p>
    <w:bookmarkStart w:id="48" w:name="confidence-intervals-on-per-class-recall"/>
    <w:p>
      <w:pPr>
        <w:pStyle w:val="Heading3"/>
      </w:pPr>
      <w:r>
        <w:t xml:space="preserve">5.1 Confidence Intervals on Per-Class Recall</w:t>
      </w:r>
    </w:p>
    <w:p>
      <w:pPr>
        <w:pStyle w:val="FirstParagraph"/>
      </w:pPr>
      <w:r>
        <w:t xml:space="preserve">We compute</w:t>
      </w:r>
      <w:r>
        <w:t xml:space="preserve"> </w:t>
      </w:r>
      <w:r>
        <w:rPr>
          <w:bCs/>
          <w:b/>
        </w:rPr>
        <w:t xml:space="preserve">Wilson score 95% confidence intervals</w:t>
      </w:r>
      <w:r>
        <w:t xml:space="preserve"> </w:t>
      </w:r>
      <w:r>
        <w:t xml:space="preserve">— preferred over Wald intervals because Wilson intervals maintain correct coverage even when the true proportion is near 0 or 1 (Wilson, 1927; Agresti &amp; Coull, 1998; Brown et al., 2001).</w:t>
      </w:r>
    </w:p>
    <w:p>
      <w:pPr>
        <w:pStyle w:val="BodyText"/>
      </w:pPr>
      <w:r>
        <w:t xml:space="preserve">For a class with</w:t>
      </w:r>
      <w:r>
        <w:t xml:space="preserve"> </w:t>
      </w:r>
      <m:oMath>
        <m:sSub>
          <m:e>
            <m:r>
              <m:t>n</m:t>
            </m:r>
          </m:e>
          <m:sub>
            <m:r>
              <m:t>k</m:t>
            </m:r>
          </m:sub>
        </m:sSub>
      </m:oMath>
      <w:r>
        <w:t xml:space="preserve"> </w:t>
      </w:r>
      <w:r>
        <w:t xml:space="preserve">samples and observed recall</w:t>
      </w:r>
      <w:r>
        <w:t xml:space="preserve"> </w:t>
      </w:r>
      <m:oMath>
        <m:acc>
          <m:accPr>
            <m:chr m:val="̂"/>
          </m:accPr>
          <m:e>
            <m:r>
              <m:t>p</m:t>
            </m:r>
          </m:e>
        </m:acc>
      </m:oMath>
      <w:r>
        <w:t xml:space="preserve">, the Wilson interval is:</w:t>
      </w:r>
    </w:p>
    <w:p>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sSub>
                    <m:e>
                      <m:r>
                        <m:t>n</m:t>
                      </m:r>
                    </m:e>
                    <m:sub>
                      <m:r>
                        <m:t>k</m:t>
                      </m:r>
                    </m:sub>
                  </m:sSub>
                </m:den>
              </m:f>
              <m:r>
                <m:rPr>
                  <m:sty m:val="p"/>
                </m:rPr>
                <m:t>±</m:t>
              </m:r>
              <m:r>
                <m:t>z</m:t>
              </m:r>
              <m:rad>
                <m:radPr>
                  <m:degHide m:val="on"/>
                </m:radPr>
                <m:deg/>
                <m:e>
                  <m:f>
                    <m:fPr>
                      <m:type m:val="bar"/>
                    </m:fPr>
                    <m:num>
                      <m:acc>
                        <m:accPr>
                          <m:chr m:val="̂"/>
                        </m:accPr>
                        <m:e>
                          <m:r>
                            <m:t>p</m:t>
                          </m:r>
                        </m:e>
                      </m:acc>
                      <m:d>
                        <m:dPr>
                          <m:begChr m:val="("/>
                          <m:endChr m:val=")"/>
                          <m:sepChr m:val=""/>
                          <m:grow/>
                        </m:dPr>
                        <m:e>
                          <m:r>
                            <m:t>1</m:t>
                          </m:r>
                          <m:r>
                            <m:rPr>
                              <m:sty m:val="p"/>
                            </m:rPr>
                            <m:t>−</m:t>
                          </m:r>
                          <m:acc>
                            <m:accPr>
                              <m:chr m:val="̂"/>
                            </m:accPr>
                            <m:e>
                              <m:r>
                                <m:t>p</m:t>
                              </m:r>
                            </m:e>
                          </m:acc>
                        </m:e>
                      </m:d>
                      <m:r>
                        <m:rPr>
                          <m:sty m:val="p"/>
                        </m:rPr>
                        <m:t>+</m:t>
                      </m:r>
                      <m:f>
                        <m:fPr>
                          <m:type m:val="bar"/>
                        </m:fPr>
                        <m:num>
                          <m:sSup>
                            <m:e>
                              <m:r>
                                <m:t>z</m:t>
                              </m:r>
                            </m:e>
                            <m:sup>
                              <m:r>
                                <m:t>2</m:t>
                              </m:r>
                            </m:sup>
                          </m:sSup>
                        </m:num>
                        <m:den>
                          <m:r>
                            <m:t>4</m:t>
                          </m:r>
                          <m:sSub>
                            <m:e>
                              <m:r>
                                <m:t>n</m:t>
                              </m:r>
                            </m:e>
                            <m:sub>
                              <m:r>
                                <m:t>k</m:t>
                              </m:r>
                            </m:sub>
                          </m:sSub>
                        </m:den>
                      </m:f>
                    </m:num>
                    <m:den>
                      <m:sSub>
                        <m:e>
                          <m:r>
                            <m:t>n</m:t>
                          </m:r>
                        </m:e>
                        <m:sub>
                          <m:r>
                            <m:t>k</m:t>
                          </m:r>
                        </m:sub>
                      </m:sSub>
                    </m:den>
                  </m:f>
                </m:e>
              </m:rad>
            </m:num>
            <m:den>
              <m:r>
                <m:t>1</m:t>
              </m:r>
              <m:r>
                <m:rPr>
                  <m:sty m:val="p"/>
                </m:rPr>
                <m:t>+</m:t>
              </m:r>
              <m:f>
                <m:fPr>
                  <m:type m:val="bar"/>
                </m:fPr>
                <m:num>
                  <m:sSup>
                    <m:e>
                      <m:r>
                        <m:t>z</m:t>
                      </m:r>
                    </m:e>
                    <m:sup>
                      <m:r>
                        <m:t>2</m:t>
                      </m:r>
                    </m:sup>
                  </m:sSup>
                </m:num>
                <m:den>
                  <m:sSub>
                    <m:e>
                      <m:r>
                        <m:t>n</m:t>
                      </m:r>
                    </m:e>
                    <m:sub>
                      <m:r>
                        <m:t>k</m:t>
                      </m:r>
                    </m:sub>
                  </m:sSub>
                </m:den>
              </m:f>
            </m:den>
          </m:f>
        </m:oMath>
      </m:oMathPara>
    </w:p>
    <w:p>
      <w:pPr>
        <w:pStyle w:val="FirstParagraph"/>
      </w:pPr>
      <w:r>
        <w:t xml:space="preserve">where</w:t>
      </w:r>
      <w:r>
        <w:t xml:space="preserve"> </w:t>
      </w:r>
      <m:oMath>
        <m:r>
          <m:t>z</m:t>
        </m:r>
        <m:r>
          <m:rPr>
            <m:sty m:val="p"/>
          </m:rPr>
          <m:t>=</m:t>
        </m:r>
        <m:r>
          <m:t>1.96</m:t>
        </m:r>
      </m:oMath>
      <w:r>
        <w:t xml:space="preserve"> </w:t>
      </w:r>
      <w:r>
        <w:t xml:space="preserve">for</w:t>
      </w:r>
      <w:r>
        <w:t xml:space="preserve"> </w:t>
      </w:r>
      <m:oMath>
        <m:r>
          <m:t>α</m:t>
        </m:r>
        <m:r>
          <m:rPr>
            <m:sty m:val="p"/>
          </m:rPr>
          <m:t>=</m:t>
        </m:r>
        <m:r>
          <m:t>0.05</m:t>
        </m:r>
      </m:oMath>
      <w:r>
        <w:t xml:space="preserve">.</w:t>
      </w:r>
    </w:p>
    <w:p>
      <w:pPr>
        <w:pStyle w:val="BodyText"/>
      </w:pPr>
      <w:r>
        <w:rPr>
          <w:bCs/>
          <w:b/>
        </w:rPr>
        <w:t xml:space="preserve">Table 1. Wilson score 95% confidence intervals for per-class recall.</w:t>
      </w:r>
    </w:p>
    <w:tbl>
      <w:tblPr>
        <w:tblStyle w:val="Table"/>
        <w:tblW w:type="pct" w:w="5000"/>
        <w:tblLook w:firstRow="1" w:lastRow="0" w:firstColumn="0" w:lastColumn="0" w:noHBand="0" w:noVBand="0" w:val="0020"/>
        <w:jc w:val="start"/>
      </w:tblPr>
      <w:tblGrid>
        <w:gridCol w:w="2217"/>
        <w:gridCol w:w="950"/>
        <w:gridCol w:w="1584"/>
        <w:gridCol w:w="1584"/>
        <w:gridCol w:w="1584"/>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Recall [95% CI]</w:t>
            </w:r>
          </w:p>
        </w:tc>
        <w:tc>
          <w:tcPr/>
          <w:p>
            <w:pPr>
              <w:pStyle w:val="Compact"/>
              <w:jc w:val="left"/>
            </w:pPr>
            <w:r>
              <w:t xml:space="preserve">V2 Recall [95% CI]</w:t>
            </w:r>
          </w:p>
        </w:tc>
        <w:tc>
          <w:tcPr/>
          <w:p>
            <w:pPr>
              <w:pStyle w:val="Compact"/>
              <w:jc w:val="left"/>
            </w:pPr>
            <w:r>
              <w:t xml:space="preserve">CIs Overlap?</w:t>
            </w:r>
          </w:p>
        </w:tc>
      </w:tr>
      <w:tr>
        <w:tc>
          <w:tcPr/>
          <w:p>
            <w:pPr>
              <w:pStyle w:val="Compact"/>
              <w:jc w:val="left"/>
            </w:pPr>
            <w:r>
              <w:rPr>
                <w:bCs/>
                <w:b/>
              </w:rPr>
              <w:t xml:space="preserve">Happy</w:t>
            </w:r>
          </w:p>
        </w:tc>
        <w:tc>
          <w:tcPr/>
          <w:p>
            <w:pPr>
              <w:pStyle w:val="Compact"/>
              <w:jc w:val="left"/>
            </w:pPr>
            <w:r>
              <w:t xml:space="preserve">435</w:t>
            </w:r>
          </w:p>
        </w:tc>
        <w:tc>
          <w:tcPr/>
          <w:p>
            <w:pPr>
              <w:pStyle w:val="Compact"/>
              <w:jc w:val="left"/>
            </w:pPr>
            <w:r>
              <w:t xml:space="preserve">0.637 [0.591, 0.681]</w:t>
            </w:r>
          </w:p>
        </w:tc>
        <w:tc>
          <w:tcPr/>
          <w:p>
            <w:pPr>
              <w:pStyle w:val="Compact"/>
              <w:jc w:val="left"/>
            </w:pPr>
            <w:r>
              <w:rPr>
                <w:bCs/>
                <w:b/>
              </w:rPr>
              <w:t xml:space="preserve">0.933</w:t>
            </w:r>
            <w:r>
              <w:t xml:space="preserve"> </w:t>
            </w:r>
            <w:r>
              <w:t xml:space="preserve">[0.906, 0.953]</w:t>
            </w:r>
          </w:p>
        </w:tc>
        <w:tc>
          <w:tcPr/>
          <w:p>
            <w:pPr>
              <w:pStyle w:val="Compact"/>
              <w:jc w:val="left"/>
            </w:pPr>
            <w:r>
              <w:rPr>
                <w:bCs/>
                <w:b/>
              </w:rPr>
              <w:t xml:space="preserve">No</w:t>
            </w:r>
            <w:r>
              <w:t xml:space="preserve"> </w:t>
            </w:r>
            <w:r>
              <w:t xml:space="preserve">— V2 statistically superior</w:t>
            </w:r>
          </w:p>
        </w:tc>
      </w:tr>
      <w:tr>
        <w:tc>
          <w:tcPr/>
          <w:p>
            <w:pPr>
              <w:pStyle w:val="Compact"/>
              <w:jc w:val="left"/>
            </w:pPr>
            <w:r>
              <w:rPr>
                <w:bCs/>
                <w:b/>
              </w:rPr>
              <w:t xml:space="preserve">Sad</w:t>
            </w:r>
          </w:p>
        </w:tc>
        <w:tc>
          <w:tcPr/>
          <w:p>
            <w:pPr>
              <w:pStyle w:val="Compact"/>
              <w:jc w:val="left"/>
            </w:pPr>
            <w:r>
              <w:t xml:space="preserve">160</w:t>
            </w:r>
          </w:p>
        </w:tc>
        <w:tc>
          <w:tcPr/>
          <w:p>
            <w:pPr>
              <w:pStyle w:val="Compact"/>
              <w:jc w:val="left"/>
            </w:pPr>
            <w:r>
              <w:rPr>
                <w:bCs/>
                <w:b/>
              </w:rPr>
              <w:t xml:space="preserve">0.825</w:t>
            </w:r>
            <w:r>
              <w:t xml:space="preserve"> </w:t>
            </w:r>
            <w:r>
              <w:t xml:space="preserve">[0.759, 0.876]</w:t>
            </w:r>
          </w:p>
        </w:tc>
        <w:tc>
          <w:tcPr/>
          <w:p>
            <w:pPr>
              <w:pStyle w:val="Compact"/>
              <w:jc w:val="left"/>
            </w:pPr>
            <w:r>
              <w:t xml:space="preserve">0.900 [0.844, 0.938]</w:t>
            </w:r>
          </w:p>
        </w:tc>
        <w:tc>
          <w:tcPr/>
          <w:p>
            <w:pPr>
              <w:pStyle w:val="Compact"/>
              <w:jc w:val="left"/>
            </w:pPr>
            <w:r>
              <w:t xml:space="preserve">Yes — not statistically significant</w:t>
            </w:r>
          </w:p>
        </w:tc>
      </w:tr>
      <w:tr>
        <w:tc>
          <w:tcPr/>
          <w:p>
            <w:pPr>
              <w:pStyle w:val="Compact"/>
              <w:jc w:val="left"/>
            </w:pPr>
            <w:r>
              <w:rPr>
                <w:bCs/>
                <w:b/>
              </w:rPr>
              <w:t xml:space="preserve">Neutral</w:t>
            </w:r>
          </w:p>
        </w:tc>
        <w:tc>
          <w:tcPr/>
          <w:p>
            <w:pPr>
              <w:pStyle w:val="Compact"/>
              <w:jc w:val="left"/>
            </w:pPr>
            <w:r>
              <w:t xml:space="preserve">299</w:t>
            </w:r>
          </w:p>
        </w:tc>
        <w:tc>
          <w:tcPr/>
          <w:p>
            <w:pPr>
              <w:pStyle w:val="Compact"/>
              <w:jc w:val="left"/>
            </w:pPr>
            <w:r>
              <w:rPr>
                <w:bCs/>
                <w:b/>
              </w:rPr>
              <w:t xml:space="preserve">0.936</w:t>
            </w:r>
            <w:r>
              <w:t xml:space="preserve"> </w:t>
            </w:r>
            <w:r>
              <w:t xml:space="preserve">[0.903, 0.959]</w:t>
            </w:r>
          </w:p>
        </w:tc>
        <w:tc>
          <w:tcPr/>
          <w:p>
            <w:pPr>
              <w:pStyle w:val="Compact"/>
              <w:jc w:val="left"/>
            </w:pPr>
            <w:r>
              <w:t xml:space="preserve">0.602 [0.546, 0.656]</w:t>
            </w:r>
          </w:p>
        </w:tc>
        <w:tc>
          <w:tcPr/>
          <w:p>
            <w:pPr>
              <w:pStyle w:val="Compact"/>
              <w:jc w:val="left"/>
            </w:pPr>
            <w:r>
              <w:rPr>
                <w:bCs/>
                <w:b/>
              </w:rPr>
              <w:t xml:space="preserve">No</w:t>
            </w:r>
            <w:r>
              <w:t xml:space="preserve"> </w:t>
            </w:r>
            <w:r>
              <w:t xml:space="preserve">— V1 statistically superior</w:t>
            </w:r>
          </w:p>
        </w:tc>
      </w:tr>
    </w:tbl>
    <w:p>
      <w:pPr>
        <w:pStyle w:val="BodyText"/>
      </w:pPr>
      <w:r>
        <w:rPr>
          <w:bCs/>
          <w:b/>
        </w:rPr>
        <w:t xml:space="preserve">Interpretation:</w:t>
      </w:r>
      <w:r>
        <w:t xml:space="preserve"> </w:t>
      </w:r>
      <w:r>
        <w:t xml:space="preserve">On happy, V2 is unambiguously better (non-overlapping CIs, Δ = +29.7 pp). On sad, V2 has a slight edge but the difference is not statistically significant (overlapping CIs). On neutral, V1 is unambiguously better (non-overlapping CIs, Δ = +33.4 pp).</w:t>
      </w:r>
    </w:p>
    <w:p>
      <w:pPr>
        <w:pStyle w:val="BodyText"/>
      </w:pPr>
      <w:r>
        <w:t xml:space="preserve">The two models trade statistically significant advantages on different classes. Neither is uniformly superior. The deployment decision hinges on</w:t>
      </w:r>
      <w:r>
        <w:t xml:space="preserve"> </w:t>
      </w:r>
      <w:r>
        <w:rPr>
          <w:iCs/>
          <w:i/>
        </w:rPr>
        <w:t xml:space="preserve">which errors matter more</w:t>
      </w:r>
      <w:r>
        <w:t xml:space="preserve"> </w:t>
      </w:r>
      <w:r>
        <w:t xml:space="preserve">— an insight aggregate metrics completely conceal.</w:t>
      </w:r>
    </w:p>
    <w:bookmarkEnd w:id="48"/>
    <w:bookmarkStart w:id="49" w:name="X88cba22b78f2716ac42e8afda2bcca983eab638"/>
    <w:p>
      <w:pPr>
        <w:pStyle w:val="Heading3"/>
      </w:pPr>
      <w:r>
        <w:t xml:space="preserve">5.2 Per-Class F1 z-Test Against Deployment Threshold</w:t>
      </w:r>
    </w:p>
    <w:p>
      <w:pPr>
        <w:pStyle w:val="FirstParagraph"/>
      </w:pPr>
      <w:r>
        <w:t xml:space="preserve">Using the delta-method approximation</w:t>
      </w:r>
      <w:r>
        <w:t xml:space="preserve"> </w:t>
      </w:r>
      <m:oMath>
        <m:r>
          <m:t>S</m:t>
        </m:r>
        <m:r>
          <m:t>E</m:t>
        </m:r>
        <m:d>
          <m:dPr>
            <m:begChr m:val="("/>
            <m:endChr m:val=")"/>
            <m:sepChr m:val=""/>
            <m:grow/>
          </m:dPr>
          <m:e>
            <m:r>
              <m:t>F</m:t>
            </m:r>
            <m:r>
              <m:t>1</m:t>
            </m:r>
          </m:e>
        </m:d>
        <m:r>
          <m:rPr>
            <m:sty m:val="p"/>
          </m:rPr>
          <m:t>≈</m:t>
        </m:r>
        <m:rad>
          <m:radPr>
            <m:degHide m:val="on"/>
          </m:radPr>
          <m:deg/>
          <m:e>
            <m:r>
              <m:t>F</m:t>
            </m:r>
            <m:r>
              <m:t>1</m:t>
            </m:r>
            <m:r>
              <m:rPr>
                <m:sty m:val="p"/>
              </m:rPr>
              <m:t>⋅</m:t>
            </m:r>
            <m:d>
              <m:dPr>
                <m:begChr m:val="("/>
                <m:endChr m:val=")"/>
                <m:sepChr m:val=""/>
                <m:grow/>
              </m:dPr>
              <m:e>
                <m:r>
                  <m:t>1</m:t>
                </m:r>
                <m:r>
                  <m:rPr>
                    <m:sty m:val="p"/>
                  </m:rPr>
                  <m:t>−</m:t>
                </m:r>
                <m:r>
                  <m:t>F</m:t>
                </m:r>
                <m:r>
                  <m:t>1</m:t>
                </m:r>
              </m:e>
            </m:d>
            <m:r>
              <m:rPr>
                <m:sty m:val="p"/>
              </m:rPr>
              <m:t>/</m:t>
            </m:r>
            <m:sSub>
              <m:e>
                <m:r>
                  <m:t>n</m:t>
                </m:r>
              </m:e>
              <m:sub>
                <m:r>
                  <m:t>k</m:t>
                </m:r>
              </m:sub>
            </m:sSub>
          </m:e>
        </m:rad>
      </m:oMath>
      <w:r>
        <w:t xml:space="preserve">, we test whether each per-class F1 is significantly above or below the 0.70 deployment threshold:</w:t>
      </w:r>
    </w:p>
    <w:p>
      <w:pPr>
        <w:pStyle w:val="BodyText"/>
      </w:pPr>
      <w:r>
        <w:rPr>
          <w:bCs/>
          <w:b/>
        </w:rPr>
        <w:t xml:space="preserve">Table 2. Per-class F1 z-test against the 0.70 deployment threshold.</w:t>
      </w:r>
    </w:p>
    <w:tbl>
      <w:tblPr>
        <w:tblStyle w:val="Table"/>
        <w:tblW w:type="pct" w:w="5000"/>
        <w:tblLook w:firstRow="1" w:lastRow="0" w:firstColumn="0" w:lastColumn="0" w:noHBand="0" w:noVBand="0" w:val="0020"/>
        <w:jc w:val="start"/>
      </w:tblPr>
      <w:tblGrid>
        <w:gridCol w:w="749"/>
        <w:gridCol w:w="321"/>
        <w:gridCol w:w="749"/>
        <w:gridCol w:w="535"/>
        <w:gridCol w:w="1177"/>
        <w:gridCol w:w="963"/>
        <w:gridCol w:w="749"/>
        <w:gridCol w:w="535"/>
        <w:gridCol w:w="1177"/>
        <w:gridCol w:w="963"/>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V1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c>
          <w:tcPr/>
          <w:p>
            <w:pPr>
              <w:pStyle w:val="Compact"/>
              <w:jc w:val="left"/>
            </w:pPr>
            <w:r>
              <w:t xml:space="preserve">V2 F1</w:t>
            </w:r>
          </w:p>
        </w:tc>
        <w:tc>
          <w:tcPr/>
          <w:p>
            <w:pPr>
              <w:pStyle w:val="Compact"/>
              <w:jc w:val="left"/>
            </w:pPr>
            <w:r>
              <w:t xml:space="preserve">SE</w:t>
            </w:r>
          </w:p>
        </w:tc>
        <w:tc>
          <w:tcPr/>
          <w:p>
            <w:pPr>
              <w:pStyle w:val="Compact"/>
              <w:jc w:val="left"/>
            </w:pPr>
            <w:r>
              <w:t xml:space="preserve">z vs 0.70</w:t>
            </w:r>
          </w:p>
        </w:tc>
        <w:tc>
          <w:tcPr/>
          <w:p>
            <w:pPr>
              <w:pStyle w:val="Compact"/>
              <w:jc w:val="left"/>
            </w:pPr>
            <w:r>
              <w:t xml:space="preserve">p-value</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0.777</w:t>
            </w:r>
          </w:p>
        </w:tc>
        <w:tc>
          <w:tcPr/>
          <w:p>
            <w:pPr>
              <w:pStyle w:val="Compact"/>
              <w:jc w:val="left"/>
            </w:pPr>
            <w:r>
              <w:t xml:space="preserve">0.020</w:t>
            </w:r>
          </w:p>
        </w:tc>
        <w:tc>
          <w:tcPr/>
          <w:p>
            <w:pPr>
              <w:pStyle w:val="Compact"/>
              <w:jc w:val="left"/>
            </w:pPr>
            <w:r>
              <w:rPr>
                <w:bCs/>
                <w:b/>
              </w:rPr>
              <w:t xml:space="preserve">+3.85</w:t>
            </w:r>
          </w:p>
        </w:tc>
        <w:tc>
          <w:tcPr/>
          <w:p>
            <w:pPr>
              <w:pStyle w:val="Compact"/>
              <w:jc w:val="left"/>
            </w:pPr>
            <w:r>
              <w:t xml:space="preserve">&lt; 0.001</w:t>
            </w:r>
          </w:p>
        </w:tc>
        <w:tc>
          <w:tcPr/>
          <w:p>
            <w:pPr>
              <w:pStyle w:val="Compact"/>
              <w:jc w:val="left"/>
            </w:pPr>
            <w:r>
              <w:t xml:space="preserve">0.946</w:t>
            </w:r>
          </w:p>
        </w:tc>
        <w:tc>
          <w:tcPr/>
          <w:p>
            <w:pPr>
              <w:pStyle w:val="Compact"/>
              <w:jc w:val="left"/>
            </w:pPr>
            <w:r>
              <w:t xml:space="preserve">0.011</w:t>
            </w:r>
          </w:p>
        </w:tc>
        <w:tc>
          <w:tcPr/>
          <w:p>
            <w:pPr>
              <w:pStyle w:val="Compact"/>
              <w:jc w:val="left"/>
            </w:pPr>
            <w:r>
              <w:t xml:space="preserve">+22.9</w:t>
            </w:r>
          </w:p>
        </w:tc>
        <w:tc>
          <w:tcPr/>
          <w:p>
            <w:pPr>
              <w:pStyle w:val="Compact"/>
              <w:jc w:val="left"/>
            </w:pPr>
            <w:r>
              <w:t xml:space="preserve">&lt; 0.001</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0.822</w:t>
            </w:r>
          </w:p>
        </w:tc>
        <w:tc>
          <w:tcPr/>
          <w:p>
            <w:pPr>
              <w:pStyle w:val="Compact"/>
              <w:jc w:val="left"/>
            </w:pPr>
            <w:r>
              <w:t xml:space="preserve">0.030</w:t>
            </w:r>
          </w:p>
        </w:tc>
        <w:tc>
          <w:tcPr/>
          <w:p>
            <w:pPr>
              <w:pStyle w:val="Compact"/>
              <w:jc w:val="left"/>
            </w:pPr>
            <w:r>
              <w:rPr>
                <w:bCs/>
                <w:b/>
              </w:rPr>
              <w:t xml:space="preserve">+4.07</w:t>
            </w:r>
          </w:p>
        </w:tc>
        <w:tc>
          <w:tcPr/>
          <w:p>
            <w:pPr>
              <w:pStyle w:val="Compact"/>
              <w:jc w:val="left"/>
            </w:pPr>
            <w:r>
              <w:t xml:space="preserve">&lt; 0.001</w:t>
            </w:r>
          </w:p>
        </w:tc>
        <w:tc>
          <w:tcPr/>
          <w:p>
            <w:pPr>
              <w:pStyle w:val="Compact"/>
              <w:jc w:val="left"/>
            </w:pPr>
            <w:r>
              <w:t xml:space="preserve">0.694</w:t>
            </w:r>
          </w:p>
        </w:tc>
        <w:tc>
          <w:tcPr/>
          <w:p>
            <w:pPr>
              <w:pStyle w:val="Compact"/>
              <w:jc w:val="left"/>
            </w:pPr>
            <w:r>
              <w:t xml:space="preserve">0.036</w:t>
            </w:r>
          </w:p>
        </w:tc>
        <w:tc>
          <w:tcPr/>
          <w:p>
            <w:pPr>
              <w:pStyle w:val="Compact"/>
              <w:jc w:val="left"/>
            </w:pPr>
            <w:r>
              <w:rPr>
                <w:bCs/>
                <w:b/>
              </w:rPr>
              <w:t xml:space="preserve">−0.17</w:t>
            </w:r>
          </w:p>
        </w:tc>
        <w:tc>
          <w:tcPr/>
          <w:p>
            <w:pPr>
              <w:pStyle w:val="Compact"/>
              <w:jc w:val="left"/>
            </w:pPr>
            <w:r>
              <w:t xml:space="preserve">0.43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0.743</w:t>
            </w:r>
          </w:p>
        </w:tc>
        <w:tc>
          <w:tcPr/>
          <w:p>
            <w:pPr>
              <w:pStyle w:val="Compact"/>
              <w:jc w:val="left"/>
            </w:pPr>
            <w:r>
              <w:t xml:space="preserve">0.025</w:t>
            </w:r>
          </w:p>
        </w:tc>
        <w:tc>
          <w:tcPr/>
          <w:p>
            <w:pPr>
              <w:pStyle w:val="Compact"/>
              <w:jc w:val="left"/>
            </w:pPr>
            <w:r>
              <w:t xml:space="preserve">+1.71</w:t>
            </w:r>
          </w:p>
        </w:tc>
        <w:tc>
          <w:tcPr/>
          <w:p>
            <w:pPr>
              <w:pStyle w:val="Compact"/>
              <w:jc w:val="left"/>
            </w:pPr>
            <w:r>
              <w:t xml:space="preserve">0.044</w:t>
            </w:r>
          </w:p>
        </w:tc>
        <w:tc>
          <w:tcPr/>
          <w:p>
            <w:pPr>
              <w:pStyle w:val="Compact"/>
              <w:jc w:val="left"/>
            </w:pPr>
            <w:r>
              <w:t xml:space="preserve">0.699</w:t>
            </w:r>
          </w:p>
        </w:tc>
        <w:tc>
          <w:tcPr/>
          <w:p>
            <w:pPr>
              <w:pStyle w:val="Compact"/>
              <w:jc w:val="left"/>
            </w:pPr>
            <w:r>
              <w:t xml:space="preserve">0.027</w:t>
            </w:r>
          </w:p>
        </w:tc>
        <w:tc>
          <w:tcPr/>
          <w:p>
            <w:pPr>
              <w:pStyle w:val="Compact"/>
              <w:jc w:val="left"/>
            </w:pPr>
            <w:r>
              <w:rPr>
                <w:bCs/>
                <w:b/>
              </w:rPr>
              <w:t xml:space="preserve">−0.04</w:t>
            </w:r>
          </w:p>
        </w:tc>
        <w:tc>
          <w:tcPr/>
          <w:p>
            <w:pPr>
              <w:pStyle w:val="Compact"/>
              <w:jc w:val="left"/>
            </w:pPr>
            <w:r>
              <w:t xml:space="preserve">0.48</w:t>
            </w:r>
          </w:p>
        </w:tc>
      </w:tr>
    </w:tbl>
    <w:p>
      <w:pPr>
        <w:pStyle w:val="BodyText"/>
      </w:pPr>
      <w:r>
        <w:rPr>
          <w:bCs/>
          <w:b/>
        </w:rPr>
        <w:t xml:space="preserve">Interpretation:</w:t>
      </w:r>
    </w:p>
    <w:p>
      <w:pPr>
        <w:numPr>
          <w:ilvl w:val="0"/>
          <w:numId w:val="1003"/>
        </w:numPr>
        <w:pStyle w:val="Compact"/>
      </w:pPr>
      <w:r>
        <w:rPr>
          <w:bCs/>
          <w:b/>
        </w:rPr>
        <w:t xml:space="preserve">V1 Happy and Sad</w:t>
      </w:r>
      <w:r>
        <w:t xml:space="preserve"> </w:t>
      </w:r>
      <w:r>
        <w:t xml:space="preserve">are both significantly above 0.70 at</w:t>
      </w:r>
      <w:r>
        <w:t xml:space="preserve"> </w:t>
      </w:r>
      <m:oMath>
        <m:r>
          <m:t>p</m:t>
        </m:r>
        <m:r>
          <m:rPr>
            <m:sty m:val="p"/>
          </m:rPr>
          <m:t>&lt;</m:t>
        </m:r>
        <m:r>
          <m:t>0.001</m:t>
        </m:r>
      </m:oMath>
      <w:r>
        <w:t xml:space="preserve">. V1 Neutral is marginally above at one-tailed</w:t>
      </w:r>
      <w:r>
        <w:t xml:space="preserve"> </w:t>
      </w:r>
      <m:oMath>
        <m:r>
          <m:t>p</m:t>
        </m:r>
        <m:r>
          <m:rPr>
            <m:sty m:val="p"/>
          </m:rPr>
          <m:t>=</m:t>
        </m:r>
        <m:r>
          <m:t>0.044</m:t>
        </m:r>
      </m:oMath>
      <w:r>
        <w:t xml:space="preserve">.</w:t>
      </w:r>
    </w:p>
    <w:p>
      <w:pPr>
        <w:numPr>
          <w:ilvl w:val="0"/>
          <w:numId w:val="1003"/>
        </w:numPr>
        <w:pStyle w:val="Compact"/>
      </w:pPr>
      <w:r>
        <w:rPr>
          <w:bCs/>
          <w:b/>
        </w:rPr>
        <w:t xml:space="preserve">V2 Sad</w:t>
      </w:r>
      <w:r>
        <w:t xml:space="preserve"> </w:t>
      </w:r>
      <w:r>
        <w:t xml:space="preserve">(</w:t>
      </w:r>
      <m:oMath>
        <m:r>
          <m:t>F</m:t>
        </m:r>
        <m:r>
          <m:t>1</m:t>
        </m:r>
        <m:r>
          <m:rPr>
            <m:sty m:val="p"/>
          </m:rPr>
          <m:t>=</m:t>
        </m:r>
        <m:r>
          <m:t>0.694</m:t>
        </m:r>
      </m:oMath>
      <w:r>
        <w:t xml:space="preserve">,</w:t>
      </w:r>
      <w:r>
        <w:t xml:space="preserve"> </w:t>
      </w:r>
      <m:oMath>
        <m:r>
          <m:t>z</m:t>
        </m:r>
        <m:r>
          <m:rPr>
            <m:sty m:val="p"/>
          </m:rPr>
          <m:t>=</m:t>
        </m:r>
        <m:r>
          <m:rPr>
            <m:sty m:val="p"/>
          </m:rPr>
          <m:t>−</m:t>
        </m:r>
        <m:r>
          <m:t>0.17</m:t>
        </m:r>
      </m:oMath>
      <w:r>
        <w:t xml:space="preserve">) cannot be statistically distinguished from 0.70 but falls below it.</w:t>
      </w:r>
    </w:p>
    <w:p>
      <w:pPr>
        <w:numPr>
          <w:ilvl w:val="0"/>
          <w:numId w:val="1003"/>
        </w:numPr>
        <w:pStyle w:val="Compact"/>
      </w:pPr>
      <w:r>
        <w:rPr>
          <w:bCs/>
          <w:b/>
        </w:rPr>
        <w:t xml:space="preserve">V2 Neutral</w:t>
      </w:r>
      <w:r>
        <w:t xml:space="preserve"> </w:t>
      </w:r>
      <w:r>
        <w:t xml:space="preserve">(</w:t>
      </w:r>
      <m:oMath>
        <m:r>
          <m:t>F</m:t>
        </m:r>
        <m:r>
          <m:t>1</m:t>
        </m:r>
        <m:r>
          <m:rPr>
            <m:sty m:val="p"/>
          </m:rPr>
          <m:t>=</m:t>
        </m:r>
        <m:r>
          <m:t>0.699</m:t>
        </m:r>
      </m:oMath>
      <w:r>
        <w:t xml:space="preserve">,</w:t>
      </w:r>
      <w:r>
        <w:t xml:space="preserve"> </w:t>
      </w:r>
      <m:oMath>
        <m:r>
          <m:t>z</m:t>
        </m:r>
        <m:r>
          <m:rPr>
            <m:sty m:val="p"/>
          </m:rPr>
          <m:t>=</m:t>
        </m:r>
        <m:r>
          <m:rPr>
            <m:sty m:val="p"/>
          </m:rPr>
          <m:t>−</m:t>
        </m:r>
        <m:r>
          <m:t>0.04</m:t>
        </m:r>
      </m:oMath>
      <w:r>
        <w:t xml:space="preserve">) also cannot be distinguished from 0.70 but falls below it.</w:t>
      </w:r>
    </w:p>
    <w:p>
      <w:pPr>
        <w:pStyle w:val="FirstParagraph"/>
      </w:pPr>
      <w:r>
        <w:t xml:space="preserve">The z-tests confirm that V2’s gate failures are not artifacts of random sampling — they reflect genuine performance shortfalls.</w:t>
      </w:r>
    </w:p>
    <w:bookmarkEnd w:id="49"/>
    <w:bookmarkStart w:id="50" w:name="X0c7718d9bf8fe36d2800cb214e340b26fea2379"/>
    <w:p>
      <w:pPr>
        <w:pStyle w:val="Heading3"/>
      </w:pPr>
      <w:r>
        <w:t xml:space="preserve">5.3 Cohen’s Kappa (Inter-Rater Agreement with Ground Truth)</w:t>
      </w:r>
    </w:p>
    <w:p>
      <w:pPr>
        <w:pStyle w:val="FirstParagraph"/>
      </w:pPr>
      <w:r>
        <w:t xml:space="preserve">Cohen’s</w:t>
      </w:r>
      <w:r>
        <w:t xml:space="preserve"> </w:t>
      </w:r>
      <m:oMath>
        <m:r>
          <m:t>κ</m:t>
        </m:r>
      </m:oMath>
      <w:r>
        <w:t xml:space="preserve"> </w:t>
      </w:r>
      <w:r>
        <w:t xml:space="preserve">quantifies agreement corrected for chance (Cohen,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rPr>
          <w:bCs/>
          <w:b/>
        </w:rPr>
        <w:t xml:space="preserve">Table 3. Cohen’s kappa inter-rater agreement with ground truth.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m:oMath>
              <m:r>
                <m:t>κ</m:t>
              </m:r>
            </m:oMath>
          </w:p>
        </w:tc>
        <w:tc>
          <w:tcPr/>
          <w:p>
            <w:pPr>
              <w:pStyle w:val="Compact"/>
              <w:jc w:val="left"/>
            </w:pPr>
            <m:oMath>
              <m:r>
                <m:t>S</m:t>
              </m:r>
              <m:r>
                <m:t>E</m:t>
              </m:r>
              <m:d>
                <m:dPr>
                  <m:begChr m:val="("/>
                  <m:endChr m:val=")"/>
                  <m:sepChr m:val=""/>
                  <m:grow/>
                </m:dPr>
                <m:e>
                  <m:r>
                    <m:t>κ</m:t>
                  </m:r>
                </m:e>
              </m:d>
            </m:oMath>
          </w:p>
        </w:tc>
        <w:tc>
          <w:tcPr/>
          <w:p>
            <w:pPr>
              <w:pStyle w:val="Compact"/>
              <w:jc w:val="left"/>
            </w:pPr>
            <w:r>
              <w:t xml:space="preserve">95% CI</w:t>
            </w:r>
          </w:p>
        </w:tc>
        <w:tc>
          <w:tcPr/>
          <w:p>
            <w:pPr>
              <w:pStyle w:val="Compact"/>
              <w:jc w:val="left"/>
            </w:pPr>
            <w:r>
              <w:t xml:space="preserve">Interpretation</w:t>
            </w:r>
          </w:p>
        </w:tc>
      </w:tr>
      <w:tr>
        <w:tc>
          <w:tcPr/>
          <w:p>
            <w:pPr>
              <w:pStyle w:val="Compact"/>
              <w:jc w:val="left"/>
            </w:pPr>
            <w:r>
              <w:t xml:space="preserve">V1</w:t>
            </w:r>
          </w:p>
        </w:tc>
        <w:tc>
          <w:tcPr/>
          <w:p>
            <w:pPr>
              <w:pStyle w:val="Compact"/>
              <w:jc w:val="left"/>
            </w:pPr>
            <w:r>
              <w:t xml:space="preserve">0.645</w:t>
            </w:r>
          </w:p>
        </w:tc>
        <w:tc>
          <w:tcPr/>
          <w:p>
            <w:pPr>
              <w:pStyle w:val="Compact"/>
              <w:jc w:val="left"/>
            </w:pPr>
            <w:r>
              <w:t xml:space="preserve">0.022</w:t>
            </w:r>
          </w:p>
        </w:tc>
        <w:tc>
          <w:tcPr/>
          <w:p>
            <w:pPr>
              <w:pStyle w:val="Compact"/>
              <w:jc w:val="left"/>
            </w:pPr>
            <w:r>
              <w:t xml:space="preserve">[0.603, 0.688]</w:t>
            </w:r>
          </w:p>
        </w:tc>
        <w:tc>
          <w:tcPr/>
          <w:p>
            <w:pPr>
              <w:pStyle w:val="Compact"/>
              <w:jc w:val="left"/>
            </w:pPr>
            <w:r>
              <w:t xml:space="preserve">Substantial</w:t>
            </w:r>
          </w:p>
        </w:tc>
      </w:tr>
      <w:tr>
        <w:tc>
          <w:tcPr/>
          <w:p>
            <w:pPr>
              <w:pStyle w:val="Compact"/>
              <w:jc w:val="left"/>
            </w:pPr>
            <w:r>
              <w:t xml:space="preserve">V2</w:t>
            </w:r>
          </w:p>
        </w:tc>
        <w:tc>
          <w:tcPr/>
          <w:p>
            <w:pPr>
              <w:pStyle w:val="Compact"/>
              <w:jc w:val="left"/>
            </w:pPr>
            <w:r>
              <w:t xml:space="preserve">0.712</w:t>
            </w:r>
          </w:p>
        </w:tc>
        <w:tc>
          <w:tcPr/>
          <w:p>
            <w:pPr>
              <w:pStyle w:val="Compact"/>
              <w:jc w:val="left"/>
            </w:pPr>
            <w:r>
              <w:t xml:space="preserve">0.020</w:t>
            </w:r>
          </w:p>
        </w:tc>
        <w:tc>
          <w:tcPr/>
          <w:p>
            <w:pPr>
              <w:pStyle w:val="Compact"/>
              <w:jc w:val="left"/>
            </w:pPr>
            <w:r>
              <w:t xml:space="preserve">[0.673, 0.752]</w:t>
            </w:r>
          </w:p>
        </w:tc>
        <w:tc>
          <w:tcPr/>
          <w:p>
            <w:pPr>
              <w:pStyle w:val="Compact"/>
              <w:jc w:val="left"/>
            </w:pPr>
            <w:r>
              <w:t xml:space="preserve">Substantial</w:t>
            </w:r>
          </w:p>
        </w:tc>
      </w:tr>
    </w:tbl>
    <w:p>
      <w:pPr>
        <w:pStyle w:val="BodyText"/>
      </w:pPr>
      <w:r>
        <w:t xml:space="preserve">Both models achieve</w:t>
      </w:r>
      <w:r>
        <w:t xml:space="preserve"> </w:t>
      </w:r>
      <w:r>
        <w:t xml:space="preserve">“</w:t>
      </w:r>
      <w:r>
        <w:t xml:space="preserve">substantial</w:t>
      </w:r>
      <w:r>
        <w:t xml:space="preserve">”</w:t>
      </w:r>
      <w:r>
        <w:t xml:space="preserve"> </w:t>
      </w:r>
      <w:r>
        <w:t xml:space="preserve">agreement per Landis &amp; Koch (1977). V2’s higher</w:t>
      </w:r>
      <w:r>
        <w:t xml:space="preserve"> </w:t>
      </w:r>
      <m:oMath>
        <m:r>
          <m:t>κ</m:t>
        </m:r>
      </m:oMath>
      <w:r>
        <w:t xml:space="preserve"> </w:t>
      </w:r>
      <w:r>
        <w:t xml:space="preserve">(0.712 vs. 0.645) reflects its higher raw accuracy, driven by excellent happy recall. The non-overlapping CIs indicate V2’s global advantage is statistically significant — but</w:t>
      </w:r>
      <w:r>
        <w:t xml:space="preserve"> </w:t>
      </w:r>
      <m:oMath>
        <m:r>
          <m:t>κ</m:t>
        </m:r>
      </m:oMath>
      <w:r>
        <w:t xml:space="preserve"> </w:t>
      </w:r>
      <w:r>
        <w:t xml:space="preserve">is a</w:t>
      </w:r>
      <w:r>
        <w:t xml:space="preserve"> </w:t>
      </w:r>
      <w:r>
        <w:rPr>
          <w:iCs/>
          <w:i/>
        </w:rPr>
        <w:t xml:space="preserve">global</w:t>
      </w:r>
      <w:r>
        <w:t xml:space="preserve"> </w:t>
      </w:r>
      <w:r>
        <w:t xml:space="preserve">measure that does not capture class-specific imbalance.</w:t>
      </w:r>
    </w:p>
    <w:bookmarkEnd w:id="50"/>
    <w:bookmarkStart w:id="51" w:name="normalized-mutual-information-nmi"/>
    <w:p>
      <w:pPr>
        <w:pStyle w:val="Heading3"/>
      </w:pPr>
      <w:r>
        <w:t xml:space="preserve">5.4 Normalized Mutual Information (NMI)</w:t>
      </w:r>
    </w:p>
    <w:p>
      <w:pPr>
        <w:pStyle w:val="FirstParagraph"/>
      </w:pPr>
      <w:r>
        <w:t xml:space="preserve">NMI measures mutual dependence between predicted and true labels on [0, 1], normalized by entropy:</w:t>
      </w:r>
    </w:p>
    <w:p>
      <w:pPr>
        <w:pStyle w:val="BodyText"/>
      </w:pPr>
      <m:oMathPara>
        <m:oMathParaPr>
          <m:jc m:val="center"/>
        </m:oMathParaPr>
        <m:oMath>
          <m:r>
            <m:t>N</m:t>
          </m:r>
          <m:r>
            <m:t>M</m:t>
          </m:r>
          <m:r>
            <m:t>I</m:t>
          </m:r>
          <m:d>
            <m:dPr>
              <m:begChr m:val="("/>
              <m:endChr m:val=")"/>
              <m:sepChr m:val=""/>
              <m:grow/>
            </m:dPr>
            <m:e>
              <m:r>
                <m:t>Y</m:t>
              </m:r>
              <m:r>
                <m:rPr>
                  <m:sty m:val="p"/>
                </m:rPr>
                <m:t>,</m:t>
              </m:r>
              <m:acc>
                <m:accPr>
                  <m:chr m:val="̂"/>
                </m:accPr>
                <m:e>
                  <m:r>
                    <m:t>Y</m:t>
                  </m:r>
                </m:e>
              </m:acc>
            </m:e>
          </m:d>
          <m:r>
            <m:rPr>
              <m:sty m:val="p"/>
            </m:rPr>
            <m:t>=</m:t>
          </m:r>
          <m:f>
            <m:fPr>
              <m:type m:val="bar"/>
            </m:fPr>
            <m:num>
              <m:r>
                <m:t>2</m:t>
              </m:r>
              <m:r>
                <m:rPr>
                  <m:sty m:val="p"/>
                </m:rPr>
                <m:t>⋅</m:t>
              </m:r>
              <m:r>
                <m:t>I</m:t>
              </m:r>
              <m:d>
                <m:dPr>
                  <m:begChr m:val="("/>
                  <m:endChr m:val=")"/>
                  <m:sepChr m:val=""/>
                  <m:grow/>
                </m:dPr>
                <m:e>
                  <m:r>
                    <m:t>Y</m:t>
                  </m:r>
                  <m:r>
                    <m:rPr>
                      <m:sty m:val="p"/>
                    </m:rPr>
                    <m:t>;</m:t>
                  </m:r>
                  <m:acc>
                    <m:accPr>
                      <m:chr m:val="̂"/>
                    </m:accPr>
                    <m:e>
                      <m:r>
                        <m:t>Y</m:t>
                      </m:r>
                    </m:e>
                  </m:acc>
                </m:e>
              </m:d>
            </m:num>
            <m:den>
              <m:r>
                <m:t>H</m:t>
              </m:r>
              <m:d>
                <m:dPr>
                  <m:begChr m:val="("/>
                  <m:endChr m:val=")"/>
                  <m:sepChr m:val=""/>
                  <m:grow/>
                </m:dPr>
                <m:e>
                  <m:r>
                    <m:t>Y</m:t>
                  </m:r>
                </m:e>
              </m:d>
              <m:r>
                <m:rPr>
                  <m:sty m:val="p"/>
                </m:rPr>
                <m:t>+</m:t>
              </m:r>
              <m:r>
                <m:t>H</m:t>
              </m:r>
              <m:d>
                <m:dPr>
                  <m:begChr m:val="("/>
                  <m:endChr m:val=")"/>
                  <m:sepChr m:val=""/>
                  <m:grow/>
                </m:dPr>
                <m:e>
                  <m:acc>
                    <m:accPr>
                      <m:chr m:val="̂"/>
                    </m:accPr>
                    <m:e>
                      <m:r>
                        <m:t>Y</m:t>
                      </m:r>
                    </m:e>
                  </m:acc>
                </m:e>
              </m:d>
            </m:den>
          </m:f>
        </m:oMath>
      </m:oMathPara>
    </w:p>
    <w:p>
      <w:pPr>
        <w:pStyle w:val="FirstParagraph"/>
      </w:pPr>
      <w:r>
        <w:rPr>
          <w:bCs/>
          <w:b/>
        </w:rPr>
        <w:t xml:space="preserve">Table 4. Normalized Mutual Information (NMI)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NMI</w:t>
            </w:r>
          </w:p>
        </w:tc>
        <w:tc>
          <w:tcPr/>
          <w:p>
            <w:pPr>
              <w:pStyle w:val="Compact"/>
              <w:jc w:val="left"/>
            </w:pPr>
            <w:r>
              <w:t xml:space="preserve">MI (bits)</w:t>
            </w:r>
          </w:p>
        </w:tc>
        <w:tc>
          <w:tcPr/>
          <w:p>
            <w:pPr>
              <w:pStyle w:val="Compact"/>
              <w:jc w:val="left"/>
            </w:pPr>
            <m:oMath>
              <m:r>
                <m:t>H</m:t>
              </m:r>
              <m:d>
                <m:dPr>
                  <m:begChr m:val="("/>
                  <m:endChr m:val=")"/>
                  <m:sepChr m:val=""/>
                  <m:grow/>
                </m:dPr>
                <m:e>
                  <m:r>
                    <m:t>Y</m:t>
                  </m:r>
                </m:e>
              </m:d>
            </m:oMath>
          </w:p>
        </w:tc>
        <w:tc>
          <w:tcPr/>
          <w:p>
            <w:pPr>
              <w:pStyle w:val="Compact"/>
              <w:jc w:val="left"/>
            </w:pPr>
            <m:oMath>
              <m:r>
                <m:t>H</m:t>
              </m:r>
              <m:d>
                <m:dPr>
                  <m:begChr m:val="("/>
                  <m:endChr m:val=")"/>
                  <m:sepChr m:val=""/>
                  <m:grow/>
                </m:dPr>
                <m:e>
                  <m:acc>
                    <m:accPr>
                      <m:chr m:val="̂"/>
                    </m:accPr>
                    <m:e>
                      <m:r>
                        <m:t>Y</m:t>
                      </m:r>
                    </m:e>
                  </m:acc>
                </m:e>
              </m:d>
            </m:oMath>
          </w:p>
        </w:tc>
      </w:tr>
      <w:tr>
        <w:tc>
          <w:tcPr/>
          <w:p>
            <w:pPr>
              <w:pStyle w:val="Compact"/>
              <w:jc w:val="left"/>
            </w:pPr>
            <w:r>
              <w:t xml:space="preserve">V1</w:t>
            </w:r>
          </w:p>
        </w:tc>
        <w:tc>
          <w:tcPr/>
          <w:p>
            <w:pPr>
              <w:pStyle w:val="Compact"/>
              <w:jc w:val="left"/>
            </w:pPr>
            <w:r>
              <w:t xml:space="preserve">0.476</w:t>
            </w:r>
          </w:p>
        </w:tc>
        <w:tc>
          <w:tcPr/>
          <w:p>
            <w:pPr>
              <w:pStyle w:val="Compact"/>
              <w:jc w:val="left"/>
            </w:pPr>
            <w:r>
              <w:t xml:space="preserve">0.701</w:t>
            </w:r>
          </w:p>
        </w:tc>
        <w:tc>
          <w:tcPr/>
          <w:p>
            <w:pPr>
              <w:pStyle w:val="Compact"/>
              <w:jc w:val="left"/>
            </w:pPr>
            <w:r>
              <w:t xml:space="preserve">1.478</w:t>
            </w:r>
          </w:p>
        </w:tc>
        <w:tc>
          <w:tcPr/>
          <w:p>
            <w:pPr>
              <w:pStyle w:val="Compact"/>
              <w:jc w:val="left"/>
            </w:pPr>
            <w:r>
              <w:t xml:space="preserve">1.465</w:t>
            </w:r>
          </w:p>
        </w:tc>
      </w:tr>
      <w:tr>
        <w:tc>
          <w:tcPr/>
          <w:p>
            <w:pPr>
              <w:pStyle w:val="Compact"/>
              <w:jc w:val="left"/>
            </w:pPr>
            <w:r>
              <w:t xml:space="preserve">V2</w:t>
            </w:r>
          </w:p>
        </w:tc>
        <w:tc>
          <w:tcPr/>
          <w:p>
            <w:pPr>
              <w:pStyle w:val="Compact"/>
              <w:jc w:val="left"/>
            </w:pPr>
            <w:r>
              <w:t xml:space="preserve">0.557</w:t>
            </w:r>
          </w:p>
        </w:tc>
        <w:tc>
          <w:tcPr/>
          <w:p>
            <w:pPr>
              <w:pStyle w:val="Compact"/>
              <w:jc w:val="left"/>
            </w:pPr>
            <w:r>
              <w:t xml:space="preserve">0.836</w:t>
            </w:r>
          </w:p>
        </w:tc>
        <w:tc>
          <w:tcPr/>
          <w:p>
            <w:pPr>
              <w:pStyle w:val="Compact"/>
              <w:jc w:val="left"/>
            </w:pPr>
            <w:r>
              <w:t xml:space="preserve">1.478</w:t>
            </w:r>
          </w:p>
        </w:tc>
        <w:tc>
          <w:tcPr/>
          <w:p>
            <w:pPr>
              <w:pStyle w:val="Compact"/>
              <w:jc w:val="left"/>
            </w:pPr>
            <w:r>
              <w:t xml:space="preserve">1.522</w:t>
            </w:r>
          </w:p>
        </w:tc>
      </w:tr>
    </w:tbl>
    <w:p>
      <w:pPr>
        <w:pStyle w:val="BodyText"/>
      </w:pPr>
      <w:r>
        <w:t xml:space="preserve">V2 captures 55.7% of the information in true labels vs. V1’s 47.6%. Like</w:t>
      </w:r>
      <w:r>
        <w:t xml:space="preserve"> </w:t>
      </w:r>
      <m:oMath>
        <m:r>
          <m:t>κ</m:t>
        </m:r>
      </m:oMath>
      <w:r>
        <w:t xml:space="preserve">, NMI rewards V2’s near-perfect happy detection (48.7% of test data) without penalizing concentrated errors on the remaining 51.3%.</w:t>
      </w:r>
    </w:p>
    <w:p>
      <w:pPr>
        <w:pStyle w:val="BodyText"/>
      </w:pPr>
      <w:r>
        <w:rPr>
          <w:bCs/>
          <w:b/>
        </w:rPr>
        <w:t xml:space="preserve">The discrepancy between global metrics (</w:t>
      </w:r>
      <m:oMath>
        <m:r>
          <m:t>κ</m:t>
        </m:r>
      </m:oMath>
      <w:r>
        <w:rPr>
          <w:bCs/>
          <w:b/>
        </w:rPr>
        <w:t xml:space="preserve">, NMI, accuracy) favoring V2 and class-specific metrics (per-class F1, CV, gate compliance) favoring V1 is the central statistical insight of this analysis.</w:t>
      </w:r>
      <w:r>
        <w:t xml:space="preserve"> </w:t>
      </w:r>
      <w:r>
        <w:t xml:space="preserve">V2</w:t>
      </w:r>
      <w:r>
        <w:t xml:space="preserve"> </w:t>
      </w:r>
      <w:r>
        <w:t xml:space="preserve">“</w:t>
      </w:r>
      <w:r>
        <w:t xml:space="preserve">buys</w:t>
      </w:r>
      <w:r>
        <w:t xml:space="preserve">”</w:t>
      </w:r>
      <w:r>
        <w:t xml:space="preserve"> </w:t>
      </w:r>
      <w:r>
        <w:t xml:space="preserve">a higher global score by over-investing in the largest class at the expense of smaller classes — a well-known failure mode in imbalanced classification (He &amp; Garcia, 2009).</w:t>
      </w:r>
    </w:p>
    <w:bookmarkEnd w:id="51"/>
    <w:bookmarkStart w:id="52" w:name="Xc35d20dfc076313182b476453e828e032b6afda"/>
    <w:p>
      <w:pPr>
        <w:pStyle w:val="Heading3"/>
      </w:pPr>
      <w:r>
        <w:t xml:space="preserve">5.5 Coefficient of Variation Analysis (Performance Equity)</w:t>
      </w:r>
    </w:p>
    <w:p>
      <w:pPr>
        <w:pStyle w:val="FirstParagraph"/>
      </w:pPr>
      <w:r>
        <w:t xml:space="preserve">The CV of per-class F1 scores measures classifier equity:</w:t>
      </w:r>
    </w:p>
    <w:p>
      <w:pPr>
        <w:pStyle w:val="BodyText"/>
      </w:pPr>
      <m:oMathPara>
        <m:oMathParaPr>
          <m:jc m:val="center"/>
        </m:oMathParaPr>
        <m:oMath>
          <m:r>
            <m:t>C</m:t>
          </m:r>
          <m:r>
            <m:t>V</m:t>
          </m:r>
          <m:r>
            <m:rPr>
              <m:sty m:val="p"/>
            </m:rPr>
            <m:t>=</m:t>
          </m:r>
          <m:f>
            <m:fPr>
              <m:type m:val="bar"/>
            </m:fPr>
            <m:num>
              <m:sSub>
                <m:e>
                  <m:r>
                    <m:t>σ</m:t>
                  </m:r>
                </m:e>
                <m:sub>
                  <m:r>
                    <m:t>F</m:t>
                  </m:r>
                  <m:r>
                    <m:t>1</m:t>
                  </m:r>
                </m:sub>
              </m:sSub>
            </m:num>
            <m:den>
              <m:sSub>
                <m:e>
                  <m:r>
                    <m:t>μ</m:t>
                  </m:r>
                </m:e>
                <m:sub>
                  <m:r>
                    <m:t>F</m:t>
                  </m:r>
                  <m:r>
                    <m:t>1</m:t>
                  </m:r>
                </m:sub>
              </m:sSub>
            </m:den>
          </m:f>
          <m:r>
            <m:rPr>
              <m:sty m:val="p"/>
            </m:rPr>
            <m:t>×</m:t>
          </m:r>
          <m:r>
            <m:t>100</m:t>
          </m:r>
          <m:r>
            <m:rPr>
              <m:sty m:val="p"/>
            </m:rPr>
            <m:t>%</m:t>
          </m:r>
        </m:oMath>
      </m:oMathPara>
    </w:p>
    <w:p>
      <w:pPr>
        <w:pStyle w:val="FirstParagraph"/>
      </w:pPr>
      <w:r>
        <w:rPr>
          <w:bCs/>
          <w:b/>
        </w:rPr>
        <w:t xml:space="preserve">Table 5. Coefficient of variation (CV) of per-class F1 scores.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jc w:val="left"/>
            </w:pPr>
            <w:r>
              <w:t xml:space="preserve">F1 Happy</w:t>
            </w:r>
          </w:p>
        </w:tc>
        <w:tc>
          <w:tcPr/>
          <w:p>
            <w:pPr>
              <w:pStyle w:val="Compact"/>
              <w:jc w:val="left"/>
            </w:pPr>
            <w:r>
              <w:t xml:space="preserve">F1 Sad</w:t>
            </w:r>
          </w:p>
        </w:tc>
        <w:tc>
          <w:tcPr/>
          <w:p>
            <w:pPr>
              <w:pStyle w:val="Compact"/>
              <w:jc w:val="left"/>
            </w:pPr>
            <w:r>
              <w:t xml:space="preserve">F1 Neutral</w:t>
            </w:r>
          </w:p>
        </w:tc>
        <w:tc>
          <w:tcPr/>
          <w:p>
            <w:pPr>
              <w:pStyle w:val="Compact"/>
              <w:jc w:val="left"/>
            </w:pPr>
            <m:oMath>
              <m:r>
                <m:t>μ</m:t>
              </m:r>
            </m:oMath>
          </w:p>
        </w:tc>
        <w:tc>
          <w:tcPr/>
          <w:p>
            <w:pPr>
              <w:pStyle w:val="Compact"/>
              <w:jc w:val="left"/>
            </w:pPr>
            <m:oMath>
              <m:r>
                <m:t>σ</m:t>
              </m:r>
            </m:oMath>
          </w:p>
        </w:tc>
        <w:tc>
          <w:tcPr/>
          <w:p>
            <w:pPr>
              <w:pStyle w:val="Compact"/>
              <w:jc w:val="left"/>
            </w:pPr>
            <w:r>
              <w:rPr>
                <w:bCs/>
                <w:b/>
              </w:rPr>
              <w:t xml:space="preserve">CV</w:t>
            </w:r>
          </w:p>
        </w:tc>
        <w:tc>
          <w:tcPr/>
          <w:p>
            <w:pPr>
              <w:pStyle w:val="Compact"/>
              <w:jc w:val="left"/>
            </w:pPr>
            <w:r>
              <w:t xml:space="preserve">Range</w:t>
            </w:r>
          </w:p>
        </w:tc>
      </w:tr>
      <w:tr>
        <w:tc>
          <w:tcPr/>
          <w:p>
            <w:pPr>
              <w:pStyle w:val="Compact"/>
              <w:jc w:val="left"/>
            </w:pPr>
            <w:r>
              <w:t xml:space="preserve">V1</w:t>
            </w:r>
          </w:p>
        </w:tc>
        <w:tc>
          <w:tcPr/>
          <w:p>
            <w:pPr>
              <w:pStyle w:val="Compact"/>
              <w:jc w:val="left"/>
            </w:pPr>
            <w:r>
              <w:t xml:space="preserve">0.777</w:t>
            </w:r>
          </w:p>
        </w:tc>
        <w:tc>
          <w:tcPr/>
          <w:p>
            <w:pPr>
              <w:pStyle w:val="Compact"/>
              <w:jc w:val="left"/>
            </w:pPr>
            <w:r>
              <w:t xml:space="preserve">0.822</w:t>
            </w:r>
          </w:p>
        </w:tc>
        <w:tc>
          <w:tcPr/>
          <w:p>
            <w:pPr>
              <w:pStyle w:val="Compact"/>
              <w:jc w:val="left"/>
            </w:pPr>
            <w:r>
              <w:t xml:space="preserve">0.743</w:t>
            </w:r>
          </w:p>
        </w:tc>
        <w:tc>
          <w:tcPr/>
          <w:p>
            <w:pPr>
              <w:pStyle w:val="Compact"/>
              <w:jc w:val="left"/>
            </w:pPr>
            <w:r>
              <w:t xml:space="preserve">0.781</w:t>
            </w:r>
          </w:p>
        </w:tc>
        <w:tc>
          <w:tcPr/>
          <w:p>
            <w:pPr>
              <w:pStyle w:val="Compact"/>
              <w:jc w:val="left"/>
            </w:pPr>
            <w:r>
              <w:t xml:space="preserve">0.033</w:t>
            </w:r>
          </w:p>
        </w:tc>
        <w:tc>
          <w:tcPr/>
          <w:p>
            <w:pPr>
              <w:pStyle w:val="Compact"/>
              <w:jc w:val="left"/>
            </w:pPr>
            <w:r>
              <w:rPr>
                <w:bCs/>
                <w:b/>
              </w:rPr>
              <w:t xml:space="preserve">4.2%</w:t>
            </w:r>
          </w:p>
        </w:tc>
        <w:tc>
          <w:tcPr/>
          <w:p>
            <w:pPr>
              <w:pStyle w:val="Compact"/>
              <w:jc w:val="left"/>
            </w:pPr>
            <w:r>
              <w:t xml:space="preserve">0.080</w:t>
            </w:r>
          </w:p>
        </w:tc>
      </w:tr>
      <w:tr>
        <w:tc>
          <w:tcPr/>
          <w:p>
            <w:pPr>
              <w:pStyle w:val="Compact"/>
              <w:jc w:val="left"/>
            </w:pPr>
            <w:r>
              <w:t xml:space="preserve">V2</w:t>
            </w:r>
          </w:p>
        </w:tc>
        <w:tc>
          <w:tcPr/>
          <w:p>
            <w:pPr>
              <w:pStyle w:val="Compact"/>
              <w:jc w:val="left"/>
            </w:pPr>
            <w:r>
              <w:t xml:space="preserve">0.946</w:t>
            </w:r>
          </w:p>
        </w:tc>
        <w:tc>
          <w:tcPr/>
          <w:p>
            <w:pPr>
              <w:pStyle w:val="Compact"/>
              <w:jc w:val="left"/>
            </w:pPr>
            <w:r>
              <w:t xml:space="preserve">0.694</w:t>
            </w:r>
          </w:p>
        </w:tc>
        <w:tc>
          <w:tcPr/>
          <w:p>
            <w:pPr>
              <w:pStyle w:val="Compact"/>
              <w:jc w:val="left"/>
            </w:pPr>
            <w:r>
              <w:t xml:space="preserve">0.699</w:t>
            </w:r>
          </w:p>
        </w:tc>
        <w:tc>
          <w:tcPr/>
          <w:p>
            <w:pPr>
              <w:pStyle w:val="Compact"/>
              <w:jc w:val="left"/>
            </w:pPr>
            <w:r>
              <w:t xml:space="preserve">0.780</w:t>
            </w:r>
          </w:p>
        </w:tc>
        <w:tc>
          <w:tcPr/>
          <w:p>
            <w:pPr>
              <w:pStyle w:val="Compact"/>
              <w:jc w:val="left"/>
            </w:pPr>
            <w:r>
              <w:t xml:space="preserve">0.118</w:t>
            </w:r>
          </w:p>
        </w:tc>
        <w:tc>
          <w:tcPr/>
          <w:p>
            <w:pPr>
              <w:pStyle w:val="Compact"/>
              <w:jc w:val="left"/>
            </w:pPr>
            <w:r>
              <w:rPr>
                <w:bCs/>
                <w:b/>
              </w:rPr>
              <w:t xml:space="preserve">15.1%</w:t>
            </w:r>
          </w:p>
        </w:tc>
        <w:tc>
          <w:tcPr/>
          <w:p>
            <w:pPr>
              <w:pStyle w:val="Compact"/>
              <w:jc w:val="left"/>
            </w:pPr>
            <w:r>
              <w:t xml:space="preserve">0.252</w:t>
            </w:r>
          </w:p>
        </w:tc>
      </w:tr>
    </w:tbl>
    <w:p>
      <w:pPr>
        <w:pStyle w:val="BodyText"/>
      </w:pPr>
      <w:r>
        <w:t xml:space="preserve">V1’s CV of 4.2% indicates near-uniform performance. V2’s CV of 15.1% is 3.6× higher, indicating severe class-level inequity — V2 has specialized in happy detection at the expense of sad and neutral. For a social robot that must respond appropriately to</w:t>
      </w:r>
      <w:r>
        <w:t xml:space="preserve"> </w:t>
      </w:r>
      <w:r>
        <w:rPr>
          <w:iCs/>
          <w:i/>
        </w:rPr>
        <w:t xml:space="preserve">all</w:t>
      </w:r>
      <w:r>
        <w:t xml:space="preserve"> </w:t>
      </w:r>
      <w:r>
        <w:t xml:space="preserve">emotions, low CV is a critical requirement.</w:t>
      </w:r>
    </w:p>
    <w:bookmarkEnd w:id="52"/>
    <w:bookmarkStart w:id="53" w:name="generalization-gap-analysis"/>
    <w:p>
      <w:pPr>
        <w:pStyle w:val="Heading3"/>
      </w:pPr>
      <w:r>
        <w:t xml:space="preserve">5.6 Generalization Gap Analysis</w:t>
      </w:r>
    </w:p>
    <w:p>
      <w:pPr>
        <w:pStyle w:val="FirstParagraph"/>
      </w:pPr>
      <w:r>
        <w:rPr>
          <w:bCs/>
          <w:b/>
        </w:rPr>
        <w:t xml:space="preserve">Table 6. Generalization gap: synthetic validation vs. real-world test.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Synthetic Val F1</w:t>
            </w:r>
          </w:p>
        </w:tc>
        <w:tc>
          <w:tcPr/>
          <w:p>
            <w:pPr>
              <w:pStyle w:val="Compact"/>
              <w:jc w:val="left"/>
            </w:pPr>
            <w:r>
              <w:t xml:space="preserve">Real-World Test F1</w:t>
            </w:r>
          </w:p>
        </w:tc>
        <w:tc>
          <w:tcPr/>
          <w:p>
            <w:pPr>
              <w:pStyle w:val="Compact"/>
              <w:jc w:val="left"/>
            </w:pPr>
            <w:r>
              <w:t xml:space="preserve">Gap</w:t>
            </w:r>
          </w:p>
        </w:tc>
        <w:tc>
          <w:tcPr/>
          <w:p>
            <w:pPr>
              <w:pStyle w:val="Compact"/>
              <w:jc w:val="left"/>
            </w:pPr>
            <w:r>
              <w:t xml:space="preserve">Relative Drop</w:t>
            </w:r>
          </w:p>
        </w:tc>
      </w:tr>
      <w:tr>
        <w:tc>
          <w:tcPr/>
          <w:p>
            <w:pPr>
              <w:pStyle w:val="Compact"/>
              <w:jc w:val="left"/>
            </w:pPr>
            <w:r>
              <w:t xml:space="preserve">V1</w:t>
            </w:r>
          </w:p>
        </w:tc>
        <w:tc>
          <w:tcPr/>
          <w:p>
            <w:pPr>
              <w:pStyle w:val="Compact"/>
              <w:jc w:val="left"/>
            </w:pPr>
            <w:r>
              <w:t xml:space="preserve">0.990</w:t>
            </w:r>
          </w:p>
        </w:tc>
        <w:tc>
          <w:tcPr/>
          <w:p>
            <w:pPr>
              <w:pStyle w:val="Compact"/>
              <w:jc w:val="left"/>
            </w:pPr>
            <w:r>
              <w:t xml:space="preserve">0.781</w:t>
            </w:r>
          </w:p>
        </w:tc>
        <w:tc>
          <w:tcPr/>
          <w:p>
            <w:pPr>
              <w:pStyle w:val="Compact"/>
              <w:jc w:val="left"/>
            </w:pPr>
            <w:r>
              <w:t xml:space="preserve">0.209</w:t>
            </w:r>
          </w:p>
        </w:tc>
        <w:tc>
          <w:tcPr/>
          <w:p>
            <w:pPr>
              <w:pStyle w:val="Compact"/>
              <w:jc w:val="left"/>
            </w:pPr>
            <w:r>
              <w:t xml:space="preserve">21.2%</w:t>
            </w:r>
          </w:p>
        </w:tc>
      </w:tr>
      <w:tr>
        <w:tc>
          <w:tcPr/>
          <w:p>
            <w:pPr>
              <w:pStyle w:val="Compact"/>
              <w:jc w:val="left"/>
            </w:pPr>
            <w:r>
              <w:t xml:space="preserve">V2</w:t>
            </w:r>
          </w:p>
        </w:tc>
        <w:tc>
          <w:tcPr/>
          <w:p>
            <w:pPr>
              <w:pStyle w:val="Compact"/>
              <w:jc w:val="left"/>
            </w:pPr>
            <w:r>
              <w:t xml:space="preserve">0.999</w:t>
            </w:r>
          </w:p>
        </w:tc>
        <w:tc>
          <w:tcPr/>
          <w:p>
            <w:pPr>
              <w:pStyle w:val="Compact"/>
              <w:jc w:val="left"/>
            </w:pPr>
            <w:r>
              <w:t xml:space="preserve">0.780</w:t>
            </w:r>
          </w:p>
        </w:tc>
        <w:tc>
          <w:tcPr/>
          <w:p>
            <w:pPr>
              <w:pStyle w:val="Compact"/>
              <w:jc w:val="left"/>
            </w:pPr>
            <w:r>
              <w:t xml:space="preserve">0.220</w:t>
            </w:r>
          </w:p>
        </w:tc>
        <w:tc>
          <w:tcPr/>
          <w:p>
            <w:pPr>
              <w:pStyle w:val="Compact"/>
              <w:jc w:val="left"/>
            </w:pPr>
            <w:r>
              <w:t xml:space="preserve">22.0%</w:t>
            </w:r>
          </w:p>
        </w:tc>
      </w:tr>
    </w:tbl>
    <w:p>
      <w:pPr>
        <w:pStyle w:val="BodyText"/>
      </w:pPr>
      <w:r>
        <w:t xml:space="preserve">Despite V2’s 125× more trainable parameters, 13× more GPU time, and 90-trial sweep, its generalization gap is 1.05×</w:t>
      </w:r>
      <w:r>
        <w:t xml:space="preserve"> </w:t>
      </w:r>
      <w:r>
        <w:rPr>
          <w:iCs/>
          <w:i/>
        </w:rPr>
        <w:t xml:space="preserve">larger</w:t>
      </w:r>
      <w:r>
        <w:t xml:space="preserve"> </w:t>
      </w:r>
      <w:r>
        <w:t xml:space="preserve">than V1’s. V2’s fine-tuned backbone overfitted to synthetic features rather than learning more generalizable representations.</w:t>
      </w:r>
    </w:p>
    <w:p>
      <w:pPr>
        <w:pStyle w:val="BodyText"/>
      </w:pPr>
      <w:r>
        <w:t xml:space="preserve">This is consistent with the transfer learning literature: when fine-tuning and target domains differ substantially, freezing the pre-trained backbone prevents adaptation</w:t>
      </w:r>
      <w:r>
        <w:t xml:space="preserve"> </w:t>
      </w:r>
      <w:r>
        <w:rPr>
          <w:iCs/>
          <w:i/>
        </w:rPr>
        <w:t xml:space="preserve">away from</w:t>
      </w:r>
      <w:r>
        <w:t xml:space="preserve"> </w:t>
      </w:r>
      <w:r>
        <w:t xml:space="preserve">the target distribution (Yosinski et al., 2014; Raghu et al., 2019). The VGGFace2+AffectNet features in V1’s frozen backbone were learned from 3.3M</w:t>
      </w:r>
      <w:r>
        <w:t xml:space="preserve"> </w:t>
      </w:r>
      <w:r>
        <w:rPr>
          <w:iCs/>
          <w:i/>
        </w:rPr>
        <w:t xml:space="preserve">real</w:t>
      </w:r>
      <w:r>
        <w:t xml:space="preserve"> </w:t>
      </w:r>
      <w:r>
        <w:t xml:space="preserve">face images — inherently more aligned with real-world test data than V2’s synthetic-adapted features.</w:t>
      </w:r>
    </w:p>
    <w:bookmarkEnd w:id="53"/>
    <w:bookmarkStart w:id="54" w:name="brier-score-decomposition"/>
    <w:p>
      <w:pPr>
        <w:pStyle w:val="Heading3"/>
      </w:pPr>
      <w:r>
        <w:t xml:space="preserve">5.7 Brier Score Decomposition</w:t>
      </w:r>
    </w:p>
    <w:p>
      <w:pPr>
        <w:pStyle w:val="FirstParagraph"/>
      </w:pPr>
      <w:r>
        <w:t xml:space="preserve">The Brier score decomposes into calibration and refinement components:</w:t>
      </w:r>
    </w:p>
    <w:p>
      <w:pPr>
        <w:pStyle w:val="BodyText"/>
      </w:pPr>
      <m:oMathPara>
        <m:oMathParaPr>
          <m:jc m:val="center"/>
        </m:oMathParaPr>
        <m:oMath>
          <m:r>
            <m:t>B</m:t>
          </m:r>
          <m:r>
            <m:t>r</m:t>
          </m:r>
          <m:r>
            <m:t>i</m:t>
          </m:r>
          <m:r>
            <m:t>e</m:t>
          </m:r>
          <m:r>
            <m:t>r</m:t>
          </m:r>
          <m:r>
            <m:rPr>
              <m:sty m:val="p"/>
            </m:rPr>
            <m:t>=</m:t>
          </m:r>
          <m:r>
            <m:t>C</m:t>
          </m:r>
          <m:r>
            <m:t>a</m:t>
          </m:r>
          <m:r>
            <m:t>l</m:t>
          </m:r>
          <m:r>
            <m:t>i</m:t>
          </m:r>
          <m:r>
            <m:t>b</m:t>
          </m:r>
          <m:r>
            <m:t>r</m:t>
          </m:r>
          <m:r>
            <m:t>a</m:t>
          </m:r>
          <m:r>
            <m:t>t</m:t>
          </m:r>
          <m:r>
            <m:t>i</m:t>
          </m:r>
          <m:r>
            <m:t>o</m:t>
          </m:r>
          <m:r>
            <m:t>n</m:t>
          </m:r>
          <m:r>
            <m:rPr>
              <m:sty m:val="p"/>
            </m:rPr>
            <m:t>+</m:t>
          </m:r>
          <m:r>
            <m:t>R</m:t>
          </m:r>
          <m:r>
            <m:t>e</m:t>
          </m:r>
          <m:r>
            <m:t>f</m:t>
          </m:r>
          <m:r>
            <m:t>i</m:t>
          </m:r>
          <m:r>
            <m:t>n</m:t>
          </m:r>
          <m:r>
            <m:t>e</m:t>
          </m:r>
          <m:r>
            <m:t>m</m:t>
          </m:r>
          <m:r>
            <m:t>e</m:t>
          </m:r>
          <m:r>
            <m:t>n</m:t>
          </m:r>
          <m:r>
            <m:t>t</m:t>
          </m:r>
        </m:oMath>
      </m:oMathPara>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Brier</w:t>
            </w:r>
          </w:p>
        </w:tc>
        <w:tc>
          <w:tcPr/>
          <w:p>
            <w:pPr>
              <w:pStyle w:val="Compact"/>
              <w:jc w:val="left"/>
            </w:pPr>
            <w:r>
              <w:t xml:space="preserve">ECE (proxy for calibration)</w:t>
            </w:r>
          </w:p>
        </w:tc>
        <w:tc>
          <w:tcPr/>
          <w:p>
            <w:pPr>
              <w:pStyle w:val="Compact"/>
              <w:jc w:val="left"/>
            </w:pPr>
            <w:r>
              <w:t xml:space="preserve">Notes</w:t>
            </w:r>
          </w:p>
        </w:tc>
      </w:tr>
      <w:tr>
        <w:tc>
          <w:tcPr/>
          <w:p>
            <w:pPr>
              <w:pStyle w:val="Compact"/>
              <w:jc w:val="left"/>
            </w:pPr>
            <w:r>
              <w:t xml:space="preserve">V1</w:t>
            </w:r>
          </w:p>
        </w:tc>
        <w:tc>
          <w:tcPr/>
          <w:p>
            <w:pPr>
              <w:pStyle w:val="Compact"/>
              <w:jc w:val="left"/>
            </w:pPr>
            <w:r>
              <w:t xml:space="preserve">0.340</w:t>
            </w:r>
          </w:p>
        </w:tc>
        <w:tc>
          <w:tcPr/>
          <w:p>
            <w:pPr>
              <w:pStyle w:val="Compact"/>
              <w:jc w:val="left"/>
            </w:pPr>
            <w:r>
              <w:t xml:space="preserve">0.102</w:t>
            </w:r>
          </w:p>
        </w:tc>
        <w:tc>
          <w:tcPr/>
          <w:p>
            <w:pPr>
              <w:pStyle w:val="Compact"/>
              <w:jc w:val="left"/>
            </w:pPr>
            <w:r>
              <w:t xml:space="preserve">Higher Brier driven by classification errors</w:t>
            </w:r>
          </w:p>
        </w:tc>
      </w:tr>
      <w:tr>
        <w:tc>
          <w:tcPr/>
          <w:p>
            <w:pPr>
              <w:pStyle w:val="Compact"/>
              <w:jc w:val="left"/>
            </w:pPr>
            <w:r>
              <w:t xml:space="preserve">V2</w:t>
            </w:r>
          </w:p>
        </w:tc>
        <w:tc>
          <w:tcPr/>
          <w:p>
            <w:pPr>
              <w:pStyle w:val="Compact"/>
              <w:jc w:val="left"/>
            </w:pPr>
            <w:r>
              <w:t xml:space="preserve">0.279</w:t>
            </w:r>
          </w:p>
        </w:tc>
        <w:tc>
          <w:tcPr/>
          <w:p>
            <w:pPr>
              <w:pStyle w:val="Compact"/>
              <w:jc w:val="left"/>
            </w:pPr>
            <w:r>
              <w:t xml:space="preserve">0.096</w:t>
            </w:r>
          </w:p>
        </w:tc>
        <w:tc>
          <w:tcPr/>
          <w:p>
            <w:pPr>
              <w:pStyle w:val="Compact"/>
              <w:jc w:val="left"/>
            </w:pPr>
            <w:r>
              <w:t xml:space="preserve">Lower Brier driven by higher accuracy on happy class</w:t>
            </w:r>
          </w:p>
        </w:tc>
      </w:tr>
    </w:tbl>
    <w:p>
      <w:pPr>
        <w:pStyle w:val="BodyText"/>
      </w:pPr>
      <w:r>
        <w:t xml:space="preserve">The ECE gap (0.006) contributes negligibly to the Brier difference (0.061). V1’s higher Brier is driven by lower raw accuracy, not calibration failure. Both models’ confidence scores are similarly trustworthy for the gesture modulation system.</w:t>
      </w:r>
    </w:p>
    <w:bookmarkEnd w:id="54"/>
    <w:bookmarkStart w:id="55" w:name="Xf6b688bf0ca8fad2484318d5e1fa34a11414967"/>
    <w:p>
      <w:pPr>
        <w:pStyle w:val="Heading3"/>
      </w:pPr>
      <w:r>
        <w:t xml:space="preserve">5.8 Statistical Power and Sample Size Considerations</w:t>
      </w:r>
    </w:p>
    <w:p>
      <w:pPr>
        <w:pStyle w:val="FirstParagraph"/>
      </w:pPr>
      <w:r>
        <w:rPr>
          <w:bCs/>
          <w:b/>
        </w:rPr>
        <w:t xml:space="preserve">Table 7. Statistical power and minimum detectable differences by class.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SE of Recall</w:t>
            </w:r>
          </w:p>
        </w:tc>
        <w:tc>
          <w:tcPr/>
          <w:p>
            <w:pPr>
              <w:pStyle w:val="Compact"/>
              <w:jc w:val="left"/>
            </w:pPr>
            <w:r>
              <w:t xml:space="preserve">Detectable Δ at 80% Power</w:t>
            </w:r>
          </w:p>
        </w:tc>
      </w:tr>
      <w:tr>
        <w:tc>
          <w:tcPr/>
          <w:p>
            <w:pPr>
              <w:pStyle w:val="Compact"/>
              <w:jc w:val="left"/>
            </w:pPr>
            <w:r>
              <w:t xml:space="preserve">Happy</w:t>
            </w:r>
          </w:p>
        </w:tc>
        <w:tc>
          <w:tcPr/>
          <w:p>
            <w:pPr>
              <w:pStyle w:val="Compact"/>
              <w:jc w:val="left"/>
            </w:pPr>
            <w:r>
              <w:t xml:space="preserve">435</w:t>
            </w:r>
          </w:p>
        </w:tc>
        <w:tc>
          <w:tcPr/>
          <w:p>
            <w:pPr>
              <w:pStyle w:val="Compact"/>
              <w:jc w:val="left"/>
            </w:pPr>
            <w:r>
              <w:t xml:space="preserve">≈ 0.023</w:t>
            </w:r>
          </w:p>
        </w:tc>
        <w:tc>
          <w:tcPr/>
          <w:p>
            <w:pPr>
              <w:pStyle w:val="Compact"/>
              <w:jc w:val="left"/>
            </w:pPr>
            <w:r>
              <w:t xml:space="preserve">≈ 0.064</w:t>
            </w:r>
          </w:p>
        </w:tc>
      </w:tr>
      <w:tr>
        <w:tc>
          <w:tcPr/>
          <w:p>
            <w:pPr>
              <w:pStyle w:val="Compact"/>
              <w:jc w:val="left"/>
            </w:pPr>
            <w:r>
              <w:t xml:space="preserve">Sad</w:t>
            </w:r>
          </w:p>
        </w:tc>
        <w:tc>
          <w:tcPr/>
          <w:p>
            <w:pPr>
              <w:pStyle w:val="Compact"/>
              <w:jc w:val="left"/>
            </w:pPr>
            <w:r>
              <w:t xml:space="preserve">160</w:t>
            </w:r>
          </w:p>
        </w:tc>
        <w:tc>
          <w:tcPr/>
          <w:p>
            <w:pPr>
              <w:pStyle w:val="Compact"/>
              <w:jc w:val="left"/>
            </w:pPr>
            <w:r>
              <w:t xml:space="preserve">≈ 0.030</w:t>
            </w:r>
          </w:p>
        </w:tc>
        <w:tc>
          <w:tcPr/>
          <w:p>
            <w:pPr>
              <w:pStyle w:val="Compact"/>
              <w:jc w:val="left"/>
            </w:pPr>
            <w:r>
              <w:t xml:space="preserve">≈ 0.083</w:t>
            </w:r>
          </w:p>
        </w:tc>
      </w:tr>
      <w:tr>
        <w:tc>
          <w:tcPr/>
          <w:p>
            <w:pPr>
              <w:pStyle w:val="Compact"/>
              <w:jc w:val="left"/>
            </w:pPr>
            <w:r>
              <w:t xml:space="preserve">Neutral</w:t>
            </w:r>
          </w:p>
        </w:tc>
        <w:tc>
          <w:tcPr/>
          <w:p>
            <w:pPr>
              <w:pStyle w:val="Compact"/>
              <w:jc w:val="left"/>
            </w:pPr>
            <w:r>
              <w:t xml:space="preserve">299</w:t>
            </w:r>
          </w:p>
        </w:tc>
        <w:tc>
          <w:tcPr/>
          <w:p>
            <w:pPr>
              <w:pStyle w:val="Compact"/>
              <w:jc w:val="left"/>
            </w:pPr>
            <w:r>
              <w:t xml:space="preserve">≈ 0.028</w:t>
            </w:r>
          </w:p>
        </w:tc>
        <w:tc>
          <w:tcPr/>
          <w:p>
            <w:pPr>
              <w:pStyle w:val="Compact"/>
              <w:jc w:val="left"/>
            </w:pPr>
            <w:r>
              <w:t xml:space="preserve">≈ 0.078</w:t>
            </w:r>
          </w:p>
        </w:tc>
      </w:tr>
    </w:tbl>
    <w:p>
      <w:pPr>
        <w:pStyle w:val="BodyText"/>
      </w:pPr>
      <w:r>
        <w:t xml:space="preserve">The sad class (</w:t>
      </w:r>
      <m:oMath>
        <m:r>
          <m:t>n</m:t>
        </m:r>
        <m:r>
          <m:rPr>
            <m:sty m:val="p"/>
          </m:rPr>
          <m:t>=</m:t>
        </m:r>
        <m:r>
          <m:t>160</m:t>
        </m:r>
      </m:oMath>
      <w:r>
        <w:t xml:space="preserve">) has the least statistical power; differences &lt; ~8.3 pp cannot be reliably detected. The V1 vs. V2 sad recall difference (7.5 pp) is at the boundary of detectability, consistent with the overlapping CIs in §5.1.</w:t>
      </w:r>
    </w:p>
    <w:p>
      <w:pPr>
        <w:pStyle w:val="BodyText"/>
      </w:pPr>
      <w:r>
        <w:t xml:space="preserve">However, the neutral (Δ = 33.4 pp) and happy (Δ = 29.7 pp) differences are far beyond detectable thresholds and unambiguously real. The complementary strengths pattern is robust.</w:t>
      </w:r>
    </w:p>
    <w:bookmarkEnd w:id="55"/>
    <w:bookmarkStart w:id="56" w:name="X85330aa4900f7dceab51de057ab117c0b3a9aab"/>
    <w:p>
      <w:pPr>
        <w:pStyle w:val="Heading3"/>
      </w:pPr>
      <w:r>
        <w:t xml:space="preserve">5.9 Composite Scoring and Final Recommendation</w:t>
      </w:r>
    </w:p>
    <w:p>
      <w:pPr>
        <w:pStyle w:val="FirstParagraph"/>
      </w:pPr>
      <m:oMathPara>
        <m:oMathParaPr>
          <m:jc m:val="center"/>
        </m:oMathParaPr>
        <m:oMath>
          <m:r>
            <m:t>S</m:t>
          </m:r>
          <m:r>
            <m:rPr>
              <m:sty m:val="p"/>
            </m:rPr>
            <m:t>=</m:t>
          </m:r>
          <m:r>
            <m:t>0.50</m:t>
          </m:r>
          <m:r>
            <m:rPr>
              <m:sty m:val="p"/>
            </m:rPr>
            <m:t>×</m:t>
          </m:r>
          <m:r>
            <m:t>F</m:t>
          </m:r>
          <m:sSub>
            <m:e>
              <m:r>
                <m:t>1</m:t>
              </m:r>
            </m:e>
            <m:sub>
              <m:r>
                <m:t>m</m:t>
              </m:r>
              <m:r>
                <m:t>a</m:t>
              </m:r>
              <m:r>
                <m:t>c</m:t>
              </m:r>
              <m:r>
                <m:t>r</m:t>
              </m:r>
              <m:r>
                <m:t>o</m:t>
              </m:r>
            </m:sub>
          </m:sSub>
          <m:r>
            <m:rPr>
              <m:sty m:val="p"/>
            </m:rPr>
            <m:t>+</m:t>
          </m:r>
          <m:r>
            <m:t>0.20</m:t>
          </m:r>
          <m:r>
            <m:rPr>
              <m:sty m:val="p"/>
            </m:rPr>
            <m:t>×</m:t>
          </m:r>
          <m:r>
            <m:t>b</m:t>
          </m:r>
          <m:r>
            <m:t>A</m:t>
          </m:r>
          <m:r>
            <m:t>c</m:t>
          </m:r>
          <m:r>
            <m:t>c</m:t>
          </m:r>
          <m:r>
            <m:rPr>
              <m:sty m:val="p"/>
            </m:rPr>
            <m:t>+</m:t>
          </m:r>
          <m:r>
            <m:t>0.15</m:t>
          </m:r>
          <m:r>
            <m:rPr>
              <m:sty m:val="p"/>
            </m:rPr>
            <m:t>×</m:t>
          </m:r>
          <m:sSub>
            <m:e>
              <m:acc>
                <m:accPr>
                  <m:chr m:val="‾"/>
                </m:accPr>
                <m:e>
                  <m:r>
                    <m:t>F</m:t>
                  </m:r>
                  <m:r>
                    <m:t>1</m:t>
                  </m:r>
                </m:e>
              </m:acc>
            </m:e>
            <m:sub>
              <m:r>
                <m:t>p</m:t>
              </m:r>
              <m:r>
                <m:t>e</m:t>
              </m:r>
              <m:r>
                <m:t>r</m:t>
              </m:r>
              <m:r>
                <m:t>c</m:t>
              </m:r>
              <m:r>
                <m:t>l</m:t>
              </m:r>
              <m:r>
                <m:t>a</m:t>
              </m:r>
              <m:r>
                <m:t>s</m:t>
              </m:r>
              <m:r>
                <m:t>s</m:t>
              </m:r>
            </m:sub>
          </m:sSub>
          <m:r>
            <m:rPr>
              <m:sty m:val="p"/>
            </m:rPr>
            <m:t>+</m:t>
          </m:r>
          <m:r>
            <m:t>0.15</m:t>
          </m:r>
          <m:r>
            <m:rPr>
              <m:sty m:val="p"/>
            </m:rPr>
            <m:t>×</m:t>
          </m:r>
          <m:d>
            <m:dPr>
              <m:begChr m:val="("/>
              <m:endChr m:val=")"/>
              <m:sepChr m:val=""/>
              <m:grow/>
            </m:dPr>
            <m:e>
              <m:r>
                <m:t>1</m:t>
              </m:r>
              <m:r>
                <m:rPr>
                  <m:sty m:val="p"/>
                </m:rPr>
                <m:t>−</m:t>
              </m:r>
              <m:r>
                <m:t>E</m:t>
              </m:r>
              <m:r>
                <m:t>C</m:t>
              </m:r>
              <m:r>
                <m:t>E</m:t>
              </m:r>
            </m:e>
          </m:d>
        </m:oMath>
      </m:oMathPara>
    </w:p>
    <w:p>
      <w:pPr>
        <w:pStyle w:val="FirstParagraph"/>
      </w:pPr>
      <w:r>
        <w:rPr>
          <w:bCs/>
          <w:b/>
        </w:rPr>
        <w:t xml:space="preserve">Table 8. Composite score breakdown and final recommendation.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V1 Value</w:t>
            </w:r>
          </w:p>
        </w:tc>
        <w:tc>
          <w:tcPr/>
          <w:p>
            <w:pPr>
              <w:pStyle w:val="Compact"/>
              <w:jc w:val="left"/>
            </w:pPr>
            <w:r>
              <w:t xml:space="preserve">V1 Weighted</w:t>
            </w:r>
          </w:p>
        </w:tc>
        <w:tc>
          <w:tcPr/>
          <w:p>
            <w:pPr>
              <w:pStyle w:val="Compact"/>
              <w:jc w:val="left"/>
            </w:pPr>
            <w:r>
              <w:t xml:space="preserve">V2 Value</w:t>
            </w:r>
          </w:p>
        </w:tc>
        <w:tc>
          <w:tcPr/>
          <w:p>
            <w:pPr>
              <w:pStyle w:val="Compact"/>
              <w:jc w:val="left"/>
            </w:pPr>
            <w:r>
              <w:t xml:space="preserve">V2 Weighted</w:t>
            </w:r>
          </w:p>
        </w:tc>
      </w:tr>
      <w:tr>
        <w:tc>
          <w:tcPr/>
          <w:p>
            <w:pPr>
              <w:pStyle w:val="Compact"/>
              <w:jc w:val="left"/>
            </w:pPr>
            <w:r>
              <w:t xml:space="preserve">F1 Macro</w:t>
            </w:r>
          </w:p>
        </w:tc>
        <w:tc>
          <w:tcPr/>
          <w:p>
            <w:pPr>
              <w:pStyle w:val="Compact"/>
              <w:jc w:val="left"/>
            </w:pPr>
            <w:r>
              <w:t xml:space="preserve">0.50</w:t>
            </w:r>
          </w:p>
        </w:tc>
        <w:tc>
          <w:tcPr/>
          <w:p>
            <w:pPr>
              <w:pStyle w:val="Compact"/>
              <w:jc w:val="left"/>
            </w:pPr>
            <w:r>
              <w:t xml:space="preserve">0.7807</w:t>
            </w:r>
          </w:p>
        </w:tc>
        <w:tc>
          <w:tcPr/>
          <w:p>
            <w:pPr>
              <w:pStyle w:val="Compact"/>
              <w:jc w:val="left"/>
            </w:pPr>
            <w:r>
              <w:t xml:space="preserve">0.3904</w:t>
            </w:r>
          </w:p>
        </w:tc>
        <w:tc>
          <w:tcPr/>
          <w:p>
            <w:pPr>
              <w:pStyle w:val="Compact"/>
              <w:jc w:val="left"/>
            </w:pPr>
            <w:r>
              <w:t xml:space="preserve">0.7798</w:t>
            </w:r>
          </w:p>
        </w:tc>
        <w:tc>
          <w:tcPr/>
          <w:p>
            <w:pPr>
              <w:pStyle w:val="Compact"/>
              <w:jc w:val="left"/>
            </w:pPr>
            <w:r>
              <w:t xml:space="preserve">0.3899</w:t>
            </w:r>
          </w:p>
        </w:tc>
      </w:tr>
      <w:tr>
        <w:tc>
          <w:tcPr/>
          <w:p>
            <w:pPr>
              <w:pStyle w:val="Compact"/>
              <w:jc w:val="left"/>
            </w:pPr>
            <w:r>
              <w:t xml:space="preserve">Balanced Accuracy</w:t>
            </w:r>
          </w:p>
        </w:tc>
        <w:tc>
          <w:tcPr/>
          <w:p>
            <w:pPr>
              <w:pStyle w:val="Compact"/>
              <w:jc w:val="left"/>
            </w:pPr>
            <w:r>
              <w:t xml:space="preserve">0.20</w:t>
            </w:r>
          </w:p>
        </w:tc>
        <w:tc>
          <w:tcPr/>
          <w:p>
            <w:pPr>
              <w:pStyle w:val="Compact"/>
              <w:jc w:val="left"/>
            </w:pPr>
            <w:r>
              <w:t xml:space="preserve">0.7994</w:t>
            </w:r>
          </w:p>
        </w:tc>
        <w:tc>
          <w:tcPr/>
          <w:p>
            <w:pPr>
              <w:pStyle w:val="Compact"/>
              <w:jc w:val="left"/>
            </w:pPr>
            <w:r>
              <w:t xml:space="preserve">0.1599</w:t>
            </w:r>
          </w:p>
        </w:tc>
        <w:tc>
          <w:tcPr/>
          <w:p>
            <w:pPr>
              <w:pStyle w:val="Compact"/>
              <w:jc w:val="left"/>
            </w:pPr>
            <w:r>
              <w:t xml:space="preserve">0.8118</w:t>
            </w:r>
          </w:p>
        </w:tc>
        <w:tc>
          <w:tcPr/>
          <w:p>
            <w:pPr>
              <w:pStyle w:val="Compact"/>
              <w:jc w:val="left"/>
            </w:pPr>
            <w:r>
              <w:t xml:space="preserve">0.1624</w:t>
            </w:r>
          </w:p>
        </w:tc>
      </w:tr>
      <w:tr>
        <w:tc>
          <w:tcPr/>
          <w:p>
            <w:pPr>
              <w:pStyle w:val="Compact"/>
              <w:jc w:val="left"/>
            </w:pPr>
            <w:r>
              <w:t xml:space="preserve">Mean Per-class F1</w:t>
            </w:r>
          </w:p>
        </w:tc>
        <w:tc>
          <w:tcPr/>
          <w:p>
            <w:pPr>
              <w:pStyle w:val="Compact"/>
              <w:jc w:val="left"/>
            </w:pPr>
            <w:r>
              <w:t xml:space="preserve">0.15</w:t>
            </w:r>
          </w:p>
        </w:tc>
        <w:tc>
          <w:tcPr/>
          <w:p>
            <w:pPr>
              <w:pStyle w:val="Compact"/>
              <w:jc w:val="left"/>
            </w:pPr>
            <w:r>
              <w:t xml:space="preserve">0.7807</w:t>
            </w:r>
          </w:p>
        </w:tc>
        <w:tc>
          <w:tcPr/>
          <w:p>
            <w:pPr>
              <w:pStyle w:val="Compact"/>
              <w:jc w:val="left"/>
            </w:pPr>
            <w:r>
              <w:t xml:space="preserve">0.1171</w:t>
            </w:r>
          </w:p>
        </w:tc>
        <w:tc>
          <w:tcPr/>
          <w:p>
            <w:pPr>
              <w:pStyle w:val="Compact"/>
              <w:jc w:val="left"/>
            </w:pPr>
            <w:r>
              <w:t xml:space="preserve">0.7798</w:t>
            </w:r>
          </w:p>
        </w:tc>
        <w:tc>
          <w:tcPr/>
          <w:p>
            <w:pPr>
              <w:pStyle w:val="Compact"/>
              <w:jc w:val="left"/>
            </w:pPr>
            <w:r>
              <w:t xml:space="preserve">0.1170</w:t>
            </w:r>
          </w:p>
        </w:tc>
      </w:tr>
      <w:tr>
        <w:tc>
          <w:tcPr/>
          <w:p>
            <w:pPr>
              <w:pStyle w:val="Compact"/>
              <w:jc w:val="left"/>
            </w:pPr>
            <w:r>
              <w:t xml:space="preserve">1 − ECE</w:t>
            </w:r>
          </w:p>
        </w:tc>
        <w:tc>
          <w:tcPr/>
          <w:p>
            <w:pPr>
              <w:pStyle w:val="Compact"/>
              <w:jc w:val="left"/>
            </w:pPr>
            <w:r>
              <w:t xml:space="preserve">0.15</w:t>
            </w:r>
          </w:p>
        </w:tc>
        <w:tc>
          <w:tcPr/>
          <w:p>
            <w:pPr>
              <w:pStyle w:val="Compact"/>
              <w:jc w:val="left"/>
            </w:pPr>
            <w:r>
              <w:t xml:space="preserve">0.8976</w:t>
            </w:r>
          </w:p>
        </w:tc>
        <w:tc>
          <w:tcPr/>
          <w:p>
            <w:pPr>
              <w:pStyle w:val="Compact"/>
              <w:jc w:val="left"/>
            </w:pPr>
            <w:r>
              <w:t xml:space="preserve">0.1346</w:t>
            </w:r>
          </w:p>
        </w:tc>
        <w:tc>
          <w:tcPr/>
          <w:p>
            <w:pPr>
              <w:pStyle w:val="Compact"/>
              <w:jc w:val="left"/>
            </w:pPr>
            <w:r>
              <w:t xml:space="preserve">0.9045</w:t>
            </w:r>
          </w:p>
        </w:tc>
        <w:tc>
          <w:tcPr/>
          <w:p>
            <w:pPr>
              <w:pStyle w:val="Compact"/>
              <w:jc w:val="left"/>
            </w:pPr>
            <w:r>
              <w:t xml:space="preserve">0.1357</w:t>
            </w:r>
          </w:p>
        </w:tc>
      </w:tr>
      <w:tr>
        <w:tc>
          <w:tcPr/>
          <w:p>
            <w:pPr>
              <w:pStyle w:val="Compact"/>
              <w:jc w:val="left"/>
            </w:pPr>
            <w:r>
              <w:rPr>
                <w:bCs/>
                <w:b/>
              </w:rPr>
              <w:t xml:space="preserve">Composite</w:t>
            </w:r>
          </w:p>
        </w:tc>
        <w:tc>
          <w:tcPr/>
          <w:p>
            <w:pPr>
              <w:pStyle w:val="Compact"/>
              <w:jc w:val="left"/>
            </w:pPr>
            <w:r>
              <w:rPr>
                <w:bCs/>
                <w:b/>
              </w:rPr>
              <w:t xml:space="preserve">1.00</w:t>
            </w:r>
          </w:p>
        </w:tc>
        <w:tc>
          <w:tcPr/>
          <w:p>
            <w:pPr>
              <w:pStyle w:val="Compact"/>
            </w:pPr>
          </w:p>
        </w:tc>
        <w:tc>
          <w:tcPr/>
          <w:p>
            <w:pPr>
              <w:pStyle w:val="Compact"/>
              <w:jc w:val="left"/>
            </w:pPr>
            <w:r>
              <w:rPr>
                <w:bCs/>
                <w:b/>
              </w:rPr>
              <w:t xml:space="preserve">0.8020</w:t>
            </w:r>
          </w:p>
        </w:tc>
        <w:tc>
          <w:tcPr/>
          <w:p>
            <w:pPr>
              <w:pStyle w:val="Compact"/>
            </w:pPr>
          </w:p>
        </w:tc>
        <w:tc>
          <w:tcPr/>
          <w:p>
            <w:pPr>
              <w:pStyle w:val="Compact"/>
              <w:jc w:val="left"/>
            </w:pPr>
            <w:r>
              <w:rPr>
                <w:bCs/>
                <w:b/>
              </w:rPr>
              <w:t xml:space="preserve">0.8049</w:t>
            </w:r>
          </w:p>
        </w:tc>
      </w:tr>
    </w:tbl>
    <w:p>
      <w:pPr>
        <w:pStyle w:val="BodyText"/>
      </w:pPr>
      <w:r>
        <w:t xml:space="preserve">V2 has a marginally higher composite score (Δ = 0.003). However,</w:t>
      </w:r>
      <w:r>
        <w:t xml:space="preserve"> </w:t>
      </w:r>
      <w:r>
        <w:rPr>
          <w:bCs/>
          <w:b/>
        </w:rPr>
        <w:t xml:space="preserve">gate compliance takes priority</w:t>
      </w:r>
      <w:r>
        <w:t xml:space="preserve">: V1 passes all six gates; V2 fails two. The gates exist as hard constraints preventing deployment of models with systematic blind spots, while the composite score serves as a tiebreaker when multiple models pass all gates.</w:t>
      </w:r>
    </w:p>
    <w:p>
      <w:pPr>
        <w:pStyle w:val="BodyText"/>
      </w:pPr>
      <w:r>
        <w:rPr>
          <w:bCs/>
          <w:b/>
        </w:rPr>
        <w:t xml:space="preserve">Final recommendation: Deploy Variant 1 (run_0107) with HIGH confidence.</w:t>
      </w:r>
      <w:r>
        <w:t xml:space="preserve"> </w:t>
      </w:r>
      <w:r>
        <w:t xml:space="preserve">The recommendation is robust because it is based on gate compliance (a binary criterion), not marginal metric differences.</w:t>
      </w:r>
    </w:p>
    <w:p>
      <w:r>
        <w:pict>
          <v:rect style="width:0;height:1.5pt" o:hralign="center" o:hrstd="t" o:hr="t"/>
        </w:pict>
      </w:r>
    </w:p>
    <w:bookmarkEnd w:id="56"/>
    <w:bookmarkEnd w:id="57"/>
    <w:bookmarkStart w:id="62" w:name="X9b4b616abc91887bd5ab1f9be5cb39971b7cac8"/>
    <w:p>
      <w:pPr>
        <w:pStyle w:val="Heading2"/>
      </w:pPr>
      <w:r>
        <w:t xml:space="preserve">Chapter 6: Discussion and Threats to Validity</w:t>
      </w:r>
    </w:p>
    <w:bookmarkStart w:id="58" w:name="key-findings"/>
    <w:p>
      <w:pPr>
        <w:pStyle w:val="Heading3"/>
      </w:pPr>
      <w:r>
        <w:t xml:space="preserve">6.1 Key Findings</w:t>
      </w:r>
    </w:p>
    <w:p>
      <w:pPr>
        <w:pStyle w:val="FirstParagraph"/>
      </w:pPr>
      <w:r>
        <w:rPr>
          <w:bCs/>
          <w:b/>
        </w:rPr>
        <w:t xml:space="preserve">Finding 1: Frozen backbones transfer better from synthetic to real domains.</w:t>
      </w:r>
      <w:r>
        <w:t xml:space="preserve"> </w:t>
      </w:r>
      <w:r>
        <w:t xml:space="preserve">Despite V2’s 125× more trainable parameters and 13× more GPU time, both variants achieve identical real-world F1. V2’s fine-tuned backbone adapted to synthetic features rather than learning generalizable representations.</w:t>
      </w:r>
    </w:p>
    <w:p>
      <w:pPr>
        <w:pStyle w:val="BodyText"/>
      </w:pPr>
      <w:r>
        <w:rPr>
          <w:bCs/>
          <w:b/>
        </w:rPr>
        <w:t xml:space="preserve">Finding 2: Aggregate metrics conceal critical disparities.</w:t>
      </w:r>
      <w:r>
        <w:t xml:space="preserve"> </w:t>
      </w:r>
      <w:r>
        <w:t xml:space="preserve">V1 and V2 have nearly identical F1 macro (Δ = 0.001), yet their error profiles differ fundamentally (CV 4.2% vs. 15.1%). The per-class F1 gate was the mechanism that caught this.</w:t>
      </w:r>
    </w:p>
    <w:p>
      <w:pPr>
        <w:pStyle w:val="BodyText"/>
      </w:pPr>
      <w:r>
        <w:rPr>
          <w:bCs/>
          <w:b/>
        </w:rPr>
        <w:t xml:space="preserve">Finding 3: Error severity is context-dependent.</w:t>
      </w:r>
      <w:r>
        <w:t xml:space="preserve"> </w:t>
      </w:r>
      <w:r>
        <w:t xml:space="preserve">V1’s dominant error (happy → neutral, 33.8%) causes under-reaction; V2’s (neutral → sad, 35.1%) causes inappropriate over-reaction. In a companion robot, the latter is far more disruptive.</w:t>
      </w:r>
    </w:p>
    <w:p>
      <w:pPr>
        <w:pStyle w:val="BodyText"/>
      </w:pPr>
      <w:r>
        <w:rPr>
          <w:bCs/>
          <w:b/>
        </w:rPr>
        <w:t xml:space="preserve">Finding 4: Face cropping is the most impactful preprocessing step.</w:t>
      </w:r>
      <w:r>
        <w:t xml:space="preserve"> </w:t>
      </w:r>
      <w:r>
        <w:t xml:space="preserve">Enabling face detection doubled test F1 from 0.43 to 0.78, demonstrating that the data pipeline is often more important than the model.</w:t>
      </w:r>
    </w:p>
    <w:p>
      <w:pPr>
        <w:pStyle w:val="BodyText"/>
      </w:pPr>
      <w:r>
        <w:rPr>
          <w:bCs/>
          <w:b/>
        </w:rPr>
        <w:t xml:space="preserve">Finding 5: The two-tier gate architecture works.</w:t>
      </w:r>
      <w:r>
        <w:t xml:space="preserve"> </w:t>
      </w:r>
      <w:r>
        <w:t xml:space="preserve">V1 fails Gate A-val but passes Gate A-deploy; V2 passes Gate A-val but fails Gate A-deploy. Without two tiers, the wrong model would be deployed.</w:t>
      </w:r>
    </w:p>
    <w:bookmarkEnd w:id="58"/>
    <w:bookmarkStart w:id="59" w:name="the-global-vs.-local-metric-paradox"/>
    <w:p>
      <w:pPr>
        <w:pStyle w:val="Heading3"/>
      </w:pPr>
      <w:r>
        <w:t xml:space="preserve">6.2 The Global vs. Local Metric Paradox</w:t>
      </w:r>
    </w:p>
    <w:p>
      <w:pPr>
        <w:pStyle w:val="FirstParagraph"/>
      </w:pPr>
      <w:r>
        <w:t xml:space="preserve">Global metrics (accuracy, κ, NMI) consistently favor V2; local metrics (per-class F1, CV, gate compliance) favor V1. This paradox arises because V2 excels on the largest test class (happy, 48.7%), inflating global metrics. The resolution: use</w:t>
      </w:r>
      <w:r>
        <w:t xml:space="preserve"> </w:t>
      </w:r>
      <w:r>
        <w:rPr>
          <w:iCs/>
          <w:i/>
        </w:rPr>
        <w:t xml:space="preserve">both</w:t>
      </w:r>
      <w:r>
        <w:t xml:space="preserve"> </w:t>
      </w:r>
      <w:r>
        <w:t xml:space="preserve">metric types with hard constraints on local metrics as</w:t>
      </w:r>
      <w:r>
        <w:t xml:space="preserve"> </w:t>
      </w:r>
      <w:r>
        <w:t xml:space="preserve">“</w:t>
      </w:r>
      <w:r>
        <w:t xml:space="preserve">circuit breakers</w:t>
      </w:r>
      <w:r>
        <w:t xml:space="preserve">”</w:t>
      </w:r>
      <w:r>
        <w:t xml:space="preserve"> </w:t>
      </w:r>
      <w:r>
        <w:t xml:space="preserve">against global metric illusion.</w:t>
      </w:r>
    </w:p>
    <w:bookmarkEnd w:id="59"/>
    <w:bookmarkStart w:id="60" w:name="deployment-risk"/>
    <w:p>
      <w:pPr>
        <w:pStyle w:val="Heading3"/>
      </w:pPr>
      <w:r>
        <w:t xml:space="preserve">6.3 Deployment Risk</w:t>
      </w:r>
    </w:p>
    <w:p>
      <w:pPr>
        <w:pStyle w:val="FirstParagraph"/>
      </w:pPr>
      <w:r>
        <w:t xml:space="preserve">In Reachy’s expected environment, neutral dominates (~75% of interactions). V2’s 35.1% neutral → sad confusion means approximately</w:t>
      </w:r>
      <w:r>
        <w:t xml:space="preserve"> </w:t>
      </w:r>
      <w:r>
        <w:rPr>
          <w:bCs/>
          <w:b/>
        </w:rPr>
        <w:t xml:space="preserve">1 in 4 neutral interactions</w:t>
      </w:r>
      <w:r>
        <w:t xml:space="preserve"> </w:t>
      </w:r>
      <w:r>
        <w:t xml:space="preserve">would trigger inappropriate sadness responses, eroding user trust.</w:t>
      </w:r>
    </w:p>
    <w:p>
      <w:pPr>
        <w:pStyle w:val="BodyText"/>
      </w:pPr>
      <w:r>
        <w:rPr>
          <w:bCs/>
          <w:b/>
        </w:rPr>
        <w:t xml:space="preserve">Deployment risk matrix:</w:t>
      </w:r>
    </w:p>
    <w:tbl>
      <w:tblPr>
        <w:tblStyle w:val="Table"/>
        <w:tblW w:type="pct" w:w="5000"/>
        <w:tblLook w:firstRow="1" w:lastRow="0" w:firstColumn="0" w:lastColumn="0" w:noHBand="0" w:noVBand="0" w:val="0020"/>
        <w:jc w:val="start"/>
      </w:tblPr>
      <w:tblGrid>
        <w:gridCol w:w="1697"/>
        <w:gridCol w:w="3111"/>
        <w:gridCol w:w="3111"/>
      </w:tblGrid>
      <w:tr>
        <w:trPr>
          <w:tblHeader w:val="true"/>
        </w:trPr>
        <w:tc>
          <w:tcPr/>
          <w:p>
            <w:pPr>
              <w:pStyle w:val="Compact"/>
              <w:jc w:val="left"/>
            </w:pPr>
            <w:r>
              <w:t xml:space="preserve">Risk</w:t>
            </w:r>
          </w:p>
        </w:tc>
        <w:tc>
          <w:tcPr/>
          <w:p>
            <w:pPr>
              <w:pStyle w:val="Compact"/>
              <w:jc w:val="left"/>
            </w:pPr>
            <w:r>
              <w:t xml:space="preserve">V1 Impact</w:t>
            </w:r>
          </w:p>
        </w:tc>
        <w:tc>
          <w:tcPr/>
          <w:p>
            <w:pPr>
              <w:pStyle w:val="Compact"/>
              <w:jc w:val="left"/>
            </w:pPr>
            <w:r>
              <w:t xml:space="preserve">V2 Impact</w:t>
            </w:r>
          </w:p>
        </w:tc>
      </w:tr>
      <w:tr>
        <w:tc>
          <w:tcPr/>
          <w:p>
            <w:pPr>
              <w:pStyle w:val="Compact"/>
              <w:jc w:val="left"/>
            </w:pPr>
            <w:r>
              <w:rPr>
                <w:bCs/>
                <w:b/>
              </w:rPr>
              <w:t xml:space="preserve">False sadness</w:t>
            </w:r>
            <w:r>
              <w:t xml:space="preserve"> </w:t>
            </w:r>
            <w:r>
              <w:t xml:space="preserve">(neutral→sad)</w:t>
            </w:r>
          </w:p>
        </w:tc>
        <w:tc>
          <w:tcPr/>
          <w:p>
            <w:pPr>
              <w:pStyle w:val="Compact"/>
              <w:jc w:val="left"/>
            </w:pPr>
            <w:r>
              <w:t xml:space="preserve">Low (6.0%)</w:t>
            </w:r>
          </w:p>
        </w:tc>
        <w:tc>
          <w:tcPr/>
          <w:p>
            <w:pPr>
              <w:pStyle w:val="Compact"/>
              <w:jc w:val="left"/>
            </w:pPr>
            <w:r>
              <w:rPr>
                <w:bCs/>
                <w:b/>
              </w:rPr>
              <w:t xml:space="preserve">High (35.1%)</w:t>
            </w:r>
          </w:p>
        </w:tc>
      </w:tr>
      <w:tr>
        <w:tc>
          <w:tcPr/>
          <w:p>
            <w:pPr>
              <w:pStyle w:val="Compact"/>
              <w:jc w:val="left"/>
            </w:pPr>
            <w:r>
              <w:rPr>
                <w:bCs/>
                <w:b/>
              </w:rPr>
              <w:t xml:space="preserve">Missed happiness</w:t>
            </w:r>
            <w:r>
              <w:t xml:space="preserve"> </w:t>
            </w:r>
            <w:r>
              <w:t xml:space="preserve">(happy→neutral)</w:t>
            </w:r>
          </w:p>
        </w:tc>
        <w:tc>
          <w:tcPr/>
          <w:p>
            <w:pPr>
              <w:pStyle w:val="Compact"/>
              <w:jc w:val="left"/>
            </w:pPr>
            <w:r>
              <w:t xml:space="preserve">Moderate (33.8%)</w:t>
            </w:r>
          </w:p>
        </w:tc>
        <w:tc>
          <w:tcPr/>
          <w:p>
            <w:pPr>
              <w:pStyle w:val="Compact"/>
              <w:jc w:val="left"/>
            </w:pPr>
            <w:r>
              <w:t xml:space="preserve">Low (5.3%)</w:t>
            </w:r>
          </w:p>
        </w:tc>
      </w:tr>
      <w:tr>
        <w:tc>
          <w:tcPr/>
          <w:p>
            <w:pPr>
              <w:pStyle w:val="Compact"/>
              <w:jc w:val="left"/>
            </w:pPr>
            <w:r>
              <w:rPr>
                <w:bCs/>
                <w:b/>
              </w:rPr>
              <w:t xml:space="preserve">Cross-valence error</w:t>
            </w:r>
            <w:r>
              <w:t xml:space="preserve"> </w:t>
            </w:r>
            <w:r>
              <w:t xml:space="preserve">(happy↔sad)</w:t>
            </w:r>
          </w:p>
        </w:tc>
        <w:tc>
          <w:tcPr/>
          <w:p>
            <w:pPr>
              <w:pStyle w:val="Compact"/>
              <w:jc w:val="left"/>
            </w:pPr>
            <w:r>
              <w:t xml:space="preserve">Very low (2.5%)</w:t>
            </w:r>
          </w:p>
        </w:tc>
        <w:tc>
          <w:tcPr/>
          <w:p>
            <w:pPr>
              <w:pStyle w:val="Compact"/>
              <w:jc w:val="left"/>
            </w:pPr>
            <w:r>
              <w:t xml:space="preserve">Very low (1.4%)</w:t>
            </w:r>
          </w:p>
        </w:tc>
      </w:tr>
      <w:tr>
        <w:tc>
          <w:tcPr/>
          <w:p>
            <w:pPr>
              <w:pStyle w:val="Compact"/>
              <w:jc w:val="left"/>
            </w:pPr>
            <w:r>
              <w:rPr>
                <w:bCs/>
                <w:b/>
              </w:rPr>
              <w:t xml:space="preserve">Gate non-compliance</w:t>
            </w:r>
          </w:p>
        </w:tc>
        <w:tc>
          <w:tcPr/>
          <w:p>
            <w:pPr>
              <w:pStyle w:val="Compact"/>
              <w:jc w:val="left"/>
            </w:pPr>
            <w:r>
              <w:t xml:space="preserve">None (6/6)</w:t>
            </w:r>
          </w:p>
        </w:tc>
        <w:tc>
          <w:tcPr/>
          <w:p>
            <w:pPr>
              <w:pStyle w:val="Compact"/>
              <w:jc w:val="left"/>
            </w:pPr>
            <w:r>
              <w:rPr>
                <w:bCs/>
                <w:b/>
              </w:rPr>
              <w:t xml:space="preserve">2 gates failed</w:t>
            </w:r>
          </w:p>
        </w:tc>
      </w:tr>
    </w:tbl>
    <w:bookmarkEnd w:id="60"/>
    <w:bookmarkStart w:id="61" w:name="threats-to-validity"/>
    <w:p>
      <w:pPr>
        <w:pStyle w:val="Heading3"/>
      </w:pPr>
      <w:r>
        <w:t xml:space="preserve">6.4 Threats to Validity</w:t>
      </w:r>
    </w:p>
    <w:p>
      <w:pPr>
        <w:pStyle w:val="FirstParagraph"/>
      </w:pPr>
      <w:r>
        <w:rPr>
          <w:bCs/>
          <w:b/>
        </w:rPr>
        <w:t xml:space="preserve">Internal:</w:t>
      </w:r>
      <w:r>
        <w:t xml:space="preserve"> </w:t>
      </w:r>
      <w:r>
        <w:t xml:space="preserve">The AffectNet test set (894 images) is a convenience sample with class distribution (48.7/33.4/17.9%) that may not reflect deployment conditions where neutral dominates. Single test run; Wilson CIs partially mitigate but cannot substitute for repeated evaluation. AffectNet inter-annotator agreement is ~60-65%, meaning some V1</w:t>
      </w:r>
      <w:r>
        <w:t xml:space="preserve"> </w:t>
      </w:r>
      <w:r>
        <w:t xml:space="preserve">“</w:t>
      </w:r>
      <w:r>
        <w:t xml:space="preserve">errors</w:t>
      </w:r>
      <w:r>
        <w:t xml:space="preserve">”</w:t>
      </w:r>
      <w:r>
        <w:t xml:space="preserve"> </w:t>
      </w:r>
      <w:r>
        <w:t xml:space="preserve">on the happy/neutral boundary may be correct.</w:t>
      </w:r>
    </w:p>
    <w:p>
      <w:pPr>
        <w:pStyle w:val="BodyText"/>
      </w:pPr>
      <w:r>
        <w:rPr>
          <w:bCs/>
          <w:b/>
        </w:rPr>
        <w:t xml:space="preserve">External:</w:t>
      </w:r>
      <w:r>
        <w:t xml:space="preserve"> </w:t>
      </w:r>
      <w:r>
        <w:t xml:space="preserve">All training data is AI-generated; models have never seen real photographs. The 22% generalization gap may vary across deployment contexts. The test set is static images but deployment processes video; temporal smoothing has not been validated against ground truth. No demographic fairness audit has been performed.</w:t>
      </w:r>
    </w:p>
    <w:p>
      <w:pPr>
        <w:pStyle w:val="BodyText"/>
      </w:pPr>
      <w:r>
        <w:rPr>
          <w:bCs/>
          <w:b/>
        </w:rPr>
        <w:t xml:space="preserve">Construct:</w:t>
      </w:r>
      <w:r>
        <w:t xml:space="preserve"> </w:t>
      </w:r>
      <w:r>
        <w:t xml:space="preserve">The 3-class taxonomy is a simplification; the abstention mechanism mitigates but doesn’t address out-of-taxonomy emotions. F1 macro gives equal weight to all classes regardless of operational importance. ECE is sensitive to binning choices.</w:t>
      </w:r>
    </w:p>
    <w:p>
      <w:r>
        <w:pict>
          <v:rect style="width:0;height:1.5pt" o:hralign="center" o:hrstd="t" o:hr="t"/>
        </w:pict>
      </w:r>
    </w:p>
    <w:bookmarkEnd w:id="61"/>
    <w:bookmarkEnd w:id="62"/>
    <w:bookmarkStart w:id="65" w:name="chapter-7-future-work-and-reflections"/>
    <w:p>
      <w:pPr>
        <w:pStyle w:val="Heading2"/>
      </w:pPr>
      <w:r>
        <w:t xml:space="preserve">Chapter 7: Future Work and Reflections</w:t>
      </w:r>
    </w:p>
    <w:bookmarkStart w:id="63" w:name="priority-improvements"/>
    <w:p>
      <w:pPr>
        <w:pStyle w:val="Heading3"/>
      </w:pPr>
      <w:r>
        <w:t xml:space="preserve">7.1 Priority Improvements</w:t>
      </w:r>
    </w:p>
    <w:p>
      <w:pPr>
        <w:pStyle w:val="FirstParagraph"/>
      </w:pPr>
      <w:r>
        <w:rPr>
          <w:bCs/>
          <w:b/>
        </w:rPr>
        <w:t xml:space="preserve">Temperature scaling (Priority 1, ~1 day):</w:t>
      </w:r>
      <w:r>
        <w:t xml:space="preserve"> </w:t>
      </w:r>
      <w:r>
        <w:t xml:space="preserve">Post-hoc calibration (Guo et al., 2017) can reduce V1’s ECE from 0.102 to ~0.06 with zero accuracy cost, improving gesture modulation reliability.</w:t>
      </w:r>
    </w:p>
    <w:p>
      <w:pPr>
        <w:pStyle w:val="BodyText"/>
      </w:pPr>
      <w:r>
        <w:rPr>
          <w:bCs/>
          <w:b/>
        </w:rPr>
        <w:t xml:space="preserve">Training data diversification (Priority 2):</w:t>
      </w:r>
      <w:r>
        <w:t xml:space="preserve"> </w:t>
      </w:r>
      <w:r>
        <w:t xml:space="preserve">Incorporating 10-20% real face images could close the generalization gap from F1 ≈ 0.78 toward the base model’s 0.93 (Shrivastava et al., 2017). Diversifying synthetic prompts for demographic and environmental variety would also help.</w:t>
      </w:r>
    </w:p>
    <w:p>
      <w:pPr>
        <w:pStyle w:val="BodyText"/>
      </w:pPr>
      <w:r>
        <w:rPr>
          <w:bCs/>
          <w:b/>
        </w:rPr>
        <w:t xml:space="preserve">Ensemble methods (Priority 3, ~2 days):</w:t>
      </w:r>
      <w:r>
        <w:t xml:space="preserve"> </w:t>
      </w:r>
      <w:r>
        <w:t xml:space="preserve">V1 and V2 have complementary strengths (V1: sad+neutral, V2: happy). A weighted ensemble</w:t>
      </w:r>
      <w:r>
        <w:t xml:space="preserve"> </w:t>
      </w:r>
      <m:oMath>
        <m:sSub>
          <m:e>
            <m:r>
              <m:t>p</m:t>
            </m:r>
          </m:e>
          <m:sub>
            <m:r>
              <m:t>e</m:t>
            </m:r>
            <m:r>
              <m:t>n</m:t>
            </m:r>
            <m:r>
              <m:t>s</m:t>
            </m:r>
            <m:r>
              <m:t>e</m:t>
            </m:r>
            <m:r>
              <m:t>m</m:t>
            </m:r>
            <m:r>
              <m:t>b</m:t>
            </m:r>
            <m:r>
              <m:t>l</m:t>
            </m:r>
            <m:r>
              <m:t>e</m:t>
            </m:r>
          </m:sub>
        </m:sSub>
        <m:r>
          <m:rPr>
            <m:sty m:val="p"/>
          </m:rPr>
          <m:t>=</m:t>
        </m:r>
        <m:r>
          <m:t>α</m:t>
        </m:r>
        <m:r>
          <m:rPr>
            <m:sty m:val="p"/>
          </m:rPr>
          <m:t>⋅</m:t>
        </m:r>
        <m:sSub>
          <m:e>
            <m:r>
              <m:t>p</m:t>
            </m:r>
          </m:e>
          <m:sub>
            <m:r>
              <m:t>V</m:t>
            </m:r>
            <m:r>
              <m:t>1</m:t>
            </m:r>
          </m:sub>
        </m:sSub>
        <m:r>
          <m:rPr>
            <m:sty m:val="p"/>
          </m:rPr>
          <m:t>+</m:t>
        </m:r>
        <m:d>
          <m:dPr>
            <m:begChr m:val="("/>
            <m:endChr m:val=")"/>
            <m:sepChr m:val=""/>
            <m:grow/>
          </m:dPr>
          <m:e>
            <m:r>
              <m:t>1</m:t>
            </m:r>
            <m:r>
              <m:rPr>
                <m:sty m:val="p"/>
              </m:rPr>
              <m:t>−</m:t>
            </m:r>
            <m:r>
              <m:t>α</m:t>
            </m:r>
          </m:e>
        </m:d>
        <m:r>
          <m:rPr>
            <m:sty m:val="p"/>
          </m:rPr>
          <m:t>⋅</m:t>
        </m:r>
        <m:sSub>
          <m:e>
            <m:r>
              <m:t>p</m:t>
            </m:r>
          </m:e>
          <m:sub>
            <m:r>
              <m:t>V</m:t>
            </m:r>
            <m:r>
              <m:t>2</m:t>
            </m:r>
          </m:sub>
        </m:sSub>
      </m:oMath>
      <w:r>
        <w:t xml:space="preserve"> </w:t>
      </w:r>
      <w:r>
        <w:t xml:space="preserve">could leverage both, though doubling compute on the Jetson is a concern.</w:t>
      </w:r>
    </w:p>
    <w:p>
      <w:pPr>
        <w:pStyle w:val="BodyText"/>
      </w:pPr>
      <w:r>
        <w:rPr>
          <w:bCs/>
          <w:b/>
        </w:rPr>
        <w:t xml:space="preserve">Phase 2: Full 8-class Ekman taxonomy (Priority 4):</w:t>
      </w:r>
      <w:r>
        <w:t xml:space="preserve"> </w:t>
      </w:r>
      <w:r>
        <w:t xml:space="preserve">The behavioral profile infrastructure already supports 8 classes. Expansion would enable de-escalation (anger), reassurance (fear), and redirect (disgust) behaviors. The HSEmotion backbone is pre-trained on all 8 Ekman classes.</w:t>
      </w:r>
    </w:p>
    <w:p>
      <w:pPr>
        <w:pStyle w:val="BodyText"/>
      </w:pPr>
      <w:r>
        <w:rPr>
          <w:bCs/>
          <w:b/>
        </w:rPr>
        <w:t xml:space="preserve">Domain adaptation (Priority 5):</w:t>
      </w:r>
      <w:r>
        <w:t xml:space="preserve"> </w:t>
      </w:r>
      <w:r>
        <w:t xml:space="preserve">Adversarial domain adaptation (Ganin &amp; Lempitsky, 2015), style transfer preprocessing (Huang &amp; Belongie, 2017), and self-supervised pre-training on unlabeled real video (Chen et al., 2020) could further close the synthetic-to-real gap.</w:t>
      </w:r>
    </w:p>
    <w:p>
      <w:pPr>
        <w:pStyle w:val="BodyText"/>
      </w:pPr>
      <w:r>
        <w:rPr>
          <w:bCs/>
          <w:b/>
        </w:rPr>
        <w:t xml:space="preserve">Fairness evaluation:</w:t>
      </w:r>
      <w:r>
        <w:t xml:space="preserve"> </w:t>
      </w:r>
      <w:r>
        <w:t xml:space="preserve">Dedicated audit across age, gender, ethnicity, and skin tone using tools like FairFace (Kärkkäinen &amp; Joo, 2021).</w:t>
      </w:r>
    </w:p>
    <w:bookmarkEnd w:id="63"/>
    <w:bookmarkStart w:id="64" w:name="project-reflections"/>
    <w:p>
      <w:pPr>
        <w:pStyle w:val="Heading3"/>
      </w:pPr>
      <w:r>
        <w:t xml:space="preserve">7.2 Project Reflections</w:t>
      </w:r>
    </w:p>
    <w:p>
      <w:pPr>
        <w:pStyle w:val="FirstParagraph"/>
      </w:pPr>
      <w:r>
        <w:rPr>
          <w:bCs/>
          <w:b/>
        </w:rPr>
        <w:t xml:space="preserve">Preprocessing over architecture:</w:t>
      </w:r>
      <w:r>
        <w:t xml:space="preserve"> </w:t>
      </w:r>
      <w:r>
        <w:t xml:space="preserve">The face cropping fix (+82% F1) outperformed V2’s entire 90-trial hyperparameter sweep. This reinforces the</w:t>
      </w:r>
      <w:r>
        <w:t xml:space="preserve"> </w:t>
      </w:r>
      <w:r>
        <w:t xml:space="preserve">“</w:t>
      </w:r>
      <w:r>
        <w:t xml:space="preserve">data-centric AI</w:t>
      </w:r>
      <w:r>
        <w:t xml:space="preserve">”</w:t>
      </w:r>
      <w:r>
        <w:t xml:space="preserve"> </w:t>
      </w:r>
      <w:r>
        <w:t xml:space="preserve">perspective (Ng, 2021): data pipeline quality often yields higher returns than model architecture changes.</w:t>
      </w:r>
    </w:p>
    <w:p>
      <w:pPr>
        <w:pStyle w:val="BodyText"/>
      </w:pPr>
      <w:r>
        <w:rPr>
          <w:bCs/>
          <w:b/>
        </w:rPr>
        <w:t xml:space="preserve">Define gates before evaluation:</w:t>
      </w:r>
      <w:r>
        <w:t xml:space="preserve"> </w:t>
      </w:r>
      <w:r>
        <w:t xml:space="preserve">The gate framework prevented</w:t>
      </w:r>
      <w:r>
        <w:t xml:space="preserve"> </w:t>
      </w:r>
      <w:r>
        <w:t xml:space="preserve">“</w:t>
      </w:r>
      <w:r>
        <w:t xml:space="preserve">metric cherry-picking</w:t>
      </w:r>
      <w:r>
        <w:t xml:space="preserve">”</w:t>
      </w:r>
      <w:r>
        <w:t xml:space="preserve"> </w:t>
      </w:r>
      <w:r>
        <w:t xml:space="preserve">by establishing hard constraints on per-class performance</w:t>
      </w:r>
      <w:r>
        <w:t xml:space="preserve"> </w:t>
      </w:r>
      <w:r>
        <w:rPr>
          <w:iCs/>
          <w:i/>
        </w:rPr>
        <w:t xml:space="preserve">before</w:t>
      </w:r>
      <w:r>
        <w:t xml:space="preserve"> </w:t>
      </w:r>
      <w:r>
        <w:t xml:space="preserve">seeing results. MLOps quality gates should include both global and per-class metrics.</w:t>
      </w:r>
    </w:p>
    <w:p>
      <w:pPr>
        <w:pStyle w:val="BodyText"/>
      </w:pPr>
      <w:r>
        <w:rPr>
          <w:bCs/>
          <w:b/>
        </w:rPr>
        <w:t xml:space="preserve">Synthetic data is a complement, not a substitute.</w:t>
      </w:r>
      <w:r>
        <w:t xml:space="preserve"> </w:t>
      </w:r>
      <w:r>
        <w:t xml:space="preserve">The 14.5 pp gap between the base model (real-data pre-training) and V1 (synthetic-only) quantifies the cost. The synthetic data contains useful signal (facial expressions) embedded in misleading context (synthetic backgrounds).</w:t>
      </w:r>
    </w:p>
    <w:p>
      <w:pPr>
        <w:pStyle w:val="BodyText"/>
      </w:pPr>
      <w:r>
        <w:rPr>
          <w:bCs/>
          <w:b/>
        </w:rPr>
        <w:t xml:space="preserve">Consider error consequences, not just rates.</w:t>
      </w:r>
      <w:r>
        <w:t xml:space="preserve"> </w:t>
      </w:r>
      <w:r>
        <w:t xml:space="preserve">A 33% happy → neutral error rate (under-reaction) is more tolerable than a 35% neutral → sad rate (over-reaction), despite similar magnitudes. In human-facing applications, the</w:t>
      </w:r>
      <w:r>
        <w:t xml:space="preserve"> </w:t>
      </w:r>
      <w:r>
        <w:rPr>
          <w:iCs/>
          <w:i/>
        </w:rPr>
        <w:t xml:space="preserve">impact</w:t>
      </w:r>
      <w:r>
        <w:t xml:space="preserve"> </w:t>
      </w:r>
      <w:r>
        <w:t xml:space="preserve">of each error type matters as much as its frequency.</w:t>
      </w:r>
    </w:p>
    <w:p>
      <w:pPr>
        <w:pStyle w:val="BodyText"/>
      </w:pPr>
      <w:r>
        <w:rPr>
          <w:bCs/>
          <w:b/>
        </w:rPr>
        <w:t xml:space="preserve">Frozen backbones are a strong baseline.</w:t>
      </w:r>
      <w:r>
        <w:t xml:space="preserve"> </w:t>
      </w:r>
      <w:r>
        <w:t xml:space="preserve">Before investing in expensive fine-tuning sweeps, verify that feature extraction with a frozen backbone doesn’t already meet deployment requirements. In our case, it did.</w:t>
      </w:r>
    </w:p>
    <w:p>
      <w:pPr>
        <w:pStyle w:val="BodyText"/>
      </w:pPr>
      <w:r>
        <w:rPr>
          <w:bCs/>
          <w:b/>
        </w:rPr>
        <w:t xml:space="preserve">Privacy constraints as features.</w:t>
      </w:r>
      <w:r>
        <w:t xml:space="preserve"> </w:t>
      </w:r>
      <w:r>
        <w:t xml:space="preserve">The local-only mandate produced lower latency (no cloud round-trips), higher availability (no internet dependency), simpler compliance (data minimization by architecture), and greater user trust.</w:t>
      </w:r>
    </w:p>
    <w:p>
      <w:r>
        <w:pict>
          <v:rect style="width:0;height:1.5pt" o:hralign="center" o:hrstd="t" o:hr="t"/>
        </w:pict>
      </w:r>
    </w:p>
    <w:bookmarkEnd w:id="64"/>
    <w:bookmarkEnd w:id="65"/>
    <w:bookmarkStart w:id="66" w:name="references"/>
    <w:p>
      <w:pPr>
        <w:pStyle w:val="Heading2"/>
      </w:pPr>
      <w:r>
        <w:t xml:space="preserve">References</w:t>
      </w:r>
    </w:p>
    <w:p>
      <w:pPr>
        <w:pStyle w:val="FirstParagraph"/>
      </w:pPr>
      <w:r>
        <w:t xml:space="preserve">Agresti, A., &amp; Coull, B. A. (1998). Approximate is better than</w:t>
      </w:r>
      <w:r>
        <w:t xml:space="preserve"> </w:t>
      </w:r>
      <w:r>
        <w:t xml:space="preserve">“</w:t>
      </w:r>
      <w:r>
        <w:t xml:space="preserve">exact</w:t>
      </w:r>
      <w:r>
        <w:t xml:space="preserve">”</w:t>
      </w:r>
      <w:r>
        <w:t xml:space="preserve"> </w:t>
      </w:r>
      <w:r>
        <w:t xml:space="preserve">for interval estimation of binomial proportions.</w:t>
      </w:r>
      <w:r>
        <w:t xml:space="preserve"> </w:t>
      </w:r>
      <w:r>
        <w:rPr>
          <w:iCs/>
          <w:i/>
        </w:rPr>
        <w:t xml:space="preserve">The American Statistician</w:t>
      </w:r>
      <w:r>
        <w:t xml:space="preserve">, 52(2), 119–126.</w:t>
      </w:r>
    </w:p>
    <w:p>
      <w:pPr>
        <w:pStyle w:val="BodyText"/>
      </w:pPr>
      <w:r>
        <w:t xml:space="preserve">Baylor, D., et al. (2017). TFX: A TensorFlow-based production-scale machine learning platform. In</w:t>
      </w:r>
      <w:r>
        <w:t xml:space="preserve"> </w:t>
      </w:r>
      <w:r>
        <w:rPr>
          <w:iCs/>
          <w:i/>
        </w:rPr>
        <w:t xml:space="preserve">Proceedings of the 23rd ACM SIGKDD</w:t>
      </w:r>
      <w:r>
        <w:t xml:space="preserve"> </w:t>
      </w:r>
      <w:r>
        <w:t xml:space="preserve">(pp. 1387–1395).</w:t>
      </w:r>
    </w:p>
    <w:p>
      <w:pPr>
        <w:pStyle w:val="BodyText"/>
      </w:pPr>
      <w:r>
        <w:t xml:space="preserve">Breazeal, C. (2003). Emotion and sociable humanoid robots.</w:t>
      </w:r>
      <w:r>
        <w:t xml:space="preserve"> </w:t>
      </w:r>
      <w:r>
        <w:rPr>
          <w:iCs/>
          <w:i/>
        </w:rPr>
        <w:t xml:space="preserve">International Journal of Human-Computer Studies</w:t>
      </w:r>
      <w:r>
        <w:t xml:space="preserve">, 59(1–2), 119–155.</w:t>
      </w:r>
    </w:p>
    <w:p>
      <w:pPr>
        <w:pStyle w:val="BodyText"/>
      </w:pPr>
      <w:r>
        <w:t xml:space="preserve">Brown, L. D., Cai, T. T., &amp; DasGupta, A. (2001). Interval estimation for a binomial proportion.</w:t>
      </w:r>
      <w:r>
        <w:t xml:space="preserve"> </w:t>
      </w:r>
      <w:r>
        <w:rPr>
          <w:iCs/>
          <w:i/>
        </w:rPr>
        <w:t xml:space="preserve">Statistical Science</w:t>
      </w:r>
      <w:r>
        <w:t xml:space="preserve">, 16(2), 101–133.</w:t>
      </w:r>
    </w:p>
    <w:p>
      <w:pPr>
        <w:pStyle w:val="BodyText"/>
      </w:pPr>
      <w:r>
        <w:t xml:space="preserve">Chen, T., Kornblith, S., Norouzi, M., &amp; Hinton, G. (2020). A simple framework for contrastive learning of visual representations. In</w:t>
      </w:r>
      <w:r>
        <w:t xml:space="preserve"> </w:t>
      </w:r>
      <w:r>
        <w:rPr>
          <w:iCs/>
          <w:i/>
        </w:rPr>
        <w:t xml:space="preserve">ICML 2020</w:t>
      </w:r>
      <w:r>
        <w:t xml:space="preserve"> </w:t>
      </w:r>
      <w:r>
        <w:t xml:space="preserve">(pp. 1597–1607).</w:t>
      </w:r>
    </w:p>
    <w:p>
      <w:pPr>
        <w:pStyle w:val="BodyText"/>
      </w:pPr>
      <w:r>
        <w:t xml:space="preserve">Churamani, N., Kalkan, S., &amp; Gunes, H. (2020). Continual learning for affective robotics. In</w:t>
      </w:r>
      <w:r>
        <w:t xml:space="preserve"> </w:t>
      </w:r>
      <w:r>
        <w:rPr>
          <w:iCs/>
          <w:i/>
        </w:rPr>
        <w:t xml:space="preserve">IEEE RO-MAN 2020</w:t>
      </w:r>
      <w:r>
        <w:t xml:space="preserve"> </w:t>
      </w:r>
      <w:r>
        <w:t xml:space="preserve">(pp. 425–431).</w:t>
      </w:r>
    </w:p>
    <w:p>
      <w:pPr>
        <w:pStyle w:val="BodyText"/>
      </w:pPr>
      <w:r>
        <w:t xml:space="preserve">Cohen, J. (1960). A coefficient of agreement for nominal scales.</w:t>
      </w:r>
      <w:r>
        <w:t xml:space="preserve"> </w:t>
      </w:r>
      <w:r>
        <w:rPr>
          <w:iCs/>
          <w:i/>
        </w:rPr>
        <w:t xml:space="preserve">Educational and Psychological Measurement</w:t>
      </w:r>
      <w:r>
        <w:t xml:space="preserve">, 20(1), 37–46.</w:t>
      </w:r>
    </w:p>
    <w:p>
      <w:pPr>
        <w:pStyle w:val="BodyText"/>
      </w:pPr>
      <w:r>
        <w:t xml:space="preserve">Crawford, K. (2021).</w:t>
      </w:r>
      <w:r>
        <w:t xml:space="preserve"> </w:t>
      </w:r>
      <w:r>
        <w:rPr>
          <w:iCs/>
          <w:i/>
        </w:rPr>
        <w:t xml:space="preserve">Atlas of AI</w:t>
      </w:r>
      <w:r>
        <w:t xml:space="preserve">. Yale University Press.</w:t>
      </w:r>
    </w:p>
    <w:p>
      <w:pPr>
        <w:pStyle w:val="BodyText"/>
      </w:pPr>
      <w:r>
        <w:t xml:space="preserve">Ekman, P. (1992). An argument for basic emotions.</w:t>
      </w:r>
      <w:r>
        <w:t xml:space="preserve"> </w:t>
      </w:r>
      <w:r>
        <w:rPr>
          <w:iCs/>
          <w:i/>
        </w:rPr>
        <w:t xml:space="preserve">Cognition &amp; Emotion</w:t>
      </w:r>
      <w:r>
        <w:t xml:space="preserve">, 6(3–4), 169–200.</w:t>
      </w:r>
    </w:p>
    <w:p>
      <w:pPr>
        <w:pStyle w:val="BodyText"/>
      </w:pPr>
      <w:r>
        <w:t xml:space="preserve">Ekman, P., &amp; Friesen, W. V. (1971). Constants across cultures in the face and emotion.</w:t>
      </w:r>
      <w:r>
        <w:t xml:space="preserve"> </w:t>
      </w:r>
      <w:r>
        <w:rPr>
          <w:iCs/>
          <w:i/>
        </w:rPr>
        <w:t xml:space="preserve">Journal of Personality and Social Psychology</w:t>
      </w:r>
      <w:r>
        <w:t xml:space="preserve">, 17(2), 124–129.</w:t>
      </w:r>
    </w:p>
    <w:p>
      <w:pPr>
        <w:pStyle w:val="BodyText"/>
      </w:pPr>
      <w:r>
        <w:t xml:space="preserve">European Union. (2024). Regulation (EU) 2024/1689 — AI Act.</w:t>
      </w:r>
      <w:r>
        <w:t xml:space="preserve"> </w:t>
      </w:r>
      <w:r>
        <w:rPr>
          <w:iCs/>
          <w:i/>
        </w:rPr>
        <w:t xml:space="preserve">Official Journal of the European Union</w:t>
      </w:r>
      <w:r>
        <w:t xml:space="preserve">.</w:t>
      </w:r>
    </w:p>
    <w:p>
      <w:pPr>
        <w:pStyle w:val="BodyText"/>
      </w:pPr>
      <w:r>
        <w:t xml:space="preserve">Fong, T., Nourbakhsh, I., &amp; Dautenhahn, K. (2003). A survey of socially interactive robots.</w:t>
      </w:r>
      <w:r>
        <w:t xml:space="preserve"> </w:t>
      </w:r>
      <w:r>
        <w:rPr>
          <w:iCs/>
          <w:i/>
        </w:rPr>
        <w:t xml:space="preserve">Robotics and Autonomous Systems</w:t>
      </w:r>
      <w:r>
        <w:t xml:space="preserve">, 42(3–4), 143–166.</w:t>
      </w:r>
    </w:p>
    <w:p>
      <w:pPr>
        <w:pStyle w:val="BodyText"/>
      </w:pPr>
      <w:r>
        <w:t xml:space="preserve">Ganin, Y., &amp; Lempitsky, V. (2015). Unsupervised domain adaptation by backpropagation. In</w:t>
      </w:r>
      <w:r>
        <w:t xml:space="preserve"> </w:t>
      </w:r>
      <w:r>
        <w:rPr>
          <w:iCs/>
          <w:i/>
        </w:rPr>
        <w:t xml:space="preserve">ICML 2015</w:t>
      </w:r>
      <w:r>
        <w:t xml:space="preserve"> </w:t>
      </w:r>
      <w:r>
        <w:t xml:space="preserve">(pp. 1180–1189).</w:t>
      </w:r>
    </w:p>
    <w:p>
      <w:pPr>
        <w:pStyle w:val="BodyText"/>
      </w:pPr>
      <w:r>
        <w:t xml:space="preserve">Guo, C., Pleiss, G., Sun, Y., &amp; Weinberger, K. Q. (2017). On calibration of modern neural networks. In</w:t>
      </w:r>
      <w:r>
        <w:t xml:space="preserve"> </w:t>
      </w:r>
      <w:r>
        <w:rPr>
          <w:iCs/>
          <w:i/>
        </w:rPr>
        <w:t xml:space="preserve">ICML 2017</w:t>
      </w:r>
      <w:r>
        <w:t xml:space="preserve"> </w:t>
      </w:r>
      <w:r>
        <w:t xml:space="preserve">(pp. 1321–1330).</w:t>
      </w:r>
    </w:p>
    <w:p>
      <w:pPr>
        <w:pStyle w:val="BodyText"/>
      </w:pPr>
      <w:r>
        <w:t xml:space="preserve">He, H., &amp; Garcia, E. A. (2009). Learning from imbalanced data.</w:t>
      </w:r>
      <w:r>
        <w:t xml:space="preserve"> </w:t>
      </w:r>
      <w:r>
        <w:rPr>
          <w:iCs/>
          <w:i/>
        </w:rPr>
        <w:t xml:space="preserve">IEEE TKDE</w:t>
      </w:r>
      <w:r>
        <w:t xml:space="preserve">, 21(9), 1263–1284.</w:t>
      </w:r>
    </w:p>
    <w:p>
      <w:pPr>
        <w:pStyle w:val="BodyText"/>
      </w:pPr>
      <w:r>
        <w:t xml:space="preserve">Howard, J., &amp; Ruder, S. (2018). Universal language model fine-tuning for text classification. In</w:t>
      </w:r>
      <w:r>
        <w:t xml:space="preserve"> </w:t>
      </w:r>
      <w:r>
        <w:rPr>
          <w:iCs/>
          <w:i/>
        </w:rPr>
        <w:t xml:space="preserve">ACL 2018</w:t>
      </w:r>
      <w:r>
        <w:t xml:space="preserve"> </w:t>
      </w:r>
      <w:r>
        <w:t xml:space="preserve">(pp. 328–339).</w:t>
      </w:r>
    </w:p>
    <w:p>
      <w:pPr>
        <w:pStyle w:val="BodyText"/>
      </w:pPr>
      <w:r>
        <w:t xml:space="preserve">Huang, X., &amp; Belongie, S. (2017). Arbitrary style transfer in real-time with adaptive instance normalization. In</w:t>
      </w:r>
      <w:r>
        <w:t xml:space="preserve"> </w:t>
      </w:r>
      <w:r>
        <w:rPr>
          <w:iCs/>
          <w:i/>
        </w:rPr>
        <w:t xml:space="preserve">ICCV 2017</w:t>
      </w:r>
      <w:r>
        <w:t xml:space="preserve"> </w:t>
      </w:r>
      <w:r>
        <w:t xml:space="preserve">(pp. 1501–1510).</w:t>
      </w:r>
    </w:p>
    <w:p>
      <w:pPr>
        <w:pStyle w:val="BodyText"/>
      </w:pPr>
      <w:r>
        <w:t xml:space="preserve">Kärkkäinen, K., &amp; Joo, J. (2021). FairFace: Face attribute dataset for balanced race, gender, and age. In</w:t>
      </w:r>
      <w:r>
        <w:t xml:space="preserve"> </w:t>
      </w:r>
      <w:r>
        <w:rPr>
          <w:iCs/>
          <w:i/>
        </w:rPr>
        <w:t xml:space="preserve">WACV 2021</w:t>
      </w:r>
      <w:r>
        <w:t xml:space="preserve"> </w:t>
      </w:r>
      <w:r>
        <w:t xml:space="preserve">(pp. 1548–1558).</w:t>
      </w:r>
    </w:p>
    <w:p>
      <w:pPr>
        <w:pStyle w:val="BodyText"/>
      </w:pPr>
      <w:r>
        <w:t xml:space="preserve">Kornblith, S., Shlens, J., &amp; Le, Q. V. (2019). Do better ImageNet models transfer better? In</w:t>
      </w:r>
      <w:r>
        <w:t xml:space="preserve"> </w:t>
      </w:r>
      <w:r>
        <w:rPr>
          <w:iCs/>
          <w:i/>
        </w:rPr>
        <w:t xml:space="preserve">CVPR 2019</w:t>
      </w:r>
      <w:r>
        <w:t xml:space="preserve"> </w:t>
      </w:r>
      <w:r>
        <w:t xml:space="preserve">(pp. 2661–2671).</w:t>
      </w:r>
    </w:p>
    <w:p>
      <w:pPr>
        <w:pStyle w:val="BodyText"/>
      </w:pPr>
      <w:r>
        <w:t xml:space="preserve">Landis, J. R., &amp; Koch, G. G. (1977). The measurement of observer agreement for categorical data.</w:t>
      </w:r>
      <w:r>
        <w:t xml:space="preserve"> </w:t>
      </w:r>
      <w:r>
        <w:rPr>
          <w:iCs/>
          <w:i/>
        </w:rPr>
        <w:t xml:space="preserve">Biometrics</w:t>
      </w:r>
      <w:r>
        <w:t xml:space="preserve">, 33(1), 159–174.</w:t>
      </w:r>
    </w:p>
    <w:p>
      <w:pPr>
        <w:pStyle w:val="BodyText"/>
      </w:pPr>
      <w:r>
        <w:t xml:space="preserve">Li, S., &amp; Deng, W. (2020). Deep facial expression recognition: A survey.</w:t>
      </w:r>
      <w:r>
        <w:t xml:space="preserve"> </w:t>
      </w:r>
      <w:r>
        <w:rPr>
          <w:iCs/>
          <w:i/>
        </w:rPr>
        <w:t xml:space="preserve">IEEE TAFFC</w:t>
      </w:r>
      <w:r>
        <w:t xml:space="preserve">, 13(3), 1195–1215.</w:t>
      </w:r>
    </w:p>
    <w:p>
      <w:pPr>
        <w:pStyle w:val="BodyText"/>
      </w:pPr>
      <w:r>
        <w:t xml:space="preserve">Mollahosseini, A., Hasani, B., &amp; Mahoor, M. H. (2017). AffectNet: A database for facial expression, valence, and arousal computing in the wild.</w:t>
      </w:r>
      <w:r>
        <w:t xml:space="preserve"> </w:t>
      </w:r>
      <w:r>
        <w:rPr>
          <w:iCs/>
          <w:i/>
        </w:rPr>
        <w:t xml:space="preserve">IEEE TAFFC</w:t>
      </w:r>
      <w:r>
        <w:t xml:space="preserve">, 10(1), 18–31.</w:t>
      </w:r>
    </w:p>
    <w:p>
      <w:pPr>
        <w:pStyle w:val="BodyText"/>
      </w:pPr>
      <w:r>
        <w:t xml:space="preserve">Ng, A. (2021). Data-centric AI competition.</w:t>
      </w:r>
      <w:r>
        <w:t xml:space="preserve"> </w:t>
      </w:r>
      <w:r>
        <w:rPr>
          <w:iCs/>
          <w:i/>
        </w:rPr>
        <w:t xml:space="preserve">NeurIPS 2021 Datasets and Benchmarks Track</w:t>
      </w:r>
      <w:r>
        <w:t xml:space="preserve">.</w:t>
      </w:r>
    </w:p>
    <w:p>
      <w:pPr>
        <w:pStyle w:val="BodyText"/>
      </w:pPr>
      <w:r>
        <w:t xml:space="preserve">R Core Team. (2024). R: A language and environment for statistical computing. https://www.R-project.org/</w:t>
      </w:r>
    </w:p>
    <w:p>
      <w:pPr>
        <w:pStyle w:val="BodyText"/>
      </w:pPr>
      <w:r>
        <w:t xml:space="preserve">Raghu, M., Zhang, C., Kleinberg, J., &amp; Bengio, S. (2019). Transfusion: Understanding transfer learning for medical imaging. In</w:t>
      </w:r>
      <w:r>
        <w:t xml:space="preserve"> </w:t>
      </w:r>
      <w:r>
        <w:rPr>
          <w:iCs/>
          <w:i/>
        </w:rPr>
        <w:t xml:space="preserve">NeurIPS 2019</w:t>
      </w:r>
      <w:r>
        <w:t xml:space="preserve"> </w:t>
      </w:r>
      <w:r>
        <w:t xml:space="preserve">(pp. 3342–3352).</w:t>
      </w:r>
    </w:p>
    <w:p>
      <w:pPr>
        <w:pStyle w:val="BodyText"/>
      </w:pPr>
      <w:r>
        <w:t xml:space="preserve">Savchenko, A. V. (2021). Facial expression and attributes recognition based on multi-task learning of lightweight neural networks. In</w:t>
      </w:r>
      <w:r>
        <w:t xml:space="preserve"> </w:t>
      </w:r>
      <w:r>
        <w:rPr>
          <w:iCs/>
          <w:i/>
        </w:rPr>
        <w:t xml:space="preserve">IEEE SISY 2021</w:t>
      </w:r>
      <w:r>
        <w:t xml:space="preserve"> </w:t>
      </w:r>
      <w:r>
        <w:t xml:space="preserve">(pp. 119–124).</w:t>
      </w:r>
    </w:p>
    <w:p>
      <w:pPr>
        <w:pStyle w:val="BodyText"/>
      </w:pPr>
      <w:r>
        <w:t xml:space="preserve">Savchenko, A. V. (2022). HSEmotion: High-speed emotion recognition library.</w:t>
      </w:r>
      <w:r>
        <w:t xml:space="preserve"> </w:t>
      </w:r>
      <w:r>
        <w:rPr>
          <w:iCs/>
          <w:i/>
        </w:rPr>
        <w:t xml:space="preserve">arXiv:2202.10585</w:t>
      </w:r>
      <w:r>
        <w:t xml:space="preserve">.</w:t>
      </w:r>
    </w:p>
    <w:p>
      <w:pPr>
        <w:pStyle w:val="BodyText"/>
      </w:pPr>
      <w:r>
        <w:t xml:space="preserve">Shrivastava, A., et al. (2017). Learning from simulated and unsupervised images through adversarial training. In</w:t>
      </w:r>
      <w:r>
        <w:t xml:space="preserve"> </w:t>
      </w:r>
      <w:r>
        <w:rPr>
          <w:iCs/>
          <w:i/>
        </w:rPr>
        <w:t xml:space="preserve">CVPR 2017</w:t>
      </w:r>
      <w:r>
        <w:t xml:space="preserve"> </w:t>
      </w:r>
      <w:r>
        <w:t xml:space="preserve">(pp. 2107–2116).</w:t>
      </w:r>
    </w:p>
    <w:p>
      <w:pPr>
        <w:pStyle w:val="BodyText"/>
      </w:pPr>
      <w:r>
        <w:t xml:space="preserve">Spezialetti, M., Placidi, G., &amp; Rossi, S. (2020). Emotion recognition in human-robot interaction.</w:t>
      </w:r>
      <w:r>
        <w:t xml:space="preserve"> </w:t>
      </w:r>
      <w:r>
        <w:rPr>
          <w:iCs/>
          <w:i/>
        </w:rPr>
        <w:t xml:space="preserve">Frontiers in Robotics and AI</w:t>
      </w:r>
      <w:r>
        <w:t xml:space="preserve">, 7, 532279.</w:t>
      </w:r>
    </w:p>
    <w:p>
      <w:pPr>
        <w:pStyle w:val="BodyText"/>
      </w:pPr>
      <w:r>
        <w:t xml:space="preserve">Tan, C., et al. (2018). A survey on deep transfer learning. In</w:t>
      </w:r>
      <w:r>
        <w:t xml:space="preserve"> </w:t>
      </w:r>
      <w:r>
        <w:rPr>
          <w:iCs/>
          <w:i/>
        </w:rPr>
        <w:t xml:space="preserve">ICANN 2018</w:t>
      </w:r>
      <w:r>
        <w:t xml:space="preserve"> </w:t>
      </w:r>
      <w:r>
        <w:t xml:space="preserve">(pp. 270–279).</w:t>
      </w:r>
    </w:p>
    <w:p>
      <w:pPr>
        <w:pStyle w:val="BodyText"/>
      </w:pPr>
      <w:r>
        <w:t xml:space="preserve">Tan, M., &amp; Le, Q. V. (2019). EfficientNet: Rethinking model scaling for convolutional neural networks. In</w:t>
      </w:r>
      <w:r>
        <w:t xml:space="preserve"> </w:t>
      </w:r>
      <w:r>
        <w:rPr>
          <w:iCs/>
          <w:i/>
        </w:rPr>
        <w:t xml:space="preserve">ICML 2019</w:t>
      </w:r>
      <w:r>
        <w:t xml:space="preserve"> </w:t>
      </w:r>
      <w:r>
        <w:t xml:space="preserve">(pp. 6105–6114).</w:t>
      </w:r>
    </w:p>
    <w:p>
      <w:pPr>
        <w:pStyle w:val="BodyText"/>
      </w:pPr>
      <w:r>
        <w:t xml:space="preserve">Tobin, J., et al. (2017). Domain randomization for transferring deep neural networks from simulation to the real world. In</w:t>
      </w:r>
      <w:r>
        <w:t xml:space="preserve"> </w:t>
      </w:r>
      <w:r>
        <w:rPr>
          <w:iCs/>
          <w:i/>
        </w:rPr>
        <w:t xml:space="preserve">IROS 2017</w:t>
      </w:r>
      <w:r>
        <w:t xml:space="preserve"> </w:t>
      </w:r>
      <w:r>
        <w:t xml:space="preserve">(pp. 23–30).</w:t>
      </w:r>
    </w:p>
    <w:p>
      <w:pPr>
        <w:pStyle w:val="BodyText"/>
      </w:pPr>
      <w:r>
        <w:t xml:space="preserve">Tremblay, J., et al. (2018). Training deep networks with synthetic data. In</w:t>
      </w:r>
      <w:r>
        <w:t xml:space="preserve"> </w:t>
      </w:r>
      <w:r>
        <w:rPr>
          <w:iCs/>
          <w:i/>
        </w:rPr>
        <w:t xml:space="preserve">CVPR Workshops 2018</w:t>
      </w:r>
      <w:r>
        <w:t xml:space="preserve"> </w:t>
      </w:r>
      <w:r>
        <w:t xml:space="preserve">(pp. 969–977).</w:t>
      </w:r>
    </w:p>
    <w:p>
      <w:pPr>
        <w:pStyle w:val="BodyText"/>
      </w:pPr>
      <w:r>
        <w:t xml:space="preserve">Wilson, E. B. (1927). Probable inference, the law of succession, and statistical inference.</w:t>
      </w:r>
      <w:r>
        <w:t xml:space="preserve"> </w:t>
      </w:r>
      <w:r>
        <w:rPr>
          <w:iCs/>
          <w:i/>
        </w:rPr>
        <w:t xml:space="preserve">JASA</w:t>
      </w:r>
      <w:r>
        <w:t xml:space="preserve">, 22(158), 209–212.</w:t>
      </w:r>
    </w:p>
    <w:p>
      <w:pPr>
        <w:pStyle w:val="BodyText"/>
      </w:pPr>
      <w:r>
        <w:t xml:space="preserve">Yosinski, J., Clune, J., Bengio, Y., &amp; Lipson, H. (2014). How transferable are features in deep neural networks? In</w:t>
      </w:r>
      <w:r>
        <w:t xml:space="preserve"> </w:t>
      </w:r>
      <w:r>
        <w:rPr>
          <w:iCs/>
          <w:i/>
        </w:rPr>
        <w:t xml:space="preserve">NeurIPS 2014</w:t>
      </w:r>
      <w:r>
        <w:t xml:space="preserve"> </w:t>
      </w:r>
      <w:r>
        <w:t xml:space="preserve">(pp. 3320–3328).</w:t>
      </w:r>
    </w:p>
    <w:p>
      <w:pPr>
        <w:pStyle w:val="BodyText"/>
      </w:pPr>
      <w:r>
        <w:t xml:space="preserve">Zaharia, M., et al. (2018). Accelerating the machine learning lifecycle with MLflow.</w:t>
      </w:r>
      <w:r>
        <w:t xml:space="preserve"> </w:t>
      </w:r>
      <w:r>
        <w:rPr>
          <w:iCs/>
          <w:i/>
        </w:rPr>
        <w:t xml:space="preserve">IEEE Data Engineering Bulletin</w:t>
      </w:r>
      <w:r>
        <w:t xml:space="preserve">, 41(4), 39–45.</w:t>
      </w:r>
    </w:p>
    <w:p>
      <w:pPr>
        <w:pStyle w:val="BodyText"/>
      </w:pPr>
      <w:r>
        <w:t xml:space="preserve">Zhang, H., Cisse, M., Dauphin, Y. N., &amp; Lopez-Paz, D. (2018). mixup: Beyond empirical risk minimization. In</w:t>
      </w:r>
      <w:r>
        <w:t xml:space="preserve"> </w:t>
      </w:r>
      <w:r>
        <w:rPr>
          <w:iCs/>
          <w:i/>
        </w:rPr>
        <w:t xml:space="preserve">ICLR 2018</w:t>
      </w:r>
      <w:r>
        <w:t xml:space="preserve">.</w:t>
      </w:r>
    </w:p>
    <w:p>
      <w:pPr>
        <w:pStyle w:val="BodyText"/>
      </w:pPr>
      <w:r>
        <w:t xml:space="preserve">Zhuang, F., et al. (2020). A comprehensive survey on transfer learning.</w:t>
      </w:r>
      <w:r>
        <w:t xml:space="preserve"> </w:t>
      </w:r>
      <w:r>
        <w:rPr>
          <w:iCs/>
          <w:i/>
        </w:rPr>
        <w:t xml:space="preserve">Proceedings of the IEEE</w:t>
      </w:r>
      <w:r>
        <w:t xml:space="preserve">, 109(1), 43–76.</w:t>
      </w:r>
    </w:p>
    <w:p>
      <w:r>
        <w:pict>
          <v:rect style="width:0;height:1.5pt" o:hralign="center" o:hrstd="t" o:hr="t"/>
        </w:pict>
      </w:r>
    </w:p>
    <w:p>
      <w:pPr>
        <w:pStyle w:val="FirstParagraph"/>
      </w:pPr>
      <w:r>
        <w:rPr>
          <w:iCs/>
          <w:i/>
        </w:rPr>
        <w:t xml:space="preserve">Concise version of the full research paper.</w:t>
      </w:r>
      <w:r>
        <w:t xml:space="preserve"> </w:t>
      </w:r>
      <w:r>
        <w:rPr>
          <w:iCs/>
          <w:i/>
        </w:rPr>
        <w:t xml:space="preserve">Approximately 9,200 words (excluding tables and references).</w:t>
      </w:r>
      <w:r>
        <w:t xml:space="preserve"> </w:t>
      </w:r>
      <w:r>
        <w:rPr>
          <w:iCs/>
          <w:i/>
        </w:rPr>
        <w:t xml:space="preserve">Document location:</w:t>
      </w:r>
      <w:r>
        <w:rPr>
          <w:iCs/>
          <w:i/>
        </w:rPr>
        <w:t xml:space="preserve"> </w:t>
      </w:r>
      <w:r>
        <w:rPr>
          <w:rStyle w:val="VerbatimChar"/>
          <w:iCs/>
          <w:i/>
        </w:rPr>
        <w:t xml:space="preserve">docs/research_papers/Reachy_Emotion_Classification_Research_Paper_Concise.md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2026-04-17T14:56:25Z</dcterms:created>
  <dcterms:modified xsi:type="dcterms:W3CDTF">2026-04-17T14:56:25Z</dcterms:modified>
</cp:coreProperties>
</file>

<file path=docProps/custom.xml><?xml version="1.0" encoding="utf-8"?>
<Properties xmlns="http://schemas.openxmlformats.org/officeDocument/2006/custom-properties" xmlns:vt="http://schemas.openxmlformats.org/officeDocument/2006/docPropsVTypes"/>
</file>