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2" w:lineRule="auto"/>
        <w:jc w:val="center"/>
      </w:pPr>
      <w:r>
        <w:rPr>
          <w:rFonts w:ascii="Aptos Display" w:hAnsi="Aptos Display"/>
          <w:b/>
          <w:color w:val="244A6A"/>
          <w:sz w:val="60"/>
        </w:rPr>
        <w:t>TINYDERM LAB</w:t>
      </w:r>
    </w:p>
    <w:p>
      <w:pPr>
        <w:spacing w:after="100" w:line="252" w:lineRule="auto"/>
        <w:jc w:val="center"/>
      </w:pPr>
      <w:r>
        <w:rPr>
          <w:b/>
          <w:sz w:val="40"/>
        </w:rPr>
        <w:t>Codex Project Handoff</w:t>
      </w:r>
    </w:p>
    <w:p>
      <w:pPr>
        <w:spacing w:after="100" w:line="252" w:lineRule="auto"/>
        <w:jc w:val="center"/>
      </w:pPr>
      <w:r>
        <w:rPr>
          <w:i/>
          <w:sz w:val="25"/>
        </w:rPr>
        <w:t>Autonomous Local Medical-Image Compression Research Prototype</w:t>
      </w:r>
    </w:p>
    <w:p>
      <w:pPr>
        <w:spacing w:before="320" w:after="100" w:line="252" w:lineRule="auto"/>
        <w:jc w:val="center"/>
      </w:pPr>
      <w:r>
        <w:rPr>
          <w:b/>
          <w:sz w:val="22"/>
        </w:rPr>
        <w:t>Research objective</w:t>
      </w:r>
    </w:p>
    <w:p>
      <w:pPr>
        <w:spacing w:after="100" w:line="252" w:lineRule="auto"/>
        <w:ind w:left="792" w:right="792"/>
        <w:jc w:val="center"/>
      </w:pPr>
      <w:r>
        <w:rPr>
          <w:sz w:val="24"/>
        </w:rPr>
        <w:t>Measure how much useful medical-image classification capability can be retained in a very small, fast, CPU-friendly model that runs entirely on an ordinary computer.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44A6A"/>
              </w:rPr>
              <w:t>RESEARCH-ONLY PROTOTYPE</w:t>
            </w:r>
          </w:p>
          <w:p>
            <w:pPr>
              <w:jc w:val="center"/>
            </w:pPr>
            <w:r>
              <w:t>This system must not be presented or used as a clinical diagnostic product or as a substitute for qualified medical judgment.</w:t>
            </w:r>
          </w:p>
        </w:tc>
      </w:tr>
    </w:tbl>
    <w:p>
      <w:pPr>
        <w:spacing w:before="360" w:after="100" w:line="252" w:lineRule="auto"/>
        <w:jc w:val="center"/>
      </w:pPr>
      <w:r>
        <w:rPr>
          <w:i/>
          <w:sz w:val="21"/>
        </w:rPr>
        <w:t>Prepared for autonomous implementation by Codex</w:t>
      </w:r>
    </w:p>
    <w:p>
      <w:pPr>
        <w:spacing w:after="100" w:line="252" w:lineRule="auto"/>
      </w:pPr>
      <w:r>
        <w:br w:type="page"/>
      </w:r>
    </w:p>
    <w:p>
      <w:pPr>
        <w:pStyle w:val="Heading1"/>
      </w:pPr>
      <w:r>
        <w:t>1. Mission and Definition of Done</w:t>
      </w:r>
    </w:p>
    <w:p>
      <w:pPr>
        <w:spacing w:after="100" w:line="252" w:lineRule="auto"/>
      </w:pPr>
      <w:r>
        <w:t>Build an end-to-end local research environment that downloads an expert-labelled public dermatology dataset, trains an intentionally small classifier, monitors every stage through a local dashboard, evaluates the final model on a sealed holdout set, exports CPU-friendly artifacts, and records exactly where the model succeeds or fails.</w:t>
      </w:r>
    </w:p>
    <w:p>
      <w:pPr>
        <w:pStyle w:val="ListNumber"/>
      </w:pPr>
      <w:r>
        <w:t>Create the complete repository and local Python environment.</w:t>
      </w:r>
    </w:p>
    <w:p>
      <w:pPr>
        <w:pStyle w:val="ListNumber"/>
      </w:pPr>
      <w:r>
        <w:t>Acquire and verify the official dataset.</w:t>
      </w:r>
    </w:p>
    <w:p>
      <w:pPr>
        <w:pStyle w:val="ListNumber"/>
      </w:pPr>
      <w:r>
        <w:t>Create a leakage-safe 90% development / 10% final holdout split.</w:t>
      </w:r>
    </w:p>
    <w:p>
      <w:pPr>
        <w:pStyle w:val="ListNumber"/>
      </w:pPr>
      <w:r>
        <w:t>Start the monitoring portal before data preparation and training.</w:t>
      </w:r>
    </w:p>
    <w:p>
      <w:pPr>
        <w:pStyle w:val="ListNumber"/>
      </w:pPr>
      <w:r>
        <w:t>Train and validate a tiny student model using only the development pool.</w:t>
      </w:r>
    </w:p>
    <w:p>
      <w:pPr>
        <w:pStyle w:val="ListNumber"/>
      </w:pPr>
      <w:r>
        <w:t>Retrain the selected configuration on the complete 90% development pool.</w:t>
      </w:r>
    </w:p>
    <w:p>
      <w:pPr>
        <w:pStyle w:val="ListNumber"/>
      </w:pPr>
      <w:r>
        <w:t>Export and benchmark the final local CPU model.</w:t>
      </w:r>
    </w:p>
    <w:p>
      <w:pPr>
        <w:pStyle w:val="ListNumber"/>
      </w:pPr>
      <w:r>
        <w:t>Evaluate the sealed 10% exactly once and preserve every prediction.</w:t>
      </w:r>
    </w:p>
    <w:p>
      <w:pPr>
        <w:pStyle w:val="ListNumber"/>
      </w:pPr>
      <w:r>
        <w:t>Generate deterministic error analysis and improvement recommendations.</w:t>
      </w:r>
    </w:p>
    <w:p>
      <w:pPr>
        <w:pStyle w:val="ListNumber"/>
      </w:pPr>
      <w:r>
        <w:t>Leave the finished dashboard running with results and artifacts accessible.</w:t>
      </w:r>
    </w:p>
    <w:p>
      <w:pPr>
        <w:pStyle w:val="IntenseQuote"/>
      </w:pPr>
      <w:r>
        <w:rPr>
          <w:i/>
        </w:rPr>
        <w:t>Codex must not stop after generating scaffolding. The project is complete only when the program itself can launch and run the experiment end to end.</w:t>
      </w:r>
    </w:p>
    <w:p>
      <w:pPr>
        <w:pStyle w:val="Heading1"/>
      </w:pPr>
      <w:r>
        <w:t>2. Dataset and Classification Task</w:t>
      </w:r>
    </w:p>
    <w:p>
      <w:pPr>
        <w:pStyle w:val="Heading2"/>
      </w:pPr>
      <w:r>
        <w:t>2.1 Dataset</w:t>
      </w:r>
    </w:p>
    <w:p>
      <w:pPr>
        <w:spacing w:after="100" w:line="252" w:lineRule="auto"/>
      </w:pPr>
      <w:r>
        <w:t>Use the official ISIC 2018 Challenge Task 3 training data / HAM10000 collection. Prefer official ISIC Archive or challenge sources and preserve provenance.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t>Item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Dataset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ISIC 2018 Task 3 / HAM10000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Expected images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10,015 dermoscopic images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Distinct lesions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Approximately 7,470 lesion IDs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Primary task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Seven-class lesion classification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License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CC-BY-NC research dataset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Raw storage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data/raw/isic2018/</w:t>
            </w:r>
          </w:p>
        </w:tc>
      </w:tr>
    </w:tbl>
    <w:p>
      <w:pPr>
        <w:pStyle w:val="Heading2"/>
      </w:pPr>
      <w:r>
        <w:t>2.2 Official class labels</w:t>
      </w:r>
    </w:p>
    <w:p>
      <w:pPr>
        <w:pStyle w:val="CodeBlock"/>
        <w:shd w:fill="F3F5F7"/>
        <w:pBdr>
          <w:left w:val="single" w:sz="8" w:space="4" w:color="B7C9D6"/>
        </w:pBdr>
      </w:pPr>
      <w:r>
        <w:t>MEL</w:t>
        <w:br/>
        <w:t>NV</w:t>
        <w:br/>
        <w:t>BCC</w:t>
        <w:br/>
        <w:t>AKIEC</w:t>
        <w:br/>
        <w:t>BKL</w:t>
        <w:br/>
        <w:t>DF</w:t>
        <w:br/>
        <w:t>VASC</w:t>
      </w:r>
    </w:p>
    <w:p>
      <w:pPr>
        <w:spacing w:after="100" w:line="252" w:lineRule="auto"/>
      </w:pPr>
      <w:r>
        <w:t>Do not replace the primary seven-class task with a homemade benign/malignant mapping. A melanoma-versus-rest view may be added later as a clearly labelled secondary analysis.</w:t>
      </w:r>
    </w:p>
    <w:p>
      <w:pPr>
        <w:pStyle w:val="Heading2"/>
      </w:pPr>
      <w:r>
        <w:t>2.3 Acquisition order</w:t>
      </w:r>
    </w:p>
    <w:p>
      <w:pPr>
        <w:pStyle w:val="ListNumber"/>
      </w:pPr>
      <w:r>
        <w:t>Official ISIC CLI filtered to collection 66.</w:t>
      </w:r>
    </w:p>
    <w:p>
      <w:pPr>
        <w:pStyle w:val="ListNumber"/>
      </w:pPr>
      <w:r>
        <w:t>Official ISIC Archive API for collection 66.</w:t>
      </w:r>
    </w:p>
    <w:p>
      <w:pPr>
        <w:pStyle w:val="ListNumber"/>
      </w:pPr>
      <w:r>
        <w:t>Official ISIC 2018 Task 3 archive.</w:t>
      </w:r>
    </w:p>
    <w:p>
      <w:pPr>
        <w:spacing w:after="100" w:line="252" w:lineRule="auto"/>
      </w:pPr>
      <w:r>
        <w:t>Do not silently switch to a third-party mirror. If an official source is unavailable, log the fallback prominently in both the portal and provenance file.</w:t>
      </w:r>
    </w:p>
    <w:p>
      <w:pPr>
        <w:pStyle w:val="CodeBlock"/>
        <w:shd w:fill="F3F5F7"/>
        <w:pBdr>
          <w:left w:val="single" w:sz="8" w:space="4" w:color="B7C9D6"/>
        </w:pBdr>
      </w:pPr>
      <w:r>
        <w:t>data/provenance.json</w:t>
      </w:r>
    </w:p>
    <w:p>
      <w:pPr>
        <w:pStyle w:val="ListBullet"/>
      </w:pPr>
      <w:r>
        <w:t>source</w:t>
      </w:r>
    </w:p>
    <w:p>
      <w:pPr>
        <w:pStyle w:val="ListBullet"/>
      </w:pPr>
      <w:r>
        <w:t>collection ID</w:t>
      </w:r>
    </w:p>
    <w:p>
      <w:pPr>
        <w:pStyle w:val="ListBullet"/>
      </w:pPr>
      <w:r>
        <w:t>download timestamp</w:t>
      </w:r>
    </w:p>
    <w:p>
      <w:pPr>
        <w:pStyle w:val="ListBullet"/>
      </w:pPr>
      <w:r>
        <w:t>file count</w:t>
      </w:r>
    </w:p>
    <w:p>
      <w:pPr>
        <w:pStyle w:val="ListBullet"/>
      </w:pPr>
      <w:r>
        <w:t>license</w:t>
      </w:r>
    </w:p>
    <w:p>
      <w:pPr>
        <w:pStyle w:val="ListBullet"/>
      </w:pPr>
      <w:r>
        <w:t>metadata files used</w:t>
      </w:r>
    </w:p>
    <w:p>
      <w:pPr>
        <w:pStyle w:val="ListBullet"/>
      </w:pPr>
      <w:r>
        <w:t>hashes where practical</w:t>
      </w:r>
    </w:p>
    <w:p>
      <w:pPr>
        <w:pStyle w:val="Heading1"/>
      </w:pPr>
      <w:r>
        <w:t>3. Experimental Split and Holdout Integrity</w:t>
      </w:r>
    </w:p>
    <w:p>
      <w:pPr>
        <w:spacing w:after="100" w:line="252" w:lineRule="auto"/>
      </w:pPr>
      <w:r>
        <w:t>Multiple images can represent the same lesion. The split must therefore be performed by lesion_id, never by image alone.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Critical rule: no lesion_id may appear in more than one split.</w:t>
            </w:r>
          </w:p>
        </w:tc>
      </w:tr>
    </w:tbl>
    <w:p>
      <w:pPr>
        <w:pStyle w:val="CodeBlock"/>
        <w:shd w:fill="F3F5F7"/>
        <w:pBdr>
          <w:left w:val="single" w:sz="8" w:space="4" w:color="B7C9D6"/>
        </w:pBdr>
      </w:pPr>
      <w:r>
        <w:t>data/splits/split_manifest.csv</w:t>
        <w:br/>
        <w:br/>
        <w:t>Columns:</w:t>
        <w:br/>
        <w:t>image_id</w:t>
        <w:br/>
        <w:t>lesion_id</w:t>
        <w:br/>
        <w:t>class_label</w:t>
        <w:br/>
        <w:t>split</w:t>
        <w:br/>
        <w:t>source_path</w:t>
      </w:r>
    </w:p>
    <w:p>
      <w:pPr>
        <w:pStyle w:val="Heading2"/>
      </w:pPr>
      <w:r>
        <w:t>3.1 Permanent 90/10 split</w:t>
      </w:r>
    </w:p>
    <w:p>
      <w:pPr>
        <w:pStyle w:val="ListBullet"/>
      </w:pPr>
      <w:r>
        <w:t>90% DEVELOPMENT pool</w:t>
      </w:r>
    </w:p>
    <w:p>
      <w:pPr>
        <w:pStyle w:val="ListBullet"/>
      </w:pPr>
      <w:r>
        <w:t>10% SEALED FINAL HOLDOUT</w:t>
      </w:r>
    </w:p>
    <w:p>
      <w:pPr>
        <w:pStyle w:val="ListBullet"/>
      </w:pPr>
      <w:r>
        <w:t>Default seed: 42</w:t>
      </w:r>
    </w:p>
    <w:p>
      <w:pPr>
        <w:pStyle w:val="ListBullet"/>
      </w:pPr>
      <w:r>
        <w:t>Use group-aware stratification and preserve class proportions as closely as possible.</w:t>
      </w:r>
    </w:p>
    <w:p>
      <w:pPr>
        <w:spacing w:after="100" w:line="252" w:lineRule="auto"/>
      </w:pPr>
      <w:r>
        <w:t>If rare classes prevent a satisfactory split, search deterministic seeds and select the split minimizing class-distribution deviation while preserving strict lesion grouping. Log the selection method.</w:t>
      </w:r>
    </w:p>
    <w:p>
      <w:pPr>
        <w:pStyle w:val="CodeBlock"/>
        <w:shd w:fill="F3F5F7"/>
        <w:pBdr>
          <w:left w:val="single" w:sz="8" w:space="4" w:color="B7C9D6"/>
        </w:pBdr>
      </w:pPr>
      <w:r>
        <w:t>split_manifest.sha256</w:t>
        <w:br/>
        <w:t>holdout_lock.json</w:t>
      </w:r>
    </w:p>
    <w:p>
      <w:pPr>
        <w:pStyle w:val="CodeBlock"/>
        <w:shd w:fill="F3F5F7"/>
        <w:pBdr>
          <w:left w:val="single" w:sz="8" w:space="4" w:color="B7C9D6"/>
        </w:pBdr>
      </w:pPr>
      <w:r>
        <w:t>{</w:t>
        <w:br/>
        <w:t xml:space="preserve">  "split_hash": "...",</w:t>
        <w:br/>
        <w:t xml:space="preserve">  "holdout_image_count": 0,</w:t>
        <w:br/>
        <w:t xml:space="preserve">  "holdout_lesion_count": 0,</w:t>
        <w:br/>
        <w:t xml:space="preserve">  "class_counts": {},</w:t>
        <w:br/>
        <w:t xml:space="preserve">  "created_at": "...",</w:t>
        <w:br/>
        <w:t xml:space="preserve">  "consumed": false</w:t>
        <w:br/>
        <w:t>}</w:t>
      </w:r>
    </w:p>
    <w:p>
      <w:pPr>
        <w:pStyle w:val="Heading2"/>
      </w:pPr>
      <w:r>
        <w:t>3.2 Validation inside the 90%</w:t>
      </w:r>
    </w:p>
    <w:p>
      <w:pPr>
        <w:spacing w:after="100" w:line="252" w:lineRule="auto"/>
      </w:pPr>
      <w:r>
        <w:t>For model development, temporarily divide the 90% development pool into approximately 90% temporary training and 10% validation, also grouped by lesion ID. This yields roughly 81% train / 9% validation / 10% sealed holdout across the full dataset.</w:t>
      </w:r>
    </w:p>
    <w:p>
      <w:pPr>
        <w:pStyle w:val="ListBullet"/>
      </w:pPr>
      <w:r>
        <w:t>Use validation for early stopping, augmentation choices, class weighting, calibration, model selection, and quantization selection.</w:t>
      </w:r>
    </w:p>
    <w:p>
      <w:pPr>
        <w:pStyle w:val="ListBullet"/>
      </w:pPr>
      <w:r>
        <w:t>After selecting the recipe, initialize a fresh model and retrain on the entire 90% development pool.</w:t>
      </w:r>
    </w:p>
    <w:p>
      <w:pPr>
        <w:pStyle w:val="ListBullet"/>
      </w:pPr>
      <w:r>
        <w:t>Do not access the 10% holdout during retraining.</w:t>
      </w:r>
    </w:p>
    <w:p>
      <w:pPr>
        <w:pStyle w:val="ListBullet"/>
      </w:pPr>
      <w:r>
        <w:t>Run the final holdout exactly once after the deployable artifact has been selected.</w:t>
      </w:r>
    </w:p>
    <w:p>
      <w:pPr>
        <w:pStyle w:val="Heading1"/>
      </w:pPr>
      <w:r>
        <w:t>4. Tiny Student Model</w:t>
      </w:r>
    </w:p>
    <w:p>
      <w:pPr>
        <w:spacing w:after="100" w:line="252" w:lineRule="auto"/>
      </w:pPr>
      <w:r>
        <w:t>Use MobileNetV3-Small as the primary deployable baseline because the purpose is to test the accuracy/resource tradeoff of a genuinely small model, not to chase the largest possible benchmark score.</w:t>
      </w:r>
    </w:p>
    <w:p>
      <w:pPr>
        <w:pStyle w:val="CodeBlock"/>
        <w:shd w:fill="F3F5F7"/>
        <w:pBdr>
          <w:left w:val="single" w:sz="8" w:space="4" w:color="B7C9D6"/>
        </w:pBdr>
      </w:pPr>
      <w:r>
        <w:t>timm: mobilenetv3_small_100</w:t>
        <w:br/>
        <w:t>Input: 224 x 224 RGB</w:t>
        <w:br/>
        <w:t>Initialization: ImageNet pretrained</w:t>
        <w:br/>
        <w:t>Output classes: 7</w:t>
      </w:r>
    </w:p>
    <w:p>
      <w:pPr>
        <w:pStyle w:val="Heading2"/>
      </w:pPr>
      <w:r>
        <w:t>4.1 Required measurements</w:t>
      </w:r>
    </w:p>
    <w:p>
      <w:pPr>
        <w:pStyle w:val="ListBullet"/>
      </w:pPr>
      <w:r>
        <w:t>parameter count</w:t>
      </w:r>
    </w:p>
    <w:p>
      <w:pPr>
        <w:pStyle w:val="ListBullet"/>
      </w:pPr>
      <w:r>
        <w:t>MACs/FLOPs where available</w:t>
      </w:r>
    </w:p>
    <w:p>
      <w:pPr>
        <w:pStyle w:val="ListBullet"/>
      </w:pPr>
      <w:r>
        <w:t>FP32 model size</w:t>
      </w:r>
    </w:p>
    <w:p>
      <w:pPr>
        <w:pStyle w:val="ListBullet"/>
      </w:pPr>
      <w:r>
        <w:t>INT8 model size</w:t>
      </w:r>
    </w:p>
    <w:p>
      <w:pPr>
        <w:pStyle w:val="ListBullet"/>
      </w:pPr>
      <w:r>
        <w:t>peak training RAM</w:t>
      </w:r>
    </w:p>
    <w:p>
      <w:pPr>
        <w:pStyle w:val="ListBullet"/>
      </w:pPr>
      <w:r>
        <w:t>peak inference RAM</w:t>
      </w:r>
    </w:p>
    <w:p>
      <w:pPr>
        <w:pStyle w:val="ListBullet"/>
      </w:pPr>
      <w:r>
        <w:t>CPU latency</w:t>
      </w:r>
    </w:p>
    <w:p>
      <w:pPr>
        <w:pStyle w:val="ListBullet"/>
      </w:pPr>
      <w:r>
        <w:t>throughput</w:t>
      </w:r>
    </w:p>
    <w:p>
      <w:pPr>
        <w:pStyle w:val="ListBullet"/>
      </w:pPr>
      <w:r>
        <w:t>validation and holdout metrics</w:t>
      </w:r>
    </w:p>
    <w:p>
      <w:pPr>
        <w:pStyle w:val="Heading1"/>
      </w:pPr>
      <w:r>
        <w:t>5. Training Configuration</w:t>
      </w:r>
    </w:p>
    <w:p>
      <w:pPr>
        <w:pStyle w:val="CodeBlock"/>
        <w:shd w:fill="F3F5F7"/>
        <w:pBdr>
          <w:left w:val="single" w:sz="8" w:space="4" w:color="B7C9D6"/>
        </w:pBdr>
      </w:pPr>
      <w:r>
        <w:t>seed: 42</w:t>
        <w:br/>
        <w:t>model:</w:t>
        <w:br/>
        <w:t xml:space="preserve">  name: mobilenetv3_small_100</w:t>
        <w:br/>
        <w:t xml:space="preserve">  pretrained: true</w:t>
        <w:br/>
        <w:t xml:space="preserve">  image_size: 224</w:t>
        <w:br/>
        <w:t xml:space="preserve">  classes: 7</w:t>
        <w:br/>
        <w:t>training:</w:t>
        <w:br/>
        <w:t xml:space="preserve">  head_epochs: 3</w:t>
        <w:br/>
        <w:t xml:space="preserve">  finetune_max_epochs: 20</w:t>
        <w:br/>
        <w:t xml:space="preserve">  early_stopping_patience: 5</w:t>
        <w:br/>
        <w:t xml:space="preserve">  optimizer: adamw</w:t>
        <w:br/>
        <w:t xml:space="preserve">  scheduler: cosine</w:t>
        <w:br/>
        <w:t xml:space="preserve">  weight_decay: 0.01</w:t>
        <w:br/>
        <w:t>evaluation:</w:t>
        <w:br/>
        <w:t xml:space="preserve">  headline_metric: macro_f1</w:t>
      </w:r>
    </w:p>
    <w:p>
      <w:pPr>
        <w:spacing w:after="100" w:line="252" w:lineRule="auto"/>
      </w:pPr>
      <w:r>
        <w:t>Use separate learning rates for the new classification head and the pretrained backbone.</w:t>
      </w:r>
    </w:p>
    <w:p>
      <w:pPr>
        <w:pStyle w:val="ListNumber"/>
      </w:pPr>
      <w:r>
        <w:t>Stage 1: freeze the backbone and train only the classifier head.</w:t>
      </w:r>
    </w:p>
    <w:p>
      <w:pPr>
        <w:pStyle w:val="ListNumber"/>
      </w:pPr>
      <w:r>
        <w:t>Stage 2: unfreeze the backbone and fine-tune the complete network.</w:t>
      </w:r>
    </w:p>
    <w:p>
      <w:pPr>
        <w:pStyle w:val="Heading2"/>
      </w:pPr>
      <w:r>
        <w:t>5.1 Hardware detection</w:t>
      </w:r>
    </w:p>
    <w:p>
      <w:pPr>
        <w:pStyle w:val="ListBullet"/>
      </w:pPr>
      <w:r>
        <w:t>NVIDIA CUDA if available</w:t>
      </w:r>
    </w:p>
    <w:p>
      <w:pPr>
        <w:pStyle w:val="ListBullet"/>
      </w:pPr>
      <w:r>
        <w:t>Apple MPS if available</w:t>
      </w:r>
    </w:p>
    <w:p>
      <w:pPr>
        <w:pStyle w:val="ListBullet"/>
      </w:pPr>
      <w:r>
        <w:t>CPU otherwise</w:t>
      </w:r>
    </w:p>
    <w:p>
      <w:pPr>
        <w:spacing w:after="100" w:line="252" w:lineRule="auto"/>
      </w:pPr>
      <w:r>
        <w:t>Do not require a GPU. Batch size must be detected dynamically. If an out-of-memory event occurs, halve batch size automatically and resume safely.</w:t>
      </w:r>
    </w:p>
    <w:p>
      <w:pPr>
        <w:pStyle w:val="Heading2"/>
      </w:pPr>
      <w:r>
        <w:t>5.2 Class imbalance</w:t>
      </w:r>
    </w:p>
    <w:p>
      <w:pPr>
        <w:spacing w:after="100" w:line="252" w:lineRule="auto"/>
      </w:pPr>
      <w:r>
        <w:t>HAM10000 is significantly imbalanced. Use class-weighted cross-entropy for the first baseline, with weights derived only from development/training data. Make imbalance handling configurable for later comparison with weighted sampling or focal loss.</w:t>
      </w:r>
    </w:p>
    <w:p>
      <w:pPr>
        <w:pStyle w:val="Heading2"/>
      </w:pPr>
      <w:r>
        <w:t>5.3 Augmentation</w:t>
      </w:r>
    </w:p>
    <w:p>
      <w:pPr>
        <w:pStyle w:val="ListBullet"/>
      </w:pPr>
      <w:r>
        <w:t>horizontal flip</w:t>
      </w:r>
    </w:p>
    <w:p>
      <w:pPr>
        <w:pStyle w:val="ListBullet"/>
      </w:pPr>
      <w:r>
        <w:t>vertical flip</w:t>
      </w:r>
    </w:p>
    <w:p>
      <w:pPr>
        <w:pStyle w:val="ListBullet"/>
      </w:pPr>
      <w:r>
        <w:t>modest rotation</w:t>
      </w:r>
    </w:p>
    <w:p>
      <w:pPr>
        <w:pStyle w:val="ListBullet"/>
      </w:pPr>
      <w:r>
        <w:t>modest crop/scale</w:t>
      </w:r>
    </w:p>
    <w:p>
      <w:pPr>
        <w:pStyle w:val="ListBullet"/>
      </w:pPr>
      <w:r>
        <w:t>restrained brightness/contrast variation</w:t>
      </w:r>
    </w:p>
    <w:p>
      <w:pPr>
        <w:spacing w:after="100" w:line="252" w:lineRule="auto"/>
      </w:pPr>
      <w:r>
        <w:t>Avoid extreme hue or color alterations by default because color may carry medically relevant visual information. Validation and holdout transforms must be deterministic.</w:t>
      </w:r>
    </w:p>
    <w:p>
      <w:pPr>
        <w:pStyle w:val="Heading1"/>
      </w:pPr>
      <w:r>
        <w:t>6. Autonomous Local Portal</w:t>
      </w:r>
    </w:p>
    <w:p>
      <w:pPr>
        <w:spacing w:after="100" w:line="252" w:lineRule="auto"/>
      </w:pPr>
      <w:r>
        <w:t>Use Streamlit unless there is a strong technical reason to use another lightweight local UI. Bind to localhost only.</w:t>
      </w:r>
    </w:p>
    <w:p>
      <w:pPr>
        <w:pStyle w:val="CodeBlock"/>
        <w:shd w:fill="F3F5F7"/>
        <w:pBdr>
          <w:left w:val="single" w:sz="8" w:space="4" w:color="B7C9D6"/>
        </w:pBdr>
      </w:pPr>
      <w:r>
        <w:t>Host: 127.0.0.1</w:t>
        <w:br/>
        <w:t>Port: 8501</w:t>
        <w:br/>
        <w:t>Launch command: python run.py</w:t>
      </w:r>
    </w:p>
    <w:p>
      <w:pPr>
        <w:pStyle w:val="Heading2"/>
      </w:pPr>
      <w:r>
        <w:t>6.1 run.py behavior</w:t>
      </w:r>
    </w:p>
    <w:p>
      <w:pPr>
        <w:pStyle w:val="ListNumber"/>
      </w:pPr>
      <w:r>
        <w:t>Initialize the experiment database.</w:t>
      </w:r>
    </w:p>
    <w:p>
      <w:pPr>
        <w:pStyle w:val="ListNumber"/>
      </w:pPr>
      <w:r>
        <w:t>Start the portal as a subprocess.</w:t>
      </w:r>
    </w:p>
    <w:p>
      <w:pPr>
        <w:pStyle w:val="ListNumber"/>
      </w:pPr>
      <w:r>
        <w:t>Wait until the portal is responsive.</w:t>
      </w:r>
    </w:p>
    <w:p>
      <w:pPr>
        <w:pStyle w:val="ListNumber"/>
      </w:pPr>
      <w:r>
        <w:t>Open the default browser automatically.</w:t>
      </w:r>
    </w:p>
    <w:p>
      <w:pPr>
        <w:pStyle w:val="ListNumber"/>
      </w:pPr>
      <w:r>
        <w:t>Start the pipeline worker.</w:t>
      </w:r>
    </w:p>
    <w:p>
      <w:pPr>
        <w:pStyle w:val="ListNumber"/>
      </w:pPr>
      <w:r>
        <w:t>Monitor the worker and record failures.</w:t>
      </w:r>
    </w:p>
    <w:p>
      <w:pPr>
        <w:pStyle w:val="ListNumber"/>
      </w:pPr>
      <w:r>
        <w:t>Leave the portal running after completion.</w:t>
      </w:r>
    </w:p>
    <w:p>
      <w:pPr>
        <w:pStyle w:val="Heading2"/>
      </w:pPr>
      <w:r>
        <w:t>6.2 Pipeline states</w:t>
      </w:r>
    </w:p>
    <w:p>
      <w:pPr>
        <w:pStyle w:val="CodeBlock"/>
        <w:shd w:fill="F3F5F7"/>
        <w:pBdr>
          <w:left w:val="single" w:sz="8" w:space="4" w:color="B7C9D6"/>
        </w:pBdr>
      </w:pPr>
      <w:r>
        <w:t>SETUP</w:t>
        <w:br/>
        <w:t>DOWNLOADING</w:t>
        <w:br/>
        <w:t>VERIFYING</w:t>
        <w:br/>
        <w:t>PREPARING</w:t>
        <w:br/>
        <w:t>SPLITTING</w:t>
        <w:br/>
        <w:t>TRAINING_HEAD</w:t>
        <w:br/>
        <w:t>FINETUNING</w:t>
        <w:br/>
        <w:t>SELECTING_MODEL</w:t>
        <w:br/>
        <w:t>RETRAINING_90_PERCENT</w:t>
        <w:br/>
        <w:t>EXPORTING</w:t>
        <w:br/>
        <w:t>QUANTIZING</w:t>
        <w:br/>
        <w:t>FINAL_HOLDOUT</w:t>
        <w:br/>
        <w:t>BENCHMARKING</w:t>
        <w:br/>
        <w:t>COMPLETE</w:t>
        <w:br/>
        <w:t>FAILED</w:t>
      </w:r>
    </w:p>
    <w:p>
      <w:pPr>
        <w:pStyle w:val="Heading1"/>
      </w:pPr>
      <w:r>
        <w:t>7. Dashboard Requirements</w:t>
      </w:r>
    </w:p>
    <w:p>
      <w:pPr>
        <w:pStyle w:val="Heading2"/>
      </w:pPr>
      <w:r>
        <w:t>7.1 Overview</w:t>
      </w:r>
    </w:p>
    <w:p>
      <w:pPr>
        <w:pStyle w:val="ListBullet"/>
      </w:pPr>
      <w:r>
        <w:t>current pipeline stage and overall progress</w:t>
      </w:r>
    </w:p>
    <w:p>
      <w:pPr>
        <w:pStyle w:val="ListBullet"/>
      </w:pPr>
      <w:r>
        <w:t>dataset source, image count, lesion count, class distribution</w:t>
      </w:r>
    </w:p>
    <w:p>
      <w:pPr>
        <w:pStyle w:val="ListBullet"/>
      </w:pPr>
      <w:r>
        <w:t>hardware, CPU, RAM, accelerator</w:t>
      </w:r>
    </w:p>
    <w:p>
      <w:pPr>
        <w:pStyle w:val="ListBullet"/>
      </w:pPr>
      <w:r>
        <w:t>Python/PyTorch versions</w:t>
      </w:r>
    </w:p>
    <w:p>
      <w:pPr>
        <w:pStyle w:val="ListBullet"/>
      </w:pPr>
      <w:r>
        <w:t>run ID and seed</w:t>
      </w:r>
    </w:p>
    <w:p>
      <w:pPr>
        <w:pStyle w:val="ListBullet"/>
      </w:pPr>
      <w:r>
        <w:t>development and holdout counts</w:t>
      </w:r>
    </w:p>
    <w:p>
      <w:pPr>
        <w:pStyle w:val="ListBullet"/>
      </w:pPr>
      <w:r>
        <w:t>visible holdout status: SEALED or CONSUMED</w:t>
      </w:r>
    </w:p>
    <w:p>
      <w:pPr>
        <w:pStyle w:val="Heading2"/>
      </w:pPr>
      <w:r>
        <w:t>7.2 Live training</w:t>
      </w:r>
    </w:p>
    <w:p>
      <w:pPr>
        <w:pStyle w:val="ListBullet"/>
      </w:pPr>
      <w:r>
        <w:t>epoch and batch progress</w:t>
      </w:r>
    </w:p>
    <w:p>
      <w:pPr>
        <w:pStyle w:val="ListBullet"/>
      </w:pPr>
      <w:r>
        <w:t>training and validation loss</w:t>
      </w:r>
    </w:p>
    <w:p>
      <w:pPr>
        <w:pStyle w:val="ListBullet"/>
      </w:pPr>
      <w:r>
        <w:t>macro F1</w:t>
      </w:r>
    </w:p>
    <w:p>
      <w:pPr>
        <w:pStyle w:val="ListBullet"/>
      </w:pPr>
      <w:r>
        <w:t>balanced accuracy</w:t>
      </w:r>
    </w:p>
    <w:p>
      <w:pPr>
        <w:pStyle w:val="ListBullet"/>
      </w:pPr>
      <w:r>
        <w:t>per-class recall</w:t>
      </w:r>
    </w:p>
    <w:p>
      <w:pPr>
        <w:pStyle w:val="ListBullet"/>
      </w:pPr>
      <w:r>
        <w:t>learning rate</w:t>
      </w:r>
    </w:p>
    <w:p>
      <w:pPr>
        <w:pStyle w:val="ListBullet"/>
      </w:pPr>
      <w:r>
        <w:t>images/second</w:t>
      </w:r>
    </w:p>
    <w:p>
      <w:pPr>
        <w:pStyle w:val="ListBullet"/>
      </w:pPr>
      <w:r>
        <w:t>CPU usage</w:t>
      </w:r>
    </w:p>
    <w:p>
      <w:pPr>
        <w:pStyle w:val="ListBullet"/>
      </w:pPr>
      <w:r>
        <w:t>RAM and process RSS</w:t>
      </w:r>
    </w:p>
    <w:p>
      <w:pPr>
        <w:pStyle w:val="ListBullet"/>
      </w:pPr>
      <w:r>
        <w:t>GPU utilization and memory if present</w:t>
      </w:r>
    </w:p>
    <w:p>
      <w:pPr>
        <w:pStyle w:val="Heading2"/>
      </w:pPr>
      <w:r>
        <w:t>7.3 Final holdout</w:t>
      </w:r>
    </w:p>
    <w:p>
      <w:pPr>
        <w:pStyle w:val="ListBullet"/>
      </w:pPr>
      <w:r>
        <w:t>macro F1</w:t>
      </w:r>
    </w:p>
    <w:p>
      <w:pPr>
        <w:pStyle w:val="ListBullet"/>
      </w:pPr>
      <w:r>
        <w:t>macro precision</w:t>
      </w:r>
    </w:p>
    <w:p>
      <w:pPr>
        <w:pStyle w:val="ListBullet"/>
      </w:pPr>
      <w:r>
        <w:t>macro recall</w:t>
      </w:r>
    </w:p>
    <w:p>
      <w:pPr>
        <w:pStyle w:val="ListBullet"/>
      </w:pPr>
      <w:r>
        <w:t>balanced accuracy</w:t>
      </w:r>
    </w:p>
    <w:p>
      <w:pPr>
        <w:pStyle w:val="ListBullet"/>
      </w:pPr>
      <w:r>
        <w:t>ordinary accuracy</w:t>
      </w:r>
    </w:p>
    <w:p>
      <w:pPr>
        <w:pStyle w:val="ListBullet"/>
      </w:pPr>
      <w:r>
        <w:t>per-class recall/sensitivity</w:t>
      </w:r>
    </w:p>
    <w:p>
      <w:pPr>
        <w:pStyle w:val="ListBullet"/>
      </w:pPr>
      <w:r>
        <w:t>per-class specificity</w:t>
      </w:r>
    </w:p>
    <w:p>
      <w:pPr>
        <w:pStyle w:val="ListBullet"/>
      </w:pPr>
      <w:r>
        <w:t>one-vs-rest ROC-AUC where valid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calibration curve</w:t>
      </w:r>
    </w:p>
    <w:p>
      <w:pPr>
        <w:pStyle w:val="ListBullet"/>
      </w:pPr>
      <w:r>
        <w:t>confidence distribution</w:t>
      </w:r>
    </w:p>
    <w:p>
      <w:pPr>
        <w:spacing w:after="100" w:line="252" w:lineRule="auto"/>
      </w:pPr>
      <w:r>
        <w:t>Macro F1 and balanced accuracy must be the headline metrics. Plain accuracy may be shown, but not as the primary result.</w:t>
      </w:r>
    </w:p>
    <w:p>
      <w:pPr>
        <w:pStyle w:val="Heading2"/>
      </w:pPr>
      <w:r>
        <w:t>7.4 Error explorer</w:t>
      </w:r>
    </w:p>
    <w:p>
      <w:pPr>
        <w:pStyle w:val="CodeBlock"/>
        <w:shd w:fill="F3F5F7"/>
        <w:pBdr>
          <w:left w:val="single" w:sz="8" w:space="4" w:color="B7C9D6"/>
        </w:pBdr>
      </w:pPr>
      <w:r>
        <w:t>image_id</w:t>
        <w:br/>
        <w:t>lesion_id</w:t>
        <w:br/>
        <w:t>true_class</w:t>
        <w:br/>
        <w:t>predicted_class</w:t>
        <w:br/>
        <w:t>probability_true</w:t>
        <w:br/>
        <w:t>probability_predicted</w:t>
        <w:br/>
        <w:t>all_probabilities</w:t>
        <w:br/>
        <w:t>confidence</w:t>
        <w:br/>
        <w:t>entropy</w:t>
        <w:br/>
        <w:t>correct</w:t>
      </w:r>
    </w:p>
    <w:p>
      <w:pPr>
        <w:pStyle w:val="ListBullet"/>
      </w:pPr>
      <w:r>
        <w:t>filter by true class</w:t>
      </w:r>
    </w:p>
    <w:p>
      <w:pPr>
        <w:pStyle w:val="ListBullet"/>
      </w:pPr>
      <w:r>
        <w:t>filter by predicted class</w:t>
      </w:r>
    </w:p>
    <w:p>
      <w:pPr>
        <w:pStyle w:val="ListBullet"/>
      </w:pPr>
      <w:r>
        <w:t>sort by confidence</w:t>
      </w:r>
    </w:p>
    <w:p>
      <w:pPr>
        <w:pStyle w:val="ListBullet"/>
      </w:pPr>
      <w:r>
        <w:t>highest-confidence wrong predictions</w:t>
      </w:r>
    </w:p>
    <w:p>
      <w:pPr>
        <w:pStyle w:val="ListBullet"/>
      </w:pPr>
      <w:r>
        <w:t>lowest-confidence correct predictions</w:t>
      </w:r>
    </w:p>
    <w:p>
      <w:pPr>
        <w:pStyle w:val="ListBullet"/>
      </w:pPr>
      <w:r>
        <w:t>largest confusion pairs</w:t>
      </w:r>
    </w:p>
    <w:p>
      <w:pPr>
        <w:pStyle w:val="ListBullet"/>
      </w:pPr>
      <w:r>
        <w:t>image thumbnail beside truth, prediction, and probability vector</w:t>
      </w:r>
    </w:p>
    <w:p>
      <w:pPr>
        <w:pStyle w:val="Heading1"/>
      </w:pPr>
      <w:r>
        <w:t>8. Resource Footprint and Local Cost</w:t>
      </w:r>
    </w:p>
    <w:p>
      <w:pPr>
        <w:spacing w:after="100" w:line="252" w:lineRule="auto"/>
      </w:pPr>
      <w:r>
        <w:t>Resource use is a first-class research result, not an afterthought. Sample system usage throughout training and benchmark the deployed model independently.</w:t>
      </w:r>
    </w:p>
    <w:p>
      <w:pPr>
        <w:pStyle w:val="ListBullet"/>
      </w:pPr>
      <w:r>
        <w:t>CPU %</w:t>
      </w:r>
    </w:p>
    <w:p>
      <w:pPr>
        <w:pStyle w:val="ListBullet"/>
      </w:pPr>
      <w:r>
        <w:t>system RAM</w:t>
      </w:r>
    </w:p>
    <w:p>
      <w:pPr>
        <w:pStyle w:val="ListBullet"/>
      </w:pPr>
      <w:r>
        <w:t>process RSS</w:t>
      </w:r>
    </w:p>
    <w:p>
      <w:pPr>
        <w:pStyle w:val="ListBullet"/>
      </w:pPr>
      <w:r>
        <w:t>GPU utilization if present</w:t>
      </w:r>
    </w:p>
    <w:p>
      <w:pPr>
        <w:pStyle w:val="ListBullet"/>
      </w:pPr>
      <w:r>
        <w:t>GPU memory if present</w:t>
      </w:r>
    </w:p>
    <w:p>
      <w:pPr>
        <w:pStyle w:val="ListBullet"/>
      </w:pPr>
      <w:r>
        <w:t>disk usage</w:t>
      </w:r>
    </w:p>
    <w:p>
      <w:pPr>
        <w:pStyle w:val="ListBullet"/>
      </w:pPr>
      <w:r>
        <w:t>images/second</w:t>
      </w:r>
    </w:p>
    <w:p>
      <w:pPr>
        <w:pStyle w:val="ListBullet"/>
      </w:pPr>
      <w:r>
        <w:t>total training wall time</w:t>
      </w:r>
    </w:p>
    <w:p>
      <w:pPr>
        <w:spacing w:after="100" w:line="252" w:lineRule="auto"/>
      </w:pPr>
      <w:r>
        <w:t>Final inference benchmark must measure:</w:t>
      </w:r>
    </w:p>
    <w:p>
      <w:pPr>
        <w:pStyle w:val="ListBullet"/>
      </w:pPr>
      <w:r>
        <w:t>model file size</w:t>
      </w:r>
    </w:p>
    <w:p>
      <w:pPr>
        <w:pStyle w:val="ListBullet"/>
      </w:pPr>
      <w:r>
        <w:t>peak RAM</w:t>
      </w:r>
    </w:p>
    <w:p>
      <w:pPr>
        <w:pStyle w:val="ListBullet"/>
      </w:pPr>
      <w:r>
        <w:t>cold latency</w:t>
      </w:r>
    </w:p>
    <w:p>
      <w:pPr>
        <w:pStyle w:val="ListBullet"/>
      </w:pPr>
      <w:r>
        <w:t>warm latency</w:t>
      </w:r>
    </w:p>
    <w:p>
      <w:pPr>
        <w:pStyle w:val="ListBullet"/>
      </w:pPr>
      <w:r>
        <w:t>mean latency</w:t>
      </w:r>
    </w:p>
    <w:p>
      <w:pPr>
        <w:pStyle w:val="ListBullet"/>
      </w:pPr>
      <w:r>
        <w:t>p50 latency</w:t>
      </w:r>
    </w:p>
    <w:p>
      <w:pPr>
        <w:pStyle w:val="ListBullet"/>
      </w:pPr>
      <w:r>
        <w:t>p95 latency</w:t>
      </w:r>
    </w:p>
    <w:p>
      <w:pPr>
        <w:pStyle w:val="ListBullet"/>
      </w:pPr>
      <w:r>
        <w:t>throughput</w:t>
      </w:r>
    </w:p>
    <w:p>
      <w:pPr>
        <w:pStyle w:val="Heading1"/>
      </w:pPr>
      <w:r>
        <w:t>9. Experiment Database and Run Artifacts</w:t>
      </w:r>
    </w:p>
    <w:p>
      <w:pPr>
        <w:pStyle w:val="CodeBlock"/>
        <w:shd w:fill="F3F5F7"/>
        <w:pBdr>
          <w:left w:val="single" w:sz="8" w:space="4" w:color="B7C9D6"/>
        </w:pBdr>
      </w:pPr>
      <w:r>
        <w:t>runs/experiments.sqlite</w:t>
      </w:r>
    </w:p>
    <w:p>
      <w:pPr>
        <w:pStyle w:val="Heading2"/>
      </w:pPr>
      <w:r>
        <w:t>9.1 Suggested tables</w:t>
      </w:r>
    </w:p>
    <w:p>
      <w:pPr>
        <w:pStyle w:val="ListBullet"/>
      </w:pPr>
      <w:r>
        <w:t>runs</w:t>
      </w:r>
    </w:p>
    <w:p>
      <w:pPr>
        <w:pStyle w:val="ListBullet"/>
      </w:pPr>
      <w:r>
        <w:t>epochs</w:t>
      </w:r>
    </w:p>
    <w:p>
      <w:pPr>
        <w:pStyle w:val="ListBullet"/>
      </w:pPr>
      <w:r>
        <w:t>predictions</w:t>
      </w:r>
    </w:p>
    <w:p>
      <w:pPr>
        <w:pStyle w:val="ListBullet"/>
      </w:pPr>
      <w:r>
        <w:t>resource_samples</w:t>
      </w:r>
    </w:p>
    <w:p>
      <w:pPr>
        <w:pStyle w:val="ListBullet"/>
      </w:pPr>
      <w:r>
        <w:t>events</w:t>
      </w:r>
    </w:p>
    <w:p>
      <w:pPr>
        <w:pStyle w:val="ListBullet"/>
      </w:pPr>
      <w:r>
        <w:t>artifacts</w:t>
      </w:r>
    </w:p>
    <w:p>
      <w:pPr>
        <w:pStyle w:val="Heading2"/>
      </w:pPr>
      <w:r>
        <w:t>9.2 Per-run bundle</w:t>
      </w:r>
    </w:p>
    <w:p>
      <w:pPr>
        <w:pStyle w:val="CodeBlock"/>
        <w:shd w:fill="F3F5F7"/>
        <w:pBdr>
          <w:left w:val="single" w:sz="8" w:space="4" w:color="B7C9D6"/>
        </w:pBdr>
      </w:pPr>
      <w:r>
        <w:t>runs/&lt;run_id&gt;/</w:t>
        <w:br/>
        <w:t xml:space="preserve">  config.yaml</w:t>
        <w:br/>
        <w:t xml:space="preserve">  environment.txt</w:t>
        <w:br/>
        <w:t xml:space="preserve">  system.json</w:t>
        <w:br/>
        <w:t xml:space="preserve">  split_hash.txt</w:t>
        <w:br/>
        <w:t xml:space="preserve">  training_history.csv</w:t>
        <w:br/>
        <w:t xml:space="preserve">  final_metrics.json</w:t>
        <w:br/>
        <w:t xml:space="preserve">  classification_report.csv</w:t>
        <w:br/>
        <w:t xml:space="preserve">  confusion_matrix.csv</w:t>
        <w:br/>
        <w:t xml:space="preserve">  predictions_holdout.csv</w:t>
        <w:br/>
        <w:t xml:space="preserve">  resource_summary.json</w:t>
        <w:br/>
        <w:t xml:space="preserve">  model_manifest.json</w:t>
        <w:br/>
        <w:t xml:space="preserve">  improvement_report.md</w:t>
        <w:br/>
        <w:t xml:space="preserve">  logs/</w:t>
        <w:br/>
        <w:t xml:space="preserve">  models/</w:t>
        <w:br/>
        <w:t xml:space="preserve">  plots/</w:t>
      </w:r>
    </w:p>
    <w:p>
      <w:pPr>
        <w:spacing w:after="100" w:line="252" w:lineRule="auto"/>
      </w:pPr>
      <w:r>
        <w:t>Record the exact OS, CPU, RAM, accelerator, Python version, PyTorch version, timm version, dependency versions, random seed, split hash, pretrained weight source, and training configuration.</w:t>
      </w:r>
    </w:p>
    <w:p>
      <w:pPr>
        <w:pStyle w:val="Heading1"/>
      </w:pPr>
      <w:r>
        <w:t>10. Export, Quantization, and CPU Benchmark</w:t>
      </w:r>
    </w:p>
    <w:p>
      <w:pPr>
        <w:pStyle w:val="Heading2"/>
      </w:pPr>
      <w:r>
        <w:t>10.1 Export formats</w:t>
      </w:r>
    </w:p>
    <w:p>
      <w:pPr>
        <w:pStyle w:val="ListBullet"/>
      </w:pPr>
      <w:r>
        <w:t>PyTorch checkpoint</w:t>
      </w:r>
    </w:p>
    <w:p>
      <w:pPr>
        <w:pStyle w:val="ListBullet"/>
      </w:pPr>
      <w:r>
        <w:t>TorchScript if cleanly supported</w:t>
      </w:r>
    </w:p>
    <w:p>
      <w:pPr>
        <w:pStyle w:val="ListBullet"/>
      </w:pPr>
      <w:r>
        <w:t>ONNX FP32</w:t>
      </w:r>
    </w:p>
    <w:p>
      <w:pPr>
        <w:pStyle w:val="ListBullet"/>
      </w:pPr>
      <w:r>
        <w:t>ONNX INT8 if quantization succeeds</w:t>
      </w:r>
    </w:p>
    <w:p>
      <w:pPr>
        <w:spacing w:after="100" w:line="252" w:lineRule="auto"/>
      </w:pPr>
      <w:r>
        <w:t>Quantization calibration may use development data only. Never use the sealed holdout for calibration or model selection.</w:t>
      </w:r>
    </w:p>
    <w:p>
      <w:pPr>
        <w:pStyle w:val="Heading2"/>
      </w:pPr>
      <w:r>
        <w:t>10.2 CPU benchmark</w:t>
      </w:r>
    </w:p>
    <w:p>
      <w:pPr>
        <w:pStyle w:val="CodeBlock"/>
        <w:shd w:fill="F3F5F7"/>
        <w:pBdr>
          <w:left w:val="single" w:sz="8" w:space="4" w:color="B7C9D6"/>
        </w:pBdr>
      </w:pPr>
      <w:r>
        <w:t>Runtime: ONNX Runtime</w:t>
        <w:br/>
        <w:t>Batch size: 1</w:t>
        <w:br/>
        <w:t>Warm-up: required</w:t>
        <w:br/>
        <w:t>Timed passes: at least 200 if practical</w:t>
        <w:br/>
        <w:t>Test modes: single CPU thread and default thread configuration</w:t>
      </w:r>
    </w:p>
    <w:p>
      <w:pPr>
        <w:pStyle w:val="ListBullet"/>
      </w:pPr>
      <w:r>
        <w:t>mean latency</w:t>
      </w:r>
    </w:p>
    <w:p>
      <w:pPr>
        <w:pStyle w:val="ListBullet"/>
      </w:pPr>
      <w:r>
        <w:t>p50</w:t>
      </w:r>
    </w:p>
    <w:p>
      <w:pPr>
        <w:pStyle w:val="ListBullet"/>
      </w:pPr>
      <w:r>
        <w:t>p95</w:t>
      </w:r>
    </w:p>
    <w:p>
      <w:pPr>
        <w:pStyle w:val="ListBullet"/>
      </w:pPr>
      <w:r>
        <w:t>images/second</w:t>
      </w:r>
    </w:p>
    <w:p>
      <w:pPr>
        <w:pStyle w:val="ListBullet"/>
      </w:pPr>
      <w:r>
        <w:t>memory</w:t>
      </w:r>
    </w:p>
    <w:p>
      <w:pPr>
        <w:pStyle w:val="ListBullet"/>
      </w:pPr>
      <w:r>
        <w:t>model size</w:t>
      </w:r>
    </w:p>
    <w:p>
      <w:pPr>
        <w:pStyle w:val="Heading1"/>
      </w:pPr>
      <w:r>
        <w:t>11. Deterministic Improvement Analysis</w:t>
      </w:r>
    </w:p>
    <w:p>
      <w:pPr>
        <w:spacing w:after="100" w:line="252" w:lineRule="auto"/>
      </w:pPr>
      <w:r>
        <w:t>Generate improvement_report.md automatically without calling an LLM. The report must identify evidence, not claim unsupported causal 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Check</w:t>
            </w:r>
          </w:p>
        </w:tc>
        <w:tc>
          <w:tcPr>
            <w:tcW w:type="dxa" w:w="5083"/>
            <w:shd w:fill="D9EAF7"/>
          </w:tcPr>
          <w:p>
            <w:r>
              <w:t>Required behavior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Class imbalance warning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Flag classes with very small sample counts and disproportionately low recall.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Overfitting warning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Flag continued training improvement while validation performance worsens over multiple epochs.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Underfitting warning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Flag cases where training and validation remain similarly weak.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Confusion-pair warning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Rank the largest off-diagonal confusion-matrix pairs and their rates.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Confidence warning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Identify high-confidence errors, low-confidence correct predictions, and poor calibration.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Rare-class warning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Warn when sample size is too small for stable conclusions.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Quantization warning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Compare validation quality before and after INT8 conversion.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Runtime warning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Separate image decoding, preprocessing, model inference, and postprocessing costs where practical.</w:t>
            </w:r>
          </w:p>
        </w:tc>
      </w:tr>
    </w:tbl>
    <w:p>
      <w:pPr>
        <w:pStyle w:val="Heading1"/>
      </w:pPr>
      <w:r>
        <w:t>12. Holdout Governance</w:t>
      </w:r>
    </w:p>
    <w:p>
      <w:pPr>
        <w:spacing w:after="100" w:line="252" w:lineRule="auto"/>
      </w:pPr>
      <w:r>
        <w:t>The final 10% is not a tuning set. Protect it programmatically and visibly.</w:t>
      </w:r>
    </w:p>
    <w:p>
      <w:pPr>
        <w:pStyle w:val="ListNumber"/>
      </w:pPr>
      <w:r>
        <w:t>Verify the split hash before evaluation.</w:t>
      </w:r>
    </w:p>
    <w:p>
      <w:pPr>
        <w:pStyle w:val="ListNumber"/>
      </w:pPr>
      <w:r>
        <w:t>Log the exact unlock event.</w:t>
      </w:r>
    </w:p>
    <w:p>
      <w:pPr>
        <w:pStyle w:val="ListNumber"/>
      </w:pPr>
      <w:r>
        <w:t>Evaluate the complete holdout once.</w:t>
      </w:r>
    </w:p>
    <w:p>
      <w:pPr>
        <w:pStyle w:val="ListNumber"/>
      </w:pPr>
      <w:r>
        <w:t>Save every prediction and metric.</w:t>
      </w:r>
    </w:p>
    <w:p>
      <w:pPr>
        <w:pStyle w:val="ListNumber"/>
      </w:pPr>
      <w:r>
        <w:t>Change holdout_lock.json to consumed: true.</w:t>
      </w:r>
    </w:p>
    <w:p>
      <w:pPr>
        <w:pStyle w:val="ListNumber"/>
      </w:pPr>
      <w:r>
        <w:t>Show HOLDOUT STATUS: CONSUMED in the dashboard.</w:t>
      </w:r>
    </w:p>
    <w:p>
      <w:pPr>
        <w:spacing w:after="100" w:line="252" w:lineRule="auto"/>
      </w:pPr>
      <w:r>
        <w:t>If later model changes are specifically motivated by patterns discovered in the final 10%, mark the original holdout as benchmark-consumed. For a scientifically clean next generation, use a new untouched external benchmark rather than pretending the first holdout remains unseen.</w:t>
      </w:r>
    </w:p>
    <w:p>
      <w:pPr>
        <w:pStyle w:val="Heading1"/>
      </w:pPr>
      <w:r>
        <w:t>13. Phase 2: Specialist-Teacher Distillation</w:t>
      </w:r>
    </w:p>
    <w:p>
      <w:pPr>
        <w:spacing w:after="100" w:line="252" w:lineRule="auto"/>
      </w:pPr>
      <w:r>
        <w:t>Do not block the initial baseline on this phase. Design the code so a specialist teacher can be added later without restructuring the project.</w:t>
      </w:r>
    </w:p>
    <w:p>
      <w:pPr>
        <w:pStyle w:val="CodeBlock"/>
        <w:shd w:fill="F3F5F7"/>
        <w:pBdr>
          <w:left w:val="single" w:sz="8" w:space="4" w:color="B7C9D6"/>
        </w:pBdr>
      </w:pPr>
      <w:r>
        <w:t>tinyderm/teachers/base.py</w:t>
      </w:r>
    </w:p>
    <w:p>
      <w:pPr>
        <w:pStyle w:val="CodeBlock"/>
        <w:shd w:fill="F3F5F7"/>
        <w:pBdr>
          <w:left w:val="single" w:sz="8" w:space="4" w:color="B7C9D6"/>
        </w:pBdr>
      </w:pPr>
      <w:r>
        <w:t>class Teacher:</w:t>
        <w:br/>
        <w:t xml:space="preserve">    def predict(self, images): ...</w:t>
        <w:br/>
        <w:t xml:space="preserve">    def embed(self, images): ...</w:t>
      </w:r>
    </w:p>
    <w:p>
      <w:pPr>
        <w:pStyle w:val="Heading2"/>
      </w:pPr>
      <w:r>
        <w:t>13.1 Derm Foundation</w:t>
      </w:r>
    </w:p>
    <w:p>
      <w:pPr>
        <w:spacing w:after="100" w:line="252" w:lineRule="auto"/>
      </w:pPr>
      <w:r>
        <w:t>Future experiment: use a dermatology-specific foundation model to generate embeddings or teacher probabilities, cache those outputs once, and distill the knowledge into the same tiny MobileNet student. Ground-truth dataset labels remain authoritative.</w:t>
      </w:r>
    </w:p>
    <w:p>
      <w:pPr>
        <w:pStyle w:val="CodeBlock"/>
        <w:shd w:fill="F3F5F7"/>
        <w:pBdr>
          <w:left w:val="single" w:sz="8" w:space="4" w:color="B7C9D6"/>
        </w:pBdr>
      </w:pPr>
      <w:r>
        <w:t>image -&gt; Derm Foundation -&gt; teacher probabilities / embeddings</w:t>
        <w:br/>
        <w:t xml:space="preserve">                         |</w:t>
        <w:br/>
        <w:t xml:space="preserve">                         v</w:t>
        <w:br/>
        <w:t xml:space="preserve">       MobileNetV3-Small student</w:t>
        <w:br/>
        <w:t xml:space="preserve">                         |</w:t>
        <w:br/>
        <w:t xml:space="preserve">                         v</w:t>
        <w:br/>
        <w:t xml:space="preserve">               local CPU inference</w:t>
      </w:r>
    </w:p>
    <w:p>
      <w:pPr>
        <w:spacing w:after="100" w:line="252" w:lineRule="auto"/>
      </w:pPr>
      <w:r>
        <w:t>The deployable system must not require the heavyweight teacher after training.</w:t>
      </w:r>
    </w:p>
    <w:p>
      <w:pPr>
        <w:pStyle w:val="Heading2"/>
      </w:pPr>
      <w:r>
        <w:t>13.2 Distillation loss</w:t>
      </w:r>
    </w:p>
    <w:p>
      <w:pPr>
        <w:pStyle w:val="CodeBlock"/>
        <w:shd w:fill="F3F5F7"/>
        <w:pBdr>
          <w:left w:val="single" w:sz="8" w:space="4" w:color="B7C9D6"/>
        </w:pBdr>
      </w:pPr>
      <w:r>
        <w:t>Loss = alpha * CrossEntropy(student, true_label)</w:t>
        <w:br/>
        <w:t xml:space="preserve">     + (1 - alpha) * KL(student_soft, teacher_soft)</w:t>
      </w:r>
    </w:p>
    <w:p>
      <w:pPr>
        <w:spacing w:after="100" w:line="252" w:lineRule="auto"/>
      </w:pPr>
      <w:r>
        <w:t>Temperature and alpha must be configurable. Teacher output supplements known labels; it never replaces them.</w:t>
      </w:r>
    </w:p>
    <w:p>
      <w:pPr>
        <w:pStyle w:val="Heading1"/>
      </w:pPr>
      <w:r>
        <w:t>14. Phase 3: Hunch-Style Embedding Experiment</w:t>
      </w:r>
    </w:p>
    <w:p>
      <w:pPr>
        <w:spacing w:after="100" w:line="252" w:lineRule="auto"/>
      </w:pPr>
      <w:r>
        <w:t>Prepare a later comparison that more directly tests the Hunch concept: image embedding plus a tiny classifier. Do not assume it will outperform the MobileNet baseline.</w:t>
      </w:r>
    </w:p>
    <w:p>
      <w:pPr>
        <w:pStyle w:val="CodeBlock"/>
        <w:shd w:fill="F3F5F7"/>
        <w:pBdr>
          <w:left w:val="single" w:sz="8" w:space="4" w:color="B7C9D6"/>
        </w:pBdr>
      </w:pPr>
      <w:r>
        <w:t>image -&gt; EmbeddingGemma 2 -&gt; embedding -&gt; tiny classifier</w:t>
      </w:r>
    </w:p>
    <w:p>
      <w:pPr>
        <w:pStyle w:val="ListBullet"/>
      </w:pPr>
      <w:r>
        <w:t>Compare embedding sizes such as 768, 512, and 256 dimensions.</w:t>
      </w:r>
    </w:p>
    <w:p>
      <w:pPr>
        <w:pStyle w:val="ListBullet"/>
      </w:pPr>
      <w:r>
        <w:t>Measure macro F1, balanced accuracy, RAM, model footprint, and CPU latency.</w:t>
      </w:r>
    </w:p>
    <w:p>
      <w:pPr>
        <w:pStyle w:val="ListBullet"/>
      </w:pPr>
      <w:r>
        <w:t>Select the approach with the best accuracy/resource ratio, not the most fashionable architecture.</w:t>
      </w:r>
    </w:p>
    <w:p>
      <w:pPr>
        <w:pStyle w:val="Heading1"/>
      </w:pPr>
      <w:r>
        <w:t>15. Project Structure</w:t>
      </w:r>
    </w:p>
    <w:p>
      <w:pPr>
        <w:pStyle w:val="CodeBlock"/>
        <w:shd w:fill="F3F5F7"/>
        <w:pBdr>
          <w:left w:val="single" w:sz="8" w:space="4" w:color="B7C9D6"/>
        </w:pBdr>
      </w:pPr>
      <w:r>
        <w:t>tinyderm-lab/</w:t>
        <w:br/>
        <w:t>|-- README.md</w:t>
        <w:br/>
        <w:t>|-- pyproject.toml</w:t>
        <w:br/>
        <w:t>|-- run.py</w:t>
        <w:br/>
        <w:t>|-- config/</w:t>
        <w:br/>
        <w:t>|   `-- default.yaml</w:t>
        <w:br/>
        <w:t>|-- app/</w:t>
        <w:br/>
        <w:t>|   `-- dashboard.py</w:t>
        <w:br/>
        <w:t>|-- tinyderm/</w:t>
        <w:br/>
        <w:t>|   |-- acquisition.py</w:t>
        <w:br/>
        <w:t>|   |-- provenance.py</w:t>
        <w:br/>
        <w:t>|   |-- split.py</w:t>
        <w:br/>
        <w:t>|   |-- dataset.py</w:t>
        <w:br/>
        <w:t>|   |-- augment.py</w:t>
        <w:br/>
        <w:t>|   |-- model.py</w:t>
        <w:br/>
        <w:t>|   |-- train.py</w:t>
        <w:br/>
        <w:t>|   |-- evaluate.py</w:t>
        <w:br/>
        <w:t>|   |-- metrics.py</w:t>
        <w:br/>
        <w:t>|   |-- export.py</w:t>
        <w:br/>
        <w:t>|   |-- quantize.py</w:t>
        <w:br/>
        <w:t>|   |-- benchmark.py</w:t>
        <w:br/>
        <w:t>|   |-- resources.py</w:t>
        <w:br/>
        <w:t>|   |-- experiment_db.py</w:t>
        <w:br/>
        <w:t>|   |-- analysis.py</w:t>
        <w:br/>
        <w:t>|   |-- pipeline.py</w:t>
        <w:br/>
        <w:t>|   `-- teachers/</w:t>
        <w:br/>
        <w:t>|       |-- base.py</w:t>
        <w:br/>
        <w:t>|       `-- __init__.py</w:t>
        <w:br/>
        <w:t>|-- data/</w:t>
        <w:br/>
        <w:t>|   |-- raw/</w:t>
        <w:br/>
        <w:t>|   |-- processed/</w:t>
        <w:br/>
        <w:t>|   `-- splits/</w:t>
        <w:br/>
        <w:t>|-- runs/</w:t>
        <w:br/>
        <w:t>|-- tests/</w:t>
        <w:br/>
        <w:t>`-- scripts/</w:t>
      </w:r>
    </w:p>
    <w:p>
      <w:pPr>
        <w:pStyle w:val="Heading1"/>
      </w:pPr>
      <w:r>
        <w:t>16. Environment, Dependencies, and Launchers</w:t>
      </w:r>
    </w:p>
    <w:p>
      <w:pPr>
        <w:spacing w:after="100" w:line="252" w:lineRule="auto"/>
      </w:pPr>
      <w:r>
        <w:t>Target Python 3.11 or 3.12. Prefer uv for environment management, with venv + pip as fallback.</w:t>
      </w:r>
    </w:p>
    <w:p>
      <w:pPr>
        <w:pStyle w:val="CodeBlock"/>
        <w:shd w:fill="F3F5F7"/>
        <w:pBdr>
          <w:left w:val="single" w:sz="8" w:space="4" w:color="B7C9D6"/>
        </w:pBdr>
      </w:pPr>
      <w:r>
        <w:t>torch</w:t>
        <w:br/>
        <w:t>torchvision</w:t>
        <w:br/>
        <w:t>timm</w:t>
        <w:br/>
        <w:t>numpy</w:t>
        <w:br/>
        <w:t>pandas</w:t>
        <w:br/>
        <w:t>scikit-learn</w:t>
        <w:br/>
        <w:t>Pillow</w:t>
        <w:br/>
        <w:t>albumentations</w:t>
        <w:br/>
        <w:t>PyYAML</w:t>
        <w:br/>
        <w:t>streamlit</w:t>
        <w:br/>
        <w:t>plotly</w:t>
        <w:br/>
        <w:t>psutil</w:t>
        <w:br/>
        <w:t>onnx</w:t>
        <w:br/>
        <w:t>onnxruntime</w:t>
        <w:br/>
        <w:t>tqdm</w:t>
      </w:r>
    </w:p>
    <w:p>
      <w:pPr>
        <w:spacing w:after="100" w:line="252" w:lineRule="auto"/>
      </w:pPr>
      <w:r>
        <w:t>Optional: codecarbon and pynvml. Do not install large foundation-model frameworks for the first baseline unless required.</w:t>
      </w:r>
    </w:p>
    <w:p>
      <w:pPr>
        <w:pStyle w:val="Heading2"/>
      </w:pPr>
      <w:r>
        <w:t>16.1 Convenience launchers</w:t>
      </w:r>
    </w:p>
    <w:p>
      <w:pPr>
        <w:pStyle w:val="CodeBlock"/>
        <w:shd w:fill="F3F5F7"/>
        <w:pBdr>
          <w:left w:val="single" w:sz="8" w:space="4" w:color="B7C9D6"/>
        </w:pBdr>
      </w:pPr>
      <w:r>
        <w:t>Windows: start_tinyderm.bat, start_tinyderm.ps1</w:t>
        <w:br/>
        <w:t>macOS/Linux: start_tinyderm.sh</w:t>
        <w:br/>
        <w:t>All launchers ultimately execute: python run.py</w:t>
      </w:r>
    </w:p>
    <w:p>
      <w:pPr>
        <w:spacing w:after="100" w:line="252" w:lineRule="auto"/>
      </w:pPr>
      <w:r>
        <w:t>The system must be resumable. Completed downloads, manifests, safe checkpoints, and completed stages should be detected and reused rather than recreated.</w:t>
      </w:r>
    </w:p>
    <w:p>
      <w:pPr>
        <w:pStyle w:val="Heading1"/>
      </w:pPr>
      <w:r>
        <w:t>17. Failure Handling and Required Tests</w:t>
      </w:r>
    </w:p>
    <w:p>
      <w:pPr>
        <w:pStyle w:val="Heading2"/>
      </w:pPr>
      <w:r>
        <w:t>17.1 Failure behavior</w:t>
      </w:r>
    </w:p>
    <w:p>
      <w:pPr>
        <w:pStyle w:val="ListNumber"/>
      </w:pPr>
      <w:r>
        <w:t>Save the traceback.</w:t>
      </w:r>
    </w:p>
    <w:p>
      <w:pPr>
        <w:pStyle w:val="ListNumber"/>
      </w:pPr>
      <w:r>
        <w:t>Write the error to SQLite.</w:t>
      </w:r>
    </w:p>
    <w:p>
      <w:pPr>
        <w:pStyle w:val="ListNumber"/>
      </w:pPr>
      <w:r>
        <w:t>Set pipeline state to FAILED.</w:t>
      </w:r>
    </w:p>
    <w:p>
      <w:pPr>
        <w:pStyle w:val="ListNumber"/>
      </w:pPr>
      <w:r>
        <w:t>Keep the portal running.</w:t>
      </w:r>
    </w:p>
    <w:p>
      <w:pPr>
        <w:pStyle w:val="ListNumber"/>
      </w:pPr>
      <w:r>
        <w:t>Display the failing stage and log path.</w:t>
      </w:r>
    </w:p>
    <w:p>
      <w:pPr>
        <w:pStyle w:val="ListNumber"/>
      </w:pPr>
      <w:r>
        <w:t>Preserve resumable work.</w:t>
      </w:r>
    </w:p>
    <w:p>
      <w:pPr>
        <w:pStyle w:val="Heading2"/>
      </w:pPr>
      <w:r>
        <w:t>17.2 Automated tests</w:t>
      </w:r>
    </w:p>
    <w:p>
      <w:pPr>
        <w:pStyle w:val="ListBullet"/>
      </w:pPr>
      <w:r>
        <w:t>Split leakage test: no lesion_id crosses splits.</w:t>
      </w:r>
    </w:p>
    <w:p>
      <w:pPr>
        <w:pStyle w:val="ListBullet"/>
      </w:pPr>
      <w:r>
        <w:t>Holdout protection test: training/validation loaders cannot access holdout rows.</w:t>
      </w:r>
    </w:p>
    <w:p>
      <w:pPr>
        <w:pStyle w:val="ListBullet"/>
      </w:pPr>
      <w:r>
        <w:t>Dataset sanity test: expected metadata and images agree.</w:t>
      </w:r>
    </w:p>
    <w:p>
      <w:pPr>
        <w:pStyle w:val="ListBullet"/>
      </w:pPr>
      <w:r>
        <w:t>Label test: only expected classes are present.</w:t>
      </w:r>
    </w:p>
    <w:p>
      <w:pPr>
        <w:pStyle w:val="ListBullet"/>
      </w:pPr>
      <w:r>
        <w:t>Reproducibility test: same seed and manifest logic reproduce the same split hash.</w:t>
      </w:r>
    </w:p>
    <w:p>
      <w:pPr>
        <w:pStyle w:val="ListBullet"/>
      </w:pPr>
      <w:r>
        <w:t>Model smoke test: one complete forward/backward batch.</w:t>
      </w:r>
    </w:p>
    <w:p>
      <w:pPr>
        <w:pStyle w:val="ListBullet"/>
      </w:pPr>
      <w:r>
        <w:t>Export smoke test: ONNX produces seven outputs.</w:t>
      </w:r>
    </w:p>
    <w:p>
      <w:pPr>
        <w:pStyle w:val="ListBullet"/>
      </w:pPr>
      <w:r>
        <w:t>Prediction parity test: PyTorch and ONNX results are reasonably close.</w:t>
      </w:r>
    </w:p>
    <w:p>
      <w:pPr>
        <w:pStyle w:val="ListBullet"/>
      </w:pPr>
      <w:r>
        <w:t>Database test: training events and predictions persist correctly.</w:t>
      </w:r>
    </w:p>
    <w:p>
      <w:pPr>
        <w:pStyle w:val="Heading1"/>
      </w:pPr>
      <w:r>
        <w:t>18. Final Dashboard Result Card</w:t>
      </w:r>
    </w:p>
    <w:p>
      <w:pPr>
        <w:pStyle w:val="CodeBlock"/>
        <w:shd w:fill="F3F5F7"/>
        <w:pBdr>
          <w:left w:val="single" w:sz="8" w:space="4" w:color="B7C9D6"/>
        </w:pBdr>
      </w:pPr>
      <w:r>
        <w:t>TinyDerm Research Prototype - COMPLETE</w:t>
        <w:br/>
        <w:br/>
        <w:t>Dataset: ISIC 2018 / HAM10000</w:t>
        <w:br/>
        <w:t>Development: ____ images / ____ lesions</w:t>
        <w:br/>
        <w:t>Final holdout: ____ images / ____ lesions</w:t>
        <w:br/>
        <w:t>Student: MobileNetV3-Small</w:t>
        <w:br/>
        <w:t>Parameters: ____</w:t>
        <w:br/>
        <w:t>FP32 size: ____ MB</w:t>
        <w:br/>
        <w:t>INT8 size: ____ MB</w:t>
        <w:br/>
        <w:t>CPU p50: ____ ms</w:t>
        <w:br/>
        <w:t>CPU p95: ____ ms</w:t>
        <w:br/>
        <w:t>Macro F1: ____</w:t>
        <w:br/>
        <w:t>Balanced accuracy: ____</w:t>
        <w:br/>
        <w:t>Holdout: CONSUMED</w:t>
      </w:r>
    </w:p>
    <w:p>
      <w:pPr>
        <w:spacing w:after="100" w:line="252" w:lineRule="auto"/>
      </w:pPr>
      <w:r>
        <w:t>Provide direct access from the dashboard to the full report, error explorer, confusion matrix, resource report, predictions CSV, training history, model files, experiment configuration, and improvement report.</w:t>
      </w:r>
    </w:p>
    <w:p>
      <w:pPr>
        <w:pStyle w:val="Heading1"/>
      </w:pPr>
      <w:r>
        <w:t>19. What Counts as Success</w:t>
      </w:r>
    </w:p>
    <w:p>
      <w:pPr>
        <w:spacing w:after="100" w:line="252" w:lineRule="auto"/>
      </w:pPr>
      <w:r>
        <w:t>The project is successful only if it produces evidence about both quality and deployment cost. It must answer:</w:t>
      </w:r>
    </w:p>
    <w:p>
      <w:pPr>
        <w:pStyle w:val="ListNumber"/>
      </w:pPr>
      <w:r>
        <w:t>How accurately can a roughly 2.5M-parameter student classify the seven lesion categories?</w:t>
      </w:r>
    </w:p>
    <w:p>
      <w:pPr>
        <w:pStyle w:val="ListNumber"/>
      </w:pPr>
      <w:r>
        <w:t>Which classes does it handle well, and which does it confuse?</w:t>
      </w:r>
    </w:p>
    <w:p>
      <w:pPr>
        <w:pStyle w:val="ListNumber"/>
      </w:pPr>
      <w:r>
        <w:t>How strongly does class imbalance affect the errors?</w:t>
      </w:r>
    </w:p>
    <w:p>
      <w:pPr>
        <w:pStyle w:val="ListNumber"/>
      </w:pPr>
      <w:r>
        <w:t>How calibrated are the confidence scores?</w:t>
      </w:r>
    </w:p>
    <w:p>
      <w:pPr>
        <w:pStyle w:val="ListNumber"/>
      </w:pPr>
      <w:r>
        <w:t>How much RAM is needed for local inference?</w:t>
      </w:r>
    </w:p>
    <w:p>
      <w:pPr>
        <w:pStyle w:val="ListNumber"/>
      </w:pPr>
      <w:r>
        <w:t>How many milliseconds does a CPU prediction take?</w:t>
      </w:r>
    </w:p>
    <w:p>
      <w:pPr>
        <w:pStyle w:val="ListNumber"/>
      </w:pPr>
      <w:r>
        <w:t>How large is the deployable artifact?</w:t>
      </w:r>
    </w:p>
    <w:p>
      <w:pPr>
        <w:pStyle w:val="ListNumber"/>
      </w:pPr>
      <w:r>
        <w:t>Does INT8 quantization improve size or latency without unacceptable quality loss?</w:t>
      </w:r>
    </w:p>
    <w:p>
      <w:pPr>
        <w:pStyle w:val="ListNumber"/>
      </w:pPr>
      <w:r>
        <w:t>Can inference operate completely offline?</w:t>
      </w:r>
    </w:p>
    <w:p>
      <w:pPr>
        <w:pStyle w:val="ListNumber"/>
      </w:pPr>
      <w:r>
        <w:t>Is the accuracy/resource ratio promising enough to justify specialist-teacher distillation?</w:t>
      </w:r>
    </w:p>
    <w:p>
      <w:pPr>
        <w:pStyle w:val="ListNumber"/>
      </w:pPr>
      <w:r>
        <w:t>Can a future dermatology foundation model or Hunch-style embedding improve the tiny student while keeping deployment cost almost unchanged?</w:t>
      </w:r>
    </w:p>
    <w:p>
      <w:pPr>
        <w:pStyle w:val="Heading1"/>
      </w:pPr>
      <w:r>
        <w:t>20. Final Codex Execution Directive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Proceed autonomously.</w:t>
            </w:r>
          </w:p>
          <w:p>
            <w:r>
              <w:t>Do not merely explain how to build the project. Create it, install it, test it, run it, and leave the monitoring portal open with the completed results.</w:t>
            </w:r>
          </w:p>
        </w:tc>
      </w:tr>
    </w:tbl>
    <w:p>
      <w:pPr>
        <w:pStyle w:val="ListNumber"/>
      </w:pPr>
      <w:r>
        <w:t>Create the repository and files.</w:t>
      </w:r>
    </w:p>
    <w:p>
      <w:pPr>
        <w:pStyle w:val="ListNumber"/>
      </w:pPr>
      <w:r>
        <w:t>Install the local environment.</w:t>
      </w:r>
    </w:p>
    <w:p>
      <w:pPr>
        <w:pStyle w:val="ListNumber"/>
      </w:pPr>
      <w:r>
        <w:t>Write and run automated tests.</w:t>
      </w:r>
    </w:p>
    <w:p>
      <w:pPr>
        <w:pStyle w:val="ListNumber"/>
      </w:pPr>
      <w:r>
        <w:t>Acquire the official dataset.</w:t>
      </w:r>
    </w:p>
    <w:p>
      <w:pPr>
        <w:pStyle w:val="ListNumber"/>
      </w:pPr>
      <w:r>
        <w:t>Verify provenance and integrity.</w:t>
      </w:r>
    </w:p>
    <w:p>
      <w:pPr>
        <w:pStyle w:val="ListNumber"/>
      </w:pPr>
      <w:r>
        <w:t>Create and lock the lesion-grouped split.</w:t>
      </w:r>
    </w:p>
    <w:p>
      <w:pPr>
        <w:pStyle w:val="ListNumber"/>
      </w:pPr>
      <w:r>
        <w:t>Launch the local portal and open the browser.</w:t>
      </w:r>
    </w:p>
    <w:p>
      <w:pPr>
        <w:pStyle w:val="ListNumber"/>
      </w:pPr>
      <w:r>
        <w:t>Start the training pipeline.</w:t>
      </w:r>
    </w:p>
    <w:p>
      <w:pPr>
        <w:pStyle w:val="ListNumber"/>
      </w:pPr>
      <w:r>
        <w:t>Select the model using development validation only.</w:t>
      </w:r>
    </w:p>
    <w:p>
      <w:pPr>
        <w:pStyle w:val="ListNumber"/>
      </w:pPr>
      <w:r>
        <w:t>Retrain from scratch on the complete 90% development pool.</w:t>
      </w:r>
    </w:p>
    <w:p>
      <w:pPr>
        <w:pStyle w:val="ListNumber"/>
      </w:pPr>
      <w:r>
        <w:t>Export and quantize the deployable model.</w:t>
      </w:r>
    </w:p>
    <w:p>
      <w:pPr>
        <w:pStyle w:val="ListNumber"/>
      </w:pPr>
      <w:r>
        <w:t>Unlock and evaluate the final 10% exactly once.</w:t>
      </w:r>
    </w:p>
    <w:p>
      <w:pPr>
        <w:pStyle w:val="ListNumber"/>
      </w:pPr>
      <w:r>
        <w:t>Benchmark local CPU inference.</w:t>
      </w:r>
    </w:p>
    <w:p>
      <w:pPr>
        <w:pStyle w:val="ListNumber"/>
      </w:pPr>
      <w:r>
        <w:t>Generate deterministic improvement analysis.</w:t>
      </w:r>
    </w:p>
    <w:p>
      <w:pPr>
        <w:pStyle w:val="ListNumber"/>
      </w:pPr>
      <w:r>
        <w:t>Leave the completed dashboard running.</w:t>
      </w:r>
    </w:p>
    <w:p>
      <w:pPr>
        <w:spacing w:after="100" w:line="252" w:lineRule="auto"/>
      </w:pPr>
      <w:r>
        <w:t>Do not upload medical images, dataset contents, or experiment data to third-party inference APIs. The first prototype must operate locally.</w:t>
      </w:r>
    </w:p>
    <w:p>
      <w:pPr>
        <w:spacing w:after="100" w:line="252" w:lineRule="auto"/>
      </w:pPr>
      <w:r>
        <w:t>If an official dataset or model requires a manual license/terms acceptance that cannot legally or technically be automated, stop only at that specific action, tell the user exactly what must be accepted, and make the pipeline immediately resumable afterward.</w:t>
      </w:r>
    </w:p>
    <w:p>
      <w:pPr>
        <w:pStyle w:val="Heading1"/>
      </w:pPr>
      <w:r>
        <w:t>Appendix A. Reference Targets</w:t>
      </w:r>
    </w:p>
    <w:p>
      <w:pPr>
        <w:spacing w:after="100" w:line="252" w:lineRule="auto"/>
      </w:pPr>
      <w:r>
        <w:t>These references are included so Codex can verify current acquisition and model interfaces during implementation:</w:t>
      </w:r>
    </w:p>
    <w:p>
      <w:pPr>
        <w:pStyle w:val="ListBullet"/>
      </w:pPr>
      <w:r>
        <w:t>ISIC Archive collection 66 / ISIC 2018 Task 3 / HAM10000</w:t>
      </w:r>
    </w:p>
    <w:p>
      <w:pPr>
        <w:pStyle w:val="ListBullet"/>
      </w:pPr>
      <w:r>
        <w:t>timm MobileNetV3-Small model family</w:t>
      </w:r>
    </w:p>
    <w:p>
      <w:pPr>
        <w:pStyle w:val="ListBullet"/>
      </w:pPr>
      <w:r>
        <w:t>ONNX Runtime for final CPU benchmarking</w:t>
      </w:r>
    </w:p>
    <w:p>
      <w:pPr>
        <w:pStyle w:val="ListBullet"/>
      </w:pPr>
      <w:r>
        <w:t>Google Derm Foundation as an optional later specialist teacher</w:t>
      </w:r>
    </w:p>
    <w:p>
      <w:pPr>
        <w:pStyle w:val="ListBullet"/>
      </w:pPr>
      <w:r>
        <w:t>EmbeddingGemma 2 / Hunch-style embedding classifier as an optional later comparison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TinyDerm Lab - Codex Project Handoff | Research-only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TinyDerm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16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TinyDerm Lab - Codex Project Handoff</dc:title>
  <dc:subject>Autonomous local medical-image compression research prototype</dc:subject>
  <dc:creator>python-docx</dc:creator>
  <cp:keywords>TinyDerm, ISIC, HAM10000, MobileNetV3, Codex, medical imaging, local AI, model compression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