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TinyDerm Lab</w:t>
      </w:r>
    </w:p>
    <w:p>
      <w:pPr>
        <w:pStyle w:val="SubtitleSmall"/>
      </w:pPr>
      <w:r>
        <w:t>Proposal: Compressing specialist medical-image intelligence into small, local, CPU-friendly models</w:t>
      </w:r>
    </w:p>
    <w:tbl>
      <w:tblPr>
        <w:tblW w:type="auto" w:w="0"/>
        <w:jc w:val="center"/>
        <w:tblLayout w:type="autofit"/>
        <w:tblLook w:firstColumn="1" w:firstRow="1" w:lastColumn="0" w:lastRow="0" w:noHBand="0" w:noVBand="1" w:val="04A0"/>
      </w:tblPr>
      <w:tblGrid>
        <w:gridCol w:w="9792"/>
      </w:tblGrid>
      <w:tr>
        <w:tc>
          <w:tcPr>
            <w:tcW w:type="dxa" w:w="9792"/>
            <w:shd w:fill="EAF2F8"/>
            <w:tcMar>
              <w:top w:w="180" w:type="dxa"/>
              <w:start w:w="180" w:type="dxa"/>
              <w:bottom w:w="180" w:type="dxa"/>
              <w:end w:w="180" w:type="dxa"/>
            </w:tcMar>
            <w:vAlign w:val="center"/>
          </w:tcPr>
          <w:p>
            <w:pPr>
              <w:jc w:val="left"/>
            </w:pPr>
            <w:r>
              <w:rPr>
                <w:b/>
                <w:color w:val="17365D"/>
              </w:rPr>
              <w:t xml:space="preserve">Core idea: </w:t>
            </w:r>
            <w:r>
              <w:rPr>
                <w:color w:val="17365D"/>
              </w:rPr>
              <w:t>Use large specialist models and expert-labelled datasets during development, then transfer as much useful capability as possible into a tiny model that can run quickly and privately on ordinary hardware.</w:t>
            </w:r>
          </w:p>
        </w:tc>
      </w:tr>
    </w:tbl>
    <w:p/>
    <w:p>
      <w:pPr>
        <w:pStyle w:val="Heading1"/>
      </w:pPr>
      <w:r>
        <w:t>Executive Summary</w:t>
      </w:r>
    </w:p>
    <w:p>
      <w:r>
        <w:rPr>
          <w:b/>
        </w:rPr>
        <w:t xml:space="preserve">TinyDerm Lab </w:t>
      </w:r>
      <w:r>
        <w:t>is a research project exploring whether modern medical-image AI can be made dramatically smaller, faster, and cheaper to operate without giving up an unacceptable amount of quality. The project begins with a well-labelled public dermatology dataset and a compact local model, then measures the tradeoff between diagnostic-classification performance and resource cost.</w:t>
      </w:r>
    </w:p>
    <w:p>
      <w:r>
        <w:rPr>
          <w:b/>
        </w:rPr>
        <w:t xml:space="preserve">The long-term goal is not to replace clinicians or claim that a tiny model is equivalent to a state-of-the-art medical foundation model. </w:t>
      </w:r>
      <w:r>
        <w:t>The goal is to determine how much of the expensive model’s useful behavior can be retained locally, and whether uncertain or difficult cases can be escalated to larger models or human experts while routine cases are processed on inexpensive hardware.</w:t>
      </w:r>
    </w:p>
    <w:p>
      <w:pPr>
        <w:pStyle w:val="Heading1"/>
      </w:pPr>
      <w:r>
        <w:t>The Problem</w:t>
      </w:r>
    </w:p>
    <w:p>
      <w:r>
        <w:t>Many of the strongest AI systems used for medical imaging depend on large neural networks, GPUs, cloud infrastructure, or specialized compute. That can create several practical burdens:</w:t>
      </w:r>
    </w:p>
    <w:p>
      <w:pPr>
        <w:pStyle w:val="ListBullet"/>
        <w:spacing w:after="60"/>
      </w:pPr>
      <w:r>
        <w:t>High inference cost when the same heavyweight model is used for every image.</w:t>
      </w:r>
    </w:p>
    <w:p>
      <w:pPr>
        <w:pStyle w:val="ListBullet"/>
        <w:spacing w:after="60"/>
      </w:pPr>
      <w:r>
        <w:t>Longer latency from network transfer and remote processing.</w:t>
      </w:r>
    </w:p>
    <w:p>
      <w:pPr>
        <w:pStyle w:val="ListBullet"/>
        <w:spacing w:after="60"/>
      </w:pPr>
      <w:r>
        <w:t>Greater infrastructure complexity and dependence on cloud services.</w:t>
      </w:r>
    </w:p>
    <w:p>
      <w:pPr>
        <w:pStyle w:val="ListBullet"/>
        <w:spacing w:after="60"/>
      </w:pPr>
      <w:r>
        <w:t>A larger energy and compute footprint per inference.</w:t>
      </w:r>
    </w:p>
    <w:p>
      <w:pPr>
        <w:pStyle w:val="ListBullet"/>
        <w:spacing w:after="60"/>
      </w:pPr>
      <w:r>
        <w:t>Additional privacy and security considerations when medical images leave the local device or facility.</w:t>
      </w:r>
    </w:p>
    <w:p>
      <w:pPr>
        <w:pStyle w:val="ListBullet"/>
        <w:spacing w:after="60"/>
      </w:pPr>
      <w:r>
        <w:t>Limited accessibility in lower-resource clinics, rural environments, educational settings, and edge deployments.</w:t>
      </w:r>
    </w:p>
    <w:p>
      <w:r>
        <w:t>At the same time, the medical-AI community has already created large labelled datasets, specialist foundation models, and highly capable diagnostic models. TinyDerm asks whether we can reuse that existing knowledge rather than recreate it.</w:t>
      </w:r>
    </w:p>
    <w:p>
      <w:pPr>
        <w:pStyle w:val="Heading1"/>
      </w:pPr>
      <w:r>
        <w:t>Our Hypothesis</w:t>
      </w:r>
    </w:p>
    <w:p>
      <w:r>
        <w:rPr>
          <w:b/>
        </w:rPr>
        <w:t xml:space="preserve">Expensive intelligence does not necessarily need to be expensive every time it is used. </w:t>
      </w:r>
      <w:r>
        <w:t>A large specialist model can act as a teacher during development, while a much smaller student model learns from expert labels, specialist embeddings, or teacher probability distributions. If the student retains enough useful signal, deployment can become dramatically cheaper and faster.</w:t>
      </w:r>
    </w:p>
    <w:tbl>
      <w:tblPr>
        <w:tblStyle w:val="TableGrid"/>
        <w:tblW w:type="auto" w:w="0"/>
        <w:jc w:val="center"/>
        <w:tblLook w:firstColumn="1" w:firstRow="1" w:lastColumn="0" w:lastRow="0" w:noHBand="0" w:noVBand="1" w:val="04A0"/>
      </w:tblPr>
      <w:tblGrid>
        <w:gridCol w:w="4896"/>
        <w:gridCol w:w="4896"/>
      </w:tblGrid>
      <w:tr>
        <w:tc>
          <w:tcPr>
            <w:tcW w:type="dxa" w:w="4896"/>
            <w:shd w:fill="D9EAF7"/>
            <w:tcMar>
              <w:top w:w="120" w:type="dxa"/>
              <w:start w:w="140" w:type="dxa"/>
              <w:bottom w:w="120" w:type="dxa"/>
              <w:end w:w="140" w:type="dxa"/>
            </w:tcMar>
          </w:tcPr>
          <w:p>
            <w:r>
              <w:rPr>
                <w:b/>
              </w:rPr>
              <w:t>1. Expert data</w:t>
            </w:r>
          </w:p>
        </w:tc>
        <w:tc>
          <w:tcPr>
            <w:tcW w:type="dxa" w:w="4896"/>
            <w:tcMar>
              <w:top w:w="120" w:type="dxa"/>
              <w:start w:w="140" w:type="dxa"/>
              <w:bottom w:w="120" w:type="dxa"/>
              <w:end w:w="140" w:type="dxa"/>
            </w:tcMar>
          </w:tcPr>
          <w:p>
            <w:r>
              <w:t>Use a public, expert-labelled medical-image dataset as ground truth.</w:t>
            </w:r>
          </w:p>
        </w:tc>
      </w:tr>
      <w:tr>
        <w:tc>
          <w:tcPr>
            <w:tcW w:type="dxa" w:w="4896"/>
            <w:shd w:fill="D9EAF7"/>
            <w:tcMar>
              <w:top w:w="120" w:type="dxa"/>
              <w:start w:w="140" w:type="dxa"/>
              <w:bottom w:w="120" w:type="dxa"/>
              <w:end w:w="140" w:type="dxa"/>
            </w:tcMar>
          </w:tcPr>
          <w:p>
            <w:r>
              <w:rPr>
                <w:b/>
              </w:rPr>
              <w:t>2. Specialist teacher</w:t>
            </w:r>
          </w:p>
        </w:tc>
        <w:tc>
          <w:tcPr>
            <w:tcW w:type="dxa" w:w="4896"/>
            <w:tcMar>
              <w:top w:w="120" w:type="dxa"/>
              <w:start w:w="140" w:type="dxa"/>
              <w:bottom w:w="120" w:type="dxa"/>
              <w:end w:w="140" w:type="dxa"/>
            </w:tcMar>
          </w:tcPr>
          <w:p>
            <w:r>
              <w:t>Use an existing medical foundation model or high-quality specialist model where it adds value.</w:t>
            </w:r>
          </w:p>
        </w:tc>
      </w:tr>
      <w:tr>
        <w:tc>
          <w:tcPr>
            <w:tcW w:type="dxa" w:w="4896"/>
            <w:shd w:fill="D9EAF7"/>
            <w:tcMar>
              <w:top w:w="120" w:type="dxa"/>
              <w:start w:w="140" w:type="dxa"/>
              <w:bottom w:w="120" w:type="dxa"/>
              <w:end w:w="140" w:type="dxa"/>
            </w:tcMar>
          </w:tcPr>
          <w:p>
            <w:r>
              <w:rPr>
                <w:b/>
              </w:rPr>
              <w:t>3. Tiny student</w:t>
            </w:r>
          </w:p>
        </w:tc>
        <w:tc>
          <w:tcPr>
            <w:tcW w:type="dxa" w:w="4896"/>
            <w:tcMar>
              <w:top w:w="120" w:type="dxa"/>
              <w:start w:w="140" w:type="dxa"/>
              <w:bottom w:w="120" w:type="dxa"/>
              <w:end w:w="140" w:type="dxa"/>
            </w:tcMar>
          </w:tcPr>
          <w:p>
            <w:r>
              <w:t>Train a compact model designed for CPU inference on ordinary computers.</w:t>
            </w:r>
          </w:p>
        </w:tc>
      </w:tr>
      <w:tr>
        <w:tc>
          <w:tcPr>
            <w:tcW w:type="dxa" w:w="4896"/>
            <w:shd w:fill="D9EAF7"/>
            <w:tcMar>
              <w:top w:w="120" w:type="dxa"/>
              <w:start w:w="140" w:type="dxa"/>
              <w:bottom w:w="120" w:type="dxa"/>
              <w:end w:w="140" w:type="dxa"/>
            </w:tcMar>
          </w:tcPr>
          <w:p>
            <w:r>
              <w:rPr>
                <w:b/>
              </w:rPr>
              <w:t>4. Selective escalation</w:t>
            </w:r>
          </w:p>
        </w:tc>
        <w:tc>
          <w:tcPr>
            <w:tcW w:type="dxa" w:w="4896"/>
            <w:tcMar>
              <w:top w:w="120" w:type="dxa"/>
              <w:start w:w="140" w:type="dxa"/>
              <w:bottom w:w="120" w:type="dxa"/>
              <w:end w:w="140" w:type="dxa"/>
            </w:tcMar>
          </w:tcPr>
          <w:p>
            <w:r>
              <w:t>Keep confident cases local and escalate uncertain cases to a stronger model or human review.</w:t>
            </w:r>
          </w:p>
        </w:tc>
      </w:tr>
    </w:tbl>
    <w:p>
      <w:pPr>
        <w:pStyle w:val="Heading1"/>
      </w:pPr>
      <w:r>
        <w:t>Why This Is a Promising Direction</w:t>
      </w:r>
    </w:p>
    <w:p>
      <w:r>
        <w:rPr>
          <w:b/>
        </w:rPr>
        <w:t xml:space="preserve">It builds on existing work instead of duplicating it. </w:t>
      </w:r>
      <w:r>
        <w:t>Public datasets and specialist medical models already contain years of research and expert annotation. The project treats those assets as teachers and benchmarks rather than starting over.</w:t>
      </w:r>
    </w:p>
    <w:p>
      <w:r>
        <w:rPr>
          <w:b/>
        </w:rPr>
        <w:t xml:space="preserve">The expensive part can happen once. </w:t>
      </w:r>
      <w:r>
        <w:t>Training and distillation may require substantial compute, but deployment can happen millions of times. Spending more compute once can be worthwhile if it sharply reduces the cost of every future inference.</w:t>
      </w:r>
    </w:p>
    <w:p>
      <w:r>
        <w:rPr>
          <w:b/>
        </w:rPr>
        <w:t xml:space="preserve">Small models can run locally. </w:t>
      </w:r>
      <w:r>
        <w:t>A compact CPU model can potentially operate on ordinary laptops, desktops, edge computers, or inexpensive servers without a dedicated GPU.</w:t>
      </w:r>
    </w:p>
    <w:p>
      <w:r>
        <w:rPr>
          <w:b/>
        </w:rPr>
        <w:t xml:space="preserve">Selective escalation avoids an all-or-nothing tradeoff. </w:t>
      </w:r>
      <w:r>
        <w:t>The small model does not need to solve every case. It can handle cases where it is confident and route ambiguous cases to stronger systems or human review.</w:t>
      </w:r>
    </w:p>
    <w:p>
      <w:r>
        <w:rPr>
          <w:b/>
        </w:rPr>
        <w:t xml:space="preserve">Local inference has operational advantages. </w:t>
      </w:r>
      <w:r>
        <w:t>Local processing can reduce network latency, cloud dependence, data transfer, and some privacy exposure.</w:t>
      </w:r>
    </w:p>
    <w:p>
      <w:r>
        <w:rPr>
          <w:b/>
        </w:rPr>
        <w:t xml:space="preserve">The result can be measured objectively. </w:t>
      </w:r>
      <w:r>
        <w:t>The project records quality, model size, RAM usage, latency, throughput, calibration, confusion patterns, and quantization effects rather than relying on subjective impressions.</w:t>
      </w:r>
    </w:p>
    <w:p>
      <w:pPr>
        <w:pStyle w:val="Heading1"/>
      </w:pPr>
      <w:r>
        <w:t>First Prototype</w:t>
      </w:r>
    </w:p>
    <w:p>
      <w:r>
        <w:t>The first experiment uses the ISIC 2018 / HAM10000 dermoscopic lesion dataset and a compact image classifier. The dataset provides a practical test bed because it is well studied, contains multiple diagnostic classes, and includes lesion identifiers that allow us to prevent the same lesion from leaking into both training and testing.</w:t>
      </w:r>
    </w:p>
    <w:p>
      <w:pPr>
        <w:pStyle w:val="ListBullet"/>
        <w:spacing w:after="60"/>
      </w:pPr>
      <w:r>
        <w:t>Train and tune only on a protected 90% development pool.</w:t>
      </w:r>
    </w:p>
    <w:p>
      <w:pPr>
        <w:pStyle w:val="ListBullet"/>
        <w:spacing w:after="60"/>
      </w:pPr>
      <w:r>
        <w:t>Keep the remaining 10% sealed as a final holdout benchmark.</w:t>
      </w:r>
    </w:p>
    <w:p>
      <w:pPr>
        <w:pStyle w:val="ListBullet"/>
        <w:spacing w:after="60"/>
      </w:pPr>
      <w:r>
        <w:t>Split by lesion identity rather than individual image to reduce data leakage.</w:t>
      </w:r>
    </w:p>
    <w:p>
      <w:pPr>
        <w:pStyle w:val="ListBullet"/>
        <w:spacing w:after="60"/>
      </w:pPr>
      <w:r>
        <w:t>Measure macro F1, balanced accuracy, per-class sensitivity, calibration, confusion patterns, model size, RAM use, and CPU inference latency.</w:t>
      </w:r>
    </w:p>
    <w:p>
      <w:pPr>
        <w:pStyle w:val="ListBullet"/>
        <w:spacing w:after="60"/>
      </w:pPr>
      <w:r>
        <w:t>Export a CPU-friendly ONNX model and test quantization where it does not materially damage quality.</w:t>
      </w:r>
    </w:p>
    <w:p>
      <w:pPr>
        <w:pStyle w:val="ListBullet"/>
        <w:spacing w:after="60"/>
      </w:pPr>
      <w:r>
        <w:t>Track every run and every final prediction so failures can be studied rather than hidden inside a single accuracy number.</w:t>
      </w:r>
    </w:p>
    <w:p>
      <w:pPr>
        <w:pStyle w:val="Heading1"/>
      </w:pPr>
      <w:r>
        <w:t>Research Roadmap</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7365D"/>
            <w:tcMar>
              <w:top w:w="120" w:type="dxa"/>
              <w:start w:w="140" w:type="dxa"/>
              <w:bottom w:w="120" w:type="dxa"/>
              <w:end w:w="140" w:type="dxa"/>
            </w:tcMar>
          </w:tcPr>
          <w:p>
            <w:r>
              <w:rPr>
                <w:b/>
                <w:color w:val="FFFFFF"/>
              </w:rPr>
              <w:t>Phase</w:t>
            </w:r>
          </w:p>
        </w:tc>
        <w:tc>
          <w:tcPr>
            <w:tcW w:type="dxa" w:w="3264"/>
            <w:shd w:fill="17365D"/>
            <w:tcMar>
              <w:top w:w="120" w:type="dxa"/>
              <w:start w:w="140" w:type="dxa"/>
              <w:bottom w:w="120" w:type="dxa"/>
              <w:end w:w="140" w:type="dxa"/>
            </w:tcMar>
          </w:tcPr>
          <w:p>
            <w:r>
              <w:rPr>
                <w:b/>
                <w:color w:val="FFFFFF"/>
              </w:rPr>
              <w:t>Purpose</w:t>
            </w:r>
          </w:p>
        </w:tc>
        <w:tc>
          <w:tcPr>
            <w:tcW w:type="dxa" w:w="3264"/>
            <w:shd w:fill="17365D"/>
            <w:tcMar>
              <w:top w:w="120" w:type="dxa"/>
              <w:start w:w="140" w:type="dxa"/>
              <w:bottom w:w="120" w:type="dxa"/>
              <w:end w:w="140" w:type="dxa"/>
            </w:tcMar>
          </w:tcPr>
          <w:p>
            <w:r>
              <w:rPr>
                <w:b/>
                <w:color w:val="FFFFFF"/>
              </w:rPr>
              <w:t>Question</w:t>
            </w:r>
          </w:p>
        </w:tc>
      </w:tr>
      <w:tr>
        <w:tc>
          <w:tcPr>
            <w:tcW w:type="dxa" w:w="3264"/>
            <w:tcMar>
              <w:top w:w="120" w:type="dxa"/>
              <w:start w:w="140" w:type="dxa"/>
              <w:bottom w:w="120" w:type="dxa"/>
              <w:end w:w="140" w:type="dxa"/>
            </w:tcMar>
          </w:tcPr>
          <w:p>
            <w:r>
              <w:t>1. Tiny baseline</w:t>
            </w:r>
          </w:p>
        </w:tc>
        <w:tc>
          <w:tcPr>
            <w:tcW w:type="dxa" w:w="3264"/>
            <w:tcMar>
              <w:top w:w="120" w:type="dxa"/>
              <w:start w:w="140" w:type="dxa"/>
              <w:bottom w:w="120" w:type="dxa"/>
              <w:end w:w="140" w:type="dxa"/>
            </w:tcMar>
          </w:tcPr>
          <w:p>
            <w:r>
              <w:t>Train a very small model directly from expert labels.</w:t>
            </w:r>
          </w:p>
        </w:tc>
        <w:tc>
          <w:tcPr>
            <w:tcW w:type="dxa" w:w="3264"/>
            <w:tcMar>
              <w:top w:w="120" w:type="dxa"/>
              <w:start w:w="140" w:type="dxa"/>
              <w:bottom w:w="120" w:type="dxa"/>
              <w:end w:w="140" w:type="dxa"/>
            </w:tcMar>
          </w:tcPr>
          <w:p>
            <w:r>
              <w:t>How good can a tiny local model be on its own?</w:t>
            </w:r>
          </w:p>
        </w:tc>
      </w:tr>
      <w:tr>
        <w:tc>
          <w:tcPr>
            <w:tcW w:type="dxa" w:w="3264"/>
            <w:tcMar>
              <w:top w:w="120" w:type="dxa"/>
              <w:start w:w="140" w:type="dxa"/>
              <w:bottom w:w="120" w:type="dxa"/>
              <w:end w:w="140" w:type="dxa"/>
            </w:tcMar>
          </w:tcPr>
          <w:p>
            <w:r>
              <w:t>2. Better lightweight student</w:t>
            </w:r>
          </w:p>
        </w:tc>
        <w:tc>
          <w:tcPr>
            <w:tcW w:type="dxa" w:w="3264"/>
            <w:tcMar>
              <w:top w:w="120" w:type="dxa"/>
              <w:start w:w="140" w:type="dxa"/>
              <w:bottom w:w="120" w:type="dxa"/>
              <w:end w:w="140" w:type="dxa"/>
            </w:tcMar>
          </w:tcPr>
          <w:p>
            <w:r>
              <w:t>Compare a few compact architectures.</w:t>
            </w:r>
          </w:p>
        </w:tc>
        <w:tc>
          <w:tcPr>
            <w:tcW w:type="dxa" w:w="3264"/>
            <w:tcMar>
              <w:top w:w="120" w:type="dxa"/>
              <w:start w:w="140" w:type="dxa"/>
              <w:bottom w:w="120" w:type="dxa"/>
              <w:end w:w="140" w:type="dxa"/>
            </w:tcMar>
          </w:tcPr>
          <w:p>
            <w:r>
              <w:t>Where is the best accuracy/resource tradeoff?</w:t>
            </w:r>
          </w:p>
        </w:tc>
      </w:tr>
      <w:tr>
        <w:tc>
          <w:tcPr>
            <w:tcW w:type="dxa" w:w="3264"/>
            <w:tcMar>
              <w:top w:w="120" w:type="dxa"/>
              <w:start w:w="140" w:type="dxa"/>
              <w:bottom w:w="120" w:type="dxa"/>
              <w:end w:w="140" w:type="dxa"/>
            </w:tcMar>
          </w:tcPr>
          <w:p>
            <w:r>
              <w:t>3. Teacher distillation</w:t>
            </w:r>
          </w:p>
        </w:tc>
        <w:tc>
          <w:tcPr>
            <w:tcW w:type="dxa" w:w="3264"/>
            <w:tcMar>
              <w:top w:w="120" w:type="dxa"/>
              <w:start w:w="140" w:type="dxa"/>
              <w:bottom w:w="120" w:type="dxa"/>
              <w:end w:w="140" w:type="dxa"/>
            </w:tcMar>
          </w:tcPr>
          <w:p>
            <w:r>
              <w:t>Transfer knowledge from a specialist medical model.</w:t>
            </w:r>
          </w:p>
        </w:tc>
        <w:tc>
          <w:tcPr>
            <w:tcW w:type="dxa" w:w="3264"/>
            <w:tcMar>
              <w:top w:w="120" w:type="dxa"/>
              <w:start w:w="140" w:type="dxa"/>
              <w:bottom w:w="120" w:type="dxa"/>
              <w:end w:w="140" w:type="dxa"/>
            </w:tcMar>
          </w:tcPr>
          <w:p>
            <w:r>
              <w:t>Can the same small student retain more quality?</w:t>
            </w:r>
          </w:p>
        </w:tc>
      </w:tr>
      <w:tr>
        <w:tc>
          <w:tcPr>
            <w:tcW w:type="dxa" w:w="3264"/>
            <w:tcMar>
              <w:top w:w="120" w:type="dxa"/>
              <w:start w:w="140" w:type="dxa"/>
              <w:bottom w:w="120" w:type="dxa"/>
              <w:end w:w="140" w:type="dxa"/>
            </w:tcMar>
          </w:tcPr>
          <w:p>
            <w:r>
              <w:t>4. Selective escalation</w:t>
            </w:r>
          </w:p>
        </w:tc>
        <w:tc>
          <w:tcPr>
            <w:tcW w:type="dxa" w:w="3264"/>
            <w:tcMar>
              <w:top w:w="120" w:type="dxa"/>
              <w:start w:w="140" w:type="dxa"/>
              <w:bottom w:w="120" w:type="dxa"/>
              <w:end w:w="140" w:type="dxa"/>
            </w:tcMar>
          </w:tcPr>
          <w:p>
            <w:r>
              <w:t>Use confidence/uncertainty to route hard cases upward.</w:t>
            </w:r>
          </w:p>
        </w:tc>
        <w:tc>
          <w:tcPr>
            <w:tcW w:type="dxa" w:w="3264"/>
            <w:tcMar>
              <w:top w:w="120" w:type="dxa"/>
              <w:start w:w="140" w:type="dxa"/>
              <w:bottom w:w="120" w:type="dxa"/>
              <w:end w:w="140" w:type="dxa"/>
            </w:tcMar>
          </w:tcPr>
          <w:p>
            <w:r>
              <w:t>How much heavyweight inference can be avoided safely?</w:t>
            </w:r>
          </w:p>
        </w:tc>
      </w:tr>
    </w:tbl>
    <w:p>
      <w:pPr>
        <w:pStyle w:val="Heading1"/>
      </w:pPr>
      <w:r>
        <w:t>What Success Would Look Like</w:t>
      </w:r>
    </w:p>
    <w:p>
      <w:r>
        <w:t>Success is not defined as “the smallest model wins.” It is finding a useful point on the quality-versus-cost curve. A successful outcome would demonstrate several of the following:</w:t>
      </w:r>
    </w:p>
    <w:p>
      <w:pPr>
        <w:pStyle w:val="ListBullet"/>
        <w:spacing w:after="60"/>
      </w:pPr>
      <w:r>
        <w:t>A deployable model small enough to run comfortably on ordinary CPU hardware.</w:t>
      </w:r>
    </w:p>
    <w:p>
      <w:pPr>
        <w:pStyle w:val="ListBullet"/>
        <w:spacing w:after="60"/>
      </w:pPr>
      <w:r>
        <w:t>Inference latency low enough for practical local use.</w:t>
      </w:r>
    </w:p>
    <w:p>
      <w:pPr>
        <w:pStyle w:val="ListBullet"/>
        <w:spacing w:after="60"/>
      </w:pPr>
      <w:r>
        <w:t>A major reduction in model size, memory use, or compute relative to the specialist teacher.</w:t>
      </w:r>
    </w:p>
    <w:p>
      <w:pPr>
        <w:pStyle w:val="ListBullet"/>
        <w:spacing w:after="60"/>
      </w:pPr>
      <w:r>
        <w:t>Quality that remains strong enough to justify the resource savings for the intended research task.</w:t>
      </w:r>
    </w:p>
    <w:p>
      <w:pPr>
        <w:pStyle w:val="ListBullet"/>
        <w:spacing w:after="60"/>
      </w:pPr>
      <w:r>
        <w:t>Reliable uncertainty estimates that identify cases that should be escalated rather than confidently misclassified.</w:t>
      </w:r>
    </w:p>
    <w:p>
      <w:pPr>
        <w:pStyle w:val="ListBullet"/>
        <w:spacing w:after="60"/>
      </w:pPr>
      <w:r>
        <w:t>Evidence that distillation improves the tiny student without increasing deployment cost.</w:t>
      </w:r>
    </w:p>
    <w:p>
      <w:pPr>
        <w:pStyle w:val="ListBullet"/>
        <w:spacing w:after="60"/>
      </w:pPr>
      <w:r>
        <w:t>A reproducible experiment showing where the compressed approach works, where it fails, and why.</w:t>
      </w:r>
    </w:p>
    <w:p>
      <w:pPr>
        <w:pStyle w:val="Heading1"/>
      </w:pPr>
      <w:r>
        <w:t>Potential Impact</w:t>
      </w:r>
    </w:p>
    <w:p>
      <w:r>
        <w:t>If the approach works, the broader value is not limited to dermatology. The same pattern could be explored in radiology, pathology, ophthalmology, ultrasound, and other image-based domains where strong specialist models and labelled datasets already exist.</w:t>
      </w:r>
    </w:p>
    <w:p>
      <w:r>
        <w:rPr>
          <w:b/>
        </w:rPr>
        <w:t xml:space="preserve">The larger vision is a tiered medical-AI ecosystem: </w:t>
      </w:r>
      <w:r>
        <w:t>small local models perform inexpensive first-pass analysis, while difficult or uncertain cases are routed to more capable systems. This could make advanced AI assistance more accessible while reducing recurring compute, infrastructure, latency, and data-transfer requirements.</w:t>
      </w:r>
    </w:p>
    <w:p>
      <w:pPr>
        <w:pStyle w:val="Heading1"/>
      </w:pPr>
      <w:r>
        <w:t>Open-Source Foundations and Acknowledgments</w:t>
      </w:r>
    </w:p>
    <w:p>
      <w:r>
        <w:t>TinyDerm Lab is a standalone research project. It is not a fork of, affiliated with, or endorsed by the projects below. We credit the datasets, frameworks, model families, and research tools that make this experiment possible or directly inspire planned phases of the work.</w:t>
      </w:r>
    </w:p>
    <w:p>
      <w:pPr>
        <w:pStyle w:val="ListBullet"/>
      </w:pPr>
      <w:r>
        <w:rPr>
          <w:b/>
        </w:rPr>
        <w:t xml:space="preserve">Hunch (undrgrnd-labs): </w:t>
      </w:r>
      <w:r>
        <w:t>Conceptual inspiration for learning repeated decisions from a stronger teacher using embeddings and lightweight classifiers. Hunch is not required by the initial TinyDerm baseline; a Hunch-style experiment is planned for a later research phase. Apache-2.0. https://github.com/undrgrnd-labs/hunch</w:t>
      </w:r>
    </w:p>
    <w:p>
      <w:pPr>
        <w:pStyle w:val="ListBullet"/>
      </w:pPr>
      <w:r>
        <w:rPr>
          <w:b/>
        </w:rPr>
        <w:t xml:space="preserve">EmbeddingGemma 2 (Google DeepMind): </w:t>
      </w:r>
      <w:r>
        <w:t>Planned experimental multimodal embedding backbone for testing whether a compact classifier can learn useful medical-image decisions from general-purpose embeddings. It is not part of the initial baseline. Apache-2.0. https://huggingface.co/google/embeddinggemma-2</w:t>
      </w:r>
    </w:p>
    <w:p>
      <w:pPr>
        <w:pStyle w:val="ListBullet"/>
      </w:pPr>
      <w:r>
        <w:rPr>
          <w:b/>
        </w:rPr>
        <w:t xml:space="preserve">ISIC / HAM10000: </w:t>
      </w:r>
      <w:r>
        <w:t>The initial research dataset and diagnostic ground truth. TinyDerm will follow the dataset-specific attribution and non-commercial-use requirements that apply to the selected ISIC/HAM10000 release. Key citation: Tschandl, Rosendahl &amp; Kittler, Scientific Data 5, 180161 (2018), doi:10.1038/sdata.2018.161. https://challenge.isic-archive.com/data/</w:t>
      </w:r>
    </w:p>
    <w:p>
      <w:pPr>
        <w:pStyle w:val="ListBullet"/>
      </w:pPr>
      <w:r>
        <w:rPr>
          <w:b/>
        </w:rPr>
        <w:t xml:space="preserve">PyTorch: </w:t>
      </w:r>
      <w:r>
        <w:t>Core deep-learning framework used for local model training and evaluation. PyTorch is community-driven and uses a BSD-style license. https://github.com/pytorch/pytorch</w:t>
      </w:r>
    </w:p>
    <w:p>
      <w:pPr>
        <w:pStyle w:val="ListBullet"/>
      </w:pPr>
      <w:r>
        <w:rPr>
          <w:b/>
        </w:rPr>
        <w:t xml:space="preserve">PyTorch Image Models (timm): </w:t>
      </w:r>
      <w:r>
        <w:t>Provides the MobileNetV3-Small implementation, pretrained image-model tooling, preprocessing conventions, and related lightweight architectures used in the baseline and comparisons. Apache-2.0 for project code; individual pretrained weights may carry additional dataset-related terms. https://github.com/huggingface/pytorch-image-models</w:t>
      </w:r>
    </w:p>
    <w:p>
      <w:pPr>
        <w:pStyle w:val="ListBullet"/>
      </w:pPr>
      <w:r>
        <w:rPr>
          <w:b/>
        </w:rPr>
        <w:t xml:space="preserve">ONNX / ONNX Runtime: </w:t>
      </w:r>
      <w:r>
        <w:t>Used to export and benchmark the deployable CPU model, including local inference and quantization experiments. ONNX Runtime is MIT-licensed. https://github.com/microsoft/onnxruntime</w:t>
      </w:r>
    </w:p>
    <w:p>
      <w:pPr>
        <w:pStyle w:val="ListBullet"/>
      </w:pPr>
      <w:r>
        <w:rPr>
          <w:b/>
        </w:rPr>
        <w:t xml:space="preserve">Streamlit and scientific Python ecosystem: </w:t>
      </w:r>
      <w:r>
        <w:t>The local monitoring portal and experiment analysis rely on open-source tools including Streamlit, scikit-learn, NumPy, pandas, Pillow, Albumentations, PyYAML, Plotly, psutil, and tqdm. Each project remains subject to its own license and attribution requirements.</w:t>
      </w:r>
    </w:p>
    <w:p>
      <w:pPr>
        <w:pStyle w:val="ListBullet"/>
      </w:pPr>
      <w:r>
        <w:rPr>
          <w:b/>
        </w:rPr>
        <w:t xml:space="preserve">Derm Foundation (Google): </w:t>
      </w:r>
      <w:r>
        <w:t>A planned optional specialist-teacher experiment for later distillation work. It is not required for the initial baseline, and any use will follow the model's applicable access and license terms. https://huggingface.co/google/derm-foundation</w:t>
      </w:r>
    </w:p>
    <w:p>
      <w:r>
        <w:t>Third-party names and trademarks belong to their respective owners. TinyDerm Lab will maintain a repository-level acknowledgments and third-party notices file as implementation dependencies are added or changed.</w:t>
      </w:r>
    </w:p>
    <w:p>
      <w:pPr>
        <w:pStyle w:val="Heading1"/>
      </w:pPr>
      <w:r>
        <w:t>Important Boundaries</w:t>
      </w:r>
    </w:p>
    <w:p>
      <w:pPr>
        <w:pStyle w:val="ListBullet"/>
        <w:spacing w:after="60"/>
      </w:pPr>
      <w:r>
        <w:t>This project is a research prototype, not a medical device.</w:t>
      </w:r>
    </w:p>
    <w:p>
      <w:pPr>
        <w:pStyle w:val="ListBullet"/>
        <w:spacing w:after="60"/>
      </w:pPr>
      <w:r>
        <w:t>Results must not be used to diagnose or treat patients.</w:t>
      </w:r>
    </w:p>
    <w:p>
      <w:pPr>
        <w:pStyle w:val="ListBullet"/>
        <w:spacing w:after="60"/>
      </w:pPr>
      <w:r>
        <w:t>Performance on a public benchmark does not establish clinical safety or real-world generalization.</w:t>
      </w:r>
    </w:p>
    <w:p>
      <w:pPr>
        <w:pStyle w:val="ListBullet"/>
        <w:spacing w:after="60"/>
      </w:pPr>
      <w:r>
        <w:t>The final holdout must remain protected from repeated tuning, or the benchmark becomes misleading.</w:t>
      </w:r>
    </w:p>
    <w:p>
      <w:pPr>
        <w:pStyle w:val="ListBullet"/>
        <w:spacing w:after="60"/>
      </w:pPr>
      <w:r>
        <w:t>Fairness, demographic robustness, distribution shift, calibration, and external validation would all require additional study before any clinical deployment discussion.</w:t>
      </w:r>
    </w:p>
    <w:p>
      <w:pPr>
        <w:pStyle w:val="ListBullet"/>
        <w:spacing w:after="60"/>
      </w:pPr>
      <w:r>
        <w:t>Any future clinical use would require appropriate regulatory, privacy, quality-management, and medical-validation processes.</w:t>
      </w:r>
    </w:p>
    <w:p>
      <w:pPr>
        <w:pStyle w:val="Heading1"/>
      </w:pPr>
      <w:r>
        <w:t>Why We Believe This Is Worth Testing</w:t>
      </w:r>
    </w:p>
    <w:p>
      <w:r>
        <w:rPr>
          <w:b/>
        </w:rPr>
        <w:t xml:space="preserve">The project has a favorable asymmetry: </w:t>
      </w:r>
      <w:r>
        <w:t>the prototype can be tested with public data and commodity hardware, while a positive result could point toward a much larger reduction in the recurring cost of medical AI. Even a negative result is useful because the experiment will show exactly where aggressive compression stops preserving the medical signal.</w:t>
      </w:r>
    </w:p>
    <w:p>
      <w:r>
        <w:rPr>
          <w:b/>
        </w:rPr>
        <w:t xml:space="preserve">The goal is evidence, not hype. </w:t>
      </w:r>
      <w:r>
        <w:t>We want to know whether expert medical knowledge that currently requires expensive models can be compressed into a small, fast, local system, how much quality survives that compression, and when larger intelligence is still necessary.</w:t>
      </w:r>
    </w:p>
    <w:p>
      <w:pPr>
        <w:spacing w:before="200"/>
      </w:pPr>
      <w:r>
        <w:rPr>
          <w:b/>
        </w:rPr>
        <w:t xml:space="preserve">Project status: </w:t>
      </w:r>
      <w:r>
        <w:t>Prototype architecture and Codex implementation handoff prepared; initial benchmark implementation is the next step.</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Research prototype only. Not for clinical diagnosis or patient-care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TinyDerm Lab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pPr>
      <w:spacing w:after="240"/>
    </w:pPr>
    <w:rPr>
      <w:rFonts w:ascii="Aptos" w:hAnsi="Aptos" w:eastAsia="Aptos"/>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