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5F"/>
          <w:sz w:val="31"/>
          <w:rFonts w:eastAsia="微软雅黑"/>
        </w:rPr>
        <w:t>国内材料数据库与材料基因工程数据标准 · 学习笔记</w:t>
      </w:r>
    </w:p>
    <w:p>
      <w:pPr>
        <w:spacing w:before="0" w:after="40"/>
        <w:jc w:val="center"/>
      </w:pPr>
      <w:r>
        <w:rPr>
          <w:b/>
          <w:color w:val="2E75B6"/>
          <w:sz w:val="23"/>
          <w:rFonts w:eastAsia="微软雅黑"/>
        </w:rPr>
        <w:t>——北京科技大学团队（尹海清等）代表工作 与 CSTM 数据标准</w:t>
      </w:r>
    </w:p>
    <w:p>
      <w:pPr>
        <w:spacing w:before="0" w:after="160"/>
        <w:jc w:val="center"/>
      </w:pPr>
      <w:r>
        <w:rPr>
          <w:b w:val="0"/>
          <w:color w:val="595959"/>
          <w:sz w:val="18"/>
          <w:rFonts w:eastAsia="微软雅黑"/>
        </w:rPr>
        <w:t>王思远　学习整理　·　2026-06-12</w:t>
      </w:r>
    </w:p>
    <w:p>
      <w:pPr>
        <w:spacing w:after="200"/>
      </w:pPr>
      <w:r>
        <w:rPr>
          <w:sz w:val="21"/>
          <w:rFonts w:eastAsia="微软雅黑"/>
        </w:rPr>
        <w:t>遵照老师指示，重点学习国内材料基因工程领域起步最早的北京科技大学团队、尤其尹海清老师等的代表工作，以及豆包推荐的两份数据标准与国家平台。本笔记侧重“材料学层面的数据是怎么组织的”，并诚实标注未能取到全文之处。请老师指正。</w:t>
      </w:r>
    </w:p>
    <w:p>
      <w:pPr>
        <w:spacing w:before="22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一、尹海清老师与北京科技大学材料数据团队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尹海清教授　</w:t>
      </w:r>
      <w:r>
        <w:rPr>
          <w:sz w:val="21"/>
          <w:rFonts w:eastAsia="微软雅黑"/>
        </w:rPr>
        <w:t>北京科技大学材料学院教授/博导，材料基因工程北京市重点实验室副主任；亚洲材料数据委员会（AMDC）委员兼中方联络人。学术脉络由粉末冶金新技术转向材料科学数据与数据库建设，长期从事材料数据规范与共享。代表方向论文如《材料数据库的开发》（硅酸盐学报，2014）等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关键事实　</w:t>
      </w:r>
      <w:r>
        <w:rPr>
          <w:sz w:val="21"/>
          <w:rFonts w:eastAsia="微软雅黑"/>
        </w:rPr>
        <w:t>尹海清老师是国内首部材料基因工程数据团体标准 T/CSTM 00120-2019《材料基因工程数据通则》的主要起草人之一（北京科技大学为 35 家起草单位之一）。这正是老师所说“数据库工作起步早、做了十多年”的直接体现。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谢建新院士团队　</w:t>
      </w:r>
      <w:r>
        <w:rPr>
          <w:sz w:val="21"/>
          <w:rFonts w:eastAsia="微软雅黑"/>
        </w:rPr>
        <w:t>北京材料基因工程高精尖创新中心（2017 年北京市投资建设，谢建新院士任主任）。团队建有材料基因工程专用数据库 MGEdata、国家材料数据管理与服务平台 NMDMS（见第四节），并发表多篇材料数据/机器学习权威综述。</w:t>
      </w:r>
    </w:p>
    <w:p>
      <w:pPr>
        <w:spacing w:after="80"/>
        <w:ind w:left="170"/>
      </w:pPr>
      <w:r>
        <w:rPr>
          <w:color w:val="BF8F00"/>
          <w:sz w:val="19"/>
          <w:rFonts w:eastAsia="微软雅黑"/>
        </w:rPr>
        <w:t>⚠ 需注意：T/CSTM 00120 数据通则的牵头起草人是上海交通大学汪洪教授；谢建新院士领衔的是北科大高精尖中心与上述数据平台，并不在该标准起草名单内——引用时勿将二者混为一谈。</w:t>
      </w:r>
    </w:p>
    <w:p>
      <w:pPr>
        <w:spacing w:after="80"/>
      </w:pPr>
      <w:r>
        <w:rPr>
          <w:b/>
          <w:color w:val="2E75B6"/>
          <w:sz w:val="20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尹海清主页：</w:t>
      </w:r>
      <w:hyperlink r:id="rId9">
        <w:r>
          <w:rPr>
            <w:rFonts w:eastAsia="微软雅黑"/>
            <w:color w:val="1155CC"/>
            <w:u w:val="single"/>
            <w:sz w:val="17"/>
          </w:rPr>
          <w:t>http://mgekeylab.ustb.edu.cn/kexueyanjiu/gongzuorenyuan/2016-06-12/5.html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高精尖中心：</w:t>
      </w:r>
      <w:hyperlink r:id="rId10">
        <w:r>
          <w:rPr>
            <w:rFonts w:eastAsia="微软雅黑"/>
            <w:color w:val="1155CC"/>
            <w:u w:val="single"/>
            <w:sz w:val="17"/>
          </w:rPr>
          <w:t>http://bjmge.ustb.edu.cn</w:t>
        </w:r>
      </w:hyperlink>
    </w:p>
    <w:p>
      <w:pPr>
        <w:spacing w:before="22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二、T/CSTM 00120-2019《材料基因工程数据通则》——核心数据模型（重点）</w:t>
      </w:r>
    </w:p>
    <w:p>
      <w:pPr>
        <w:spacing w:after="100"/>
      </w:pPr>
      <w:r>
        <w:rPr>
          <w:sz w:val="21"/>
          <w:rFonts w:eastAsia="微软雅黑"/>
        </w:rPr>
        <w:t>中关村材料试验技术联盟 2019 年发布，全球材料基因工程领域首部团体标准。它不规定一张固定字段表，而是给出“一条材料数据必须包含哪些信息”的内容框架，以 FAIR 原则（可发现/可获取/可互操作/可再利用）为纲。其数据组织思想与我们做 CVD 实验数据采集高度同构，最值得照搬：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① 数据分三类　</w:t>
      </w:r>
      <w:r>
        <w:rPr>
          <w:sz w:val="21"/>
          <w:rFonts w:eastAsia="微软雅黑"/>
        </w:rPr>
        <w:t>样品信息（实际样品 / 虚拟样品=计算样品）、源数据（测量或计算产生的未经处理的原始数据）、衍生数据（对源数据分析处理后得到的结果数据）。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② 以“操作”为条目单位　</w:t>
      </w:r>
      <w:r>
        <w:rPr>
          <w:sz w:val="21"/>
          <w:rFonts w:eastAsia="微软雅黑"/>
        </w:rPr>
        <w:t>样品制备 / 表征 / 计算 / 数据处理，每一次操作单独成为一条数据条目——而不是把一炉实验压成一行。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③ 每次操作赋予独立、持久的资源标识　</w:t>
      </w:r>
      <w:r>
        <w:rPr>
          <w:sz w:val="21"/>
          <w:rFonts w:eastAsia="微软雅黑"/>
        </w:rPr>
        <w:t>依据 GB/T 32843《科技资源标识》或 DOI，保证可溯源、可被独立引用。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④ 通过规范化标准词汇表检索、随时组成数据集　</w:t>
      </w:r>
      <w:r>
        <w:rPr>
          <w:sz w:val="21"/>
          <w:rFonts w:eastAsia="微软雅黑"/>
        </w:rPr>
        <w:t>兼顾“单条目独立存在”的专用性与“按标准词表组集”的通用性。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⑤ 面向高通量　</w:t>
      </w:r>
      <w:r>
        <w:rPr>
          <w:sz w:val="21"/>
          <w:rFonts w:eastAsia="微软雅黑"/>
        </w:rPr>
        <w:t>繁琐的元数据可由制备/表征/计算设备在操作过程中由计算机自动生成。</w:t>
      </w:r>
    </w:p>
    <w:p>
      <w:pPr>
        <w:spacing w:after="100"/>
      </w:pPr>
      <w:r>
        <w:rPr>
          <w:sz w:val="21"/>
          <w:rFonts w:eastAsia="微软雅黑"/>
        </w:rPr>
        <w:t>各类数据“必须包含的信息”要素（标准用列举式）：实际样品＝规格名称＋制备方法与条件＋持久标识；源数据＝该次实验的方法/条件/样品标识码＋未处理原始数据＋持久标识；衍生数据＝所用源数据组及分析方法与条件＋结果数据＋持久标识。</w:t>
      </w:r>
    </w:p>
    <w:p>
      <w:pPr>
        <w:spacing w:after="80"/>
        <w:ind w:left="170"/>
      </w:pPr>
      <w:r>
        <w:rPr>
          <w:color w:val="BF8F00"/>
          <w:sz w:val="19"/>
          <w:rFonts w:eastAsia="微软雅黑"/>
        </w:rPr>
        <w:t>⚠ 标准的数据结构主要由正文图 1–图 4 表达（图无法从 PDF 文字层提取），且有意不规定逐条固定字段名——字段级细节留给配套的元数据标准去定义。</w:t>
      </w:r>
    </w:p>
    <w:p>
      <w:pPr>
        <w:spacing w:after="80"/>
      </w:pPr>
      <w:r>
        <w:rPr>
          <w:b/>
          <w:color w:val="2E75B6"/>
          <w:sz w:val="20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通则全文 PDF：</w:t>
      </w:r>
      <w:hyperlink r:id="rId11">
        <w:r>
          <w:rPr>
            <w:rFonts w:eastAsia="微软雅黑"/>
            <w:color w:val="1155CC"/>
            <w:u w:val="single"/>
            <w:sz w:val="17"/>
          </w:rPr>
          <w:t>https://qxb-img-osscache.qixin.com/standards/584b5e7a6ee1c3180a35c2d6bad4fff1.pdf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标准著录页：</w:t>
      </w:r>
      <w:hyperlink r:id="rId12">
        <w:r>
          <w:rPr>
            <w:rFonts w:eastAsia="微软雅黑"/>
            <w:color w:val="1155CC"/>
            <w:u w:val="single"/>
            <w:sz w:val="17"/>
          </w:rPr>
          <w:t>http://www.ttbz.org.cn/StandardManage/Detail/29730/</w:t>
        </w:r>
      </w:hyperlink>
    </w:p>
    <w:p>
      <w:pPr>
        <w:spacing w:before="22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三、配套标准系列 与 2010 元数据规范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CSTM 材料基因工程数据系列　</w:t>
      </w:r>
      <w:r>
        <w:rPr>
          <w:sz w:val="21"/>
          <w:rFonts w:eastAsia="微软雅黑"/>
        </w:rPr>
        <w:t>在通则之上还有三项配套团体标准，构成完整体系：</w:t>
      </w:r>
    </w:p>
    <w:p>
      <w:pPr>
        <w:spacing w:after="40"/>
        <w:ind w:left="340"/>
      </w:pPr>
      <w:r>
        <w:rPr>
          <w:sz w:val="21"/>
          <w:rFonts w:eastAsia="微软雅黑"/>
        </w:rPr>
        <w:t>• T/CSTM 00837-2022《材料基因工程数据 元数据标准化基本原则与方法》——规定元数据的术语、标准化原则、分类与构成、标准化方法，适用于数据采集、数据库存储模板结构、数据汇交与集成。这是对我们做字段表最直接相关的一份。</w:t>
      </w:r>
    </w:p>
    <w:p>
      <w:pPr>
        <w:spacing w:after="40"/>
        <w:ind w:left="340"/>
      </w:pPr>
      <w:r>
        <w:rPr>
          <w:sz w:val="21"/>
          <w:rFonts w:eastAsia="微软雅黑"/>
        </w:rPr>
        <w:t>• T/CSTM 00838-2022《材料基因工程 材料数据标识（MID）》——落地通则反复强调的“独特且持久标识”机制。</w:t>
      </w:r>
    </w:p>
    <w:p>
      <w:pPr>
        <w:spacing w:after="40"/>
        <w:ind w:left="340"/>
      </w:pPr>
      <w:r>
        <w:rPr>
          <w:sz w:val="21"/>
          <w:rFonts w:eastAsia="微软雅黑"/>
        </w:rPr>
        <w:t>• T/CSTM 00839-2022《材料基因工程 术语》——统一术语，即标准化的“受控词表”底座。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2010《材料科学数据元数据内容标准规范》　</w:t>
      </w:r>
      <w:r>
        <w:rPr>
          <w:sz w:val="21"/>
          <w:rFonts w:eastAsia="微软雅黑"/>
        </w:rPr>
        <w:t>国家科技基础条件平台“材料科学数据共享网”（北京科技大学牵头，曲选辉教授负责，联合中科院金属所、西工大等 15 家单位）的元数据标准。这一代国内科学数据平台普遍以都柏林核心（Dublin Core, DC 15 元素：标题/创建者/主题/描述/出版者/贡献者/日期/类型/格式/标识符/来源/语言/关系/覆盖范围/权限）为核心层，再叠加材料领域扩展层（材料类别、化学成分、制备工艺、表征方法与条件、性能参数、数据权属、时空范围）。</w:t>
      </w:r>
    </w:p>
    <w:p>
      <w:pPr>
        <w:spacing w:after="80"/>
        <w:ind w:left="170"/>
      </w:pPr>
      <w:r>
        <w:rPr>
          <w:color w:val="BF8F00"/>
          <w:sz w:val="19"/>
          <w:rFonts w:eastAsia="微软雅黑"/>
        </w:rPr>
        <w:t>⚠ 两份关键文档的逐条字段表本次未能取到全文：① 2010 规范全文挂在 matsec 服务器（当前 502 不可达）；② T/CSTM 00837-2022 全文在付费墙。已不编造字段；建议后续通过 CSTM 官方/冶金工业出版社或服务器恢复后获取——这两份才含字段级元数据清单，是做数据库时最该拿到的。</w:t>
      </w:r>
    </w:p>
    <w:p>
      <w:pPr>
        <w:spacing w:before="22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四、国家平台：matsec / NMDMS / MGEdata 的数据模型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国家材料科学数据共享网（matsec.ustb.edu.cn）　</w:t>
      </w:r>
      <w:r>
        <w:rPr>
          <w:sz w:val="21"/>
          <w:rFonts w:eastAsia="微软雅黑"/>
        </w:rPr>
        <w:t>科技部“十一五”基础条件平台成果，依托北京科技大学，汇聚全国 30+ 单位、60 万+ 条材料数据，是国家材料科学数据共享门户。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NMDMS 国家材料数据管理与服务平台　</w:t>
      </w:r>
      <w:r>
        <w:rPr>
          <w:sz w:val="21"/>
          <w:rFonts w:eastAsia="微软雅黑"/>
        </w:rPr>
        <w:t>北科大高精尖中心建设，国家重点研发计划“材料基因工程关键专项”用它汇交、共享项目数据。其数据模型（发表于 Scientific Data 2022, 9:787）最值得学习：</w:t>
      </w:r>
    </w:p>
    <w:p>
      <w:pPr>
        <w:spacing w:after="40"/>
        <w:ind w:left="340"/>
      </w:pPr>
      <w:r>
        <w:rPr>
          <w:sz w:val="21"/>
          <w:rFonts w:eastAsia="微软雅黑"/>
        </w:rPr>
        <w:t>• “动态容器”半结构化模型：用户用图形界面声明 schema（“属性:类型”表达式，支持嵌套），无需懂数据库即可定义新数据结构。</w:t>
      </w:r>
    </w:p>
    <w:p>
      <w:pPr>
        <w:spacing w:after="40"/>
        <w:ind w:left="340"/>
      </w:pPr>
      <w:r>
        <w:rPr>
          <w:sz w:val="21"/>
          <w:rFonts w:eastAsia="微软雅黑"/>
        </w:rPr>
        <w:t>• 每条数据 = 元数据 + 内容 自描述（DCJSON 文档）。</w:t>
      </w:r>
    </w:p>
    <w:p>
      <w:pPr>
        <w:spacing w:after="40"/>
        <w:ind w:left="340"/>
      </w:pPr>
      <w:r>
        <w:rPr>
          <w:sz w:val="21"/>
          <w:rFonts w:eastAsia="微软雅黑"/>
        </w:rPr>
        <w:t>• 10 种数据类型：基本类型 string / number / image / file / range（区间含允差）/ choice（受控选项）；复合类型 array / table / container（嵌套）/ generator。</w:t>
      </w:r>
    </w:p>
    <w:p>
      <w:pPr>
        <w:spacing w:after="40"/>
        <w:ind w:left="340"/>
      </w:pPr>
      <w:r>
        <w:rPr>
          <w:sz w:val="21"/>
          <w:rFonts w:eastAsia="微软雅黑"/>
        </w:rPr>
        <w:t>• 内置术语词典（lexicon）保证互操作；唯一标识 + DOI 注册落地 FAIR；项目制“评审后发布”工作流（仿学术同行评审）；全文 + 类 SQL + 知识图谱三种检索。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MGEdata 材料基因工程专用数据库　</w:t>
      </w:r>
      <w:r>
        <w:rPr>
          <w:sz w:val="21"/>
          <w:rFonts w:eastAsia="微软雅黑"/>
        </w:rPr>
        <w:t>宿彦京等领衔，76 万+ 条数据。其知识图谱用六类实体组织数据：材料名称、制备/工艺方法、显微组织、测试方法、材料性能、材料应用——这正是“成分–工艺–组织–性能”四要素 + “测试方法/应用”两个上下文实体的实体化表达。</w:t>
      </w:r>
    </w:p>
    <w:p>
      <w:pPr>
        <w:spacing w:after="80"/>
      </w:pPr>
      <w:r>
        <w:rPr>
          <w:b/>
          <w:color w:val="2E75B6"/>
          <w:sz w:val="20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NMDMS 数据模型论文：</w:t>
      </w:r>
      <w:hyperlink r:id="rId13">
        <w:r>
          <w:rPr>
            <w:rFonts w:eastAsia="微软雅黑"/>
            <w:color w:val="1155CC"/>
            <w:u w:val="single"/>
            <w:sz w:val="17"/>
          </w:rPr>
          <w:t>https://www.nature.com/articles/s41597-022-01897-z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中国材料基因工程研究进展(金属学报2020)：</w:t>
      </w:r>
      <w:hyperlink r:id="rId14">
        <w:r>
          <w:rPr>
            <w:rFonts w:eastAsia="微软雅黑"/>
            <w:color w:val="1155CC"/>
            <w:u w:val="single"/>
            <w:sz w:val="17"/>
          </w:rPr>
          <w:t>https://www.ams.org.cn/article/2020/0412-1961/0412-1961-56-10-1313.shtml</w:t>
        </w:r>
      </w:hyperlink>
    </w:p>
    <w:p>
      <w:pPr>
        <w:spacing w:before="22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五、材料学核心数据模型：成分–工艺–组织–性能（CPSP）</w:t>
      </w:r>
    </w:p>
    <w:p>
      <w:pPr>
        <w:spacing w:after="100"/>
      </w:pPr>
      <w:r>
        <w:rPr>
          <w:sz w:val="21"/>
          <w:rFonts w:eastAsia="微软雅黑"/>
        </w:rPr>
        <w:t>国内材料数据界描述一条材料数据的公认主干，是“成分（Composition）→ 工艺（Processing）→ 组织（Structure/Microstructure）→ 性能（Property）”四要素及其关联，再辅以“测试方法”和“应用”两个上下文。尹老师团队偏金属材料，但这套数据组织思想对纳米材料完全适用——我们的 CVD 工艺数据恰好可逐一落位：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9"/>
                <w:rFonts w:eastAsia="微软雅黑"/>
              </w:rPr>
              <w:t>材料数据四要素</w:t>
            </w:r>
          </w:p>
        </w:tc>
        <w:tc>
          <w:tcPr>
            <w:tcW w:type="dxa" w:w="2268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9"/>
                <w:rFonts w:eastAsia="微软雅黑"/>
              </w:rPr>
              <w:t>含义</w:t>
            </w:r>
          </w:p>
        </w:tc>
        <w:tc>
          <w:tcPr>
            <w:tcW w:type="dxa" w:w="4762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9"/>
                <w:rFonts w:eastAsia="微软雅黑"/>
              </w:rPr>
              <w:t>我们 CVD 系统对应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F4E5F"/>
                <w:sz w:val="19"/>
                <w:rFonts w:eastAsia="微软雅黑"/>
              </w:rPr>
              <w:t>成分 Composition</w:t>
            </w:r>
          </w:p>
        </w:tc>
        <w:tc>
          <w:tcPr>
            <w:tcW w:type="dxa" w:w="2268"/>
          </w:tcPr>
          <w:p>
            <w:r>
              <w:rPr>
                <w:sz w:val="19"/>
                <w:rFonts w:eastAsia="微软雅黑"/>
              </w:rPr>
              <w:t>材料的化学组成</w:t>
            </w:r>
          </w:p>
        </w:tc>
        <w:tc>
          <w:tcPr>
            <w:tcW w:type="dxa" w:w="4762"/>
          </w:tcPr>
          <w:p>
            <w:r>
              <w:rPr>
                <w:sz w:val="19"/>
                <w:rFonts w:eastAsia="微软雅黑"/>
              </w:rPr>
              <w:t>前驱体（物种/批号/纯度）、气体种类与比例、盐辅助剂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F4E5F"/>
                <w:sz w:val="19"/>
                <w:rFonts w:eastAsia="微软雅黑"/>
              </w:rPr>
              <w:t>工艺 Processing</w:t>
            </w:r>
          </w:p>
        </w:tc>
        <w:tc>
          <w:tcPr>
            <w:tcW w:type="dxa" w:w="2268"/>
          </w:tcPr>
          <w:p>
            <w:r>
              <w:rPr>
                <w:sz w:val="19"/>
                <w:rFonts w:eastAsia="微软雅黑"/>
              </w:rPr>
              <w:t>制备方法与条件</w:t>
            </w:r>
          </w:p>
        </w:tc>
        <w:tc>
          <w:tcPr>
            <w:tcW w:type="dxa" w:w="4762"/>
          </w:tcPr>
          <w:p>
            <w:r>
              <w:rPr>
                <w:sz w:val="19"/>
                <w:rFonts w:eastAsia="微软雅黑"/>
              </w:rPr>
              <w:t>炉温程序、压力体系、气体流量、降温方式、反应几何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F4E5F"/>
                <w:sz w:val="19"/>
                <w:rFonts w:eastAsia="微软雅黑"/>
              </w:rPr>
              <w:t>组织 Structure</w:t>
            </w:r>
          </w:p>
        </w:tc>
        <w:tc>
          <w:tcPr>
            <w:tcW w:type="dxa" w:w="2268"/>
          </w:tcPr>
          <w:p>
            <w:r>
              <w:rPr>
                <w:sz w:val="19"/>
                <w:rFonts w:eastAsia="微软雅黑"/>
              </w:rPr>
              <w:t>显微结构/形貌</w:t>
            </w:r>
          </w:p>
        </w:tc>
        <w:tc>
          <w:tcPr>
            <w:tcW w:type="dxa" w:w="4762"/>
          </w:tcPr>
          <w:p>
            <w:r>
              <w:rPr>
                <w:sz w:val="19"/>
                <w:rFonts w:eastAsia="微软雅黑"/>
              </w:rPr>
              <w:t>形貌、层数、晶畴尺寸、覆盖率、缺陷、杂质相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F4E5F"/>
                <w:sz w:val="19"/>
                <w:rFonts w:eastAsia="微软雅黑"/>
              </w:rPr>
              <w:t>性能 Property</w:t>
            </w:r>
          </w:p>
        </w:tc>
        <w:tc>
          <w:tcPr>
            <w:tcW w:type="dxa" w:w="2268"/>
          </w:tcPr>
          <w:p>
            <w:r>
              <w:rPr>
                <w:sz w:val="19"/>
                <w:rFonts w:eastAsia="微软雅黑"/>
              </w:rPr>
              <w:t>物理/服役性能</w:t>
            </w:r>
          </w:p>
        </w:tc>
        <w:tc>
          <w:tcPr>
            <w:tcW w:type="dxa" w:w="4762"/>
          </w:tcPr>
          <w:p>
            <w:r>
              <w:rPr>
                <w:sz w:val="19"/>
                <w:rFonts w:eastAsia="微软雅黑"/>
              </w:rPr>
              <w:t>电学、光学等表征结果（附测试方法与条件）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F4E5F"/>
                <w:sz w:val="19"/>
                <w:rFonts w:eastAsia="微软雅黑"/>
              </w:rPr>
              <w:t>（上下文）测试方法</w:t>
            </w:r>
          </w:p>
        </w:tc>
        <w:tc>
          <w:tcPr>
            <w:tcW w:type="dxa" w:w="2268"/>
          </w:tcPr>
          <w:p>
            <w:r>
              <w:rPr>
                <w:sz w:val="19"/>
                <w:rFonts w:eastAsia="微软雅黑"/>
              </w:rPr>
              <w:t>表征仪器与条件</w:t>
            </w:r>
          </w:p>
        </w:tc>
        <w:tc>
          <w:tcPr>
            <w:tcW w:type="dxa" w:w="4762"/>
          </w:tcPr>
          <w:p>
            <w:r>
              <w:rPr>
                <w:sz w:val="19"/>
                <w:rFonts w:eastAsia="微软雅黑"/>
              </w:rPr>
              <w:t>OM/Raman/PL/AFM/SEM + 仪器与参数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F4E5F"/>
                <w:sz w:val="19"/>
                <w:rFonts w:eastAsia="微软雅黑"/>
              </w:rPr>
              <w:t>（上下文）应用</w:t>
            </w:r>
          </w:p>
        </w:tc>
        <w:tc>
          <w:tcPr>
            <w:tcW w:type="dxa" w:w="2268"/>
          </w:tcPr>
          <w:p>
            <w:r>
              <w:rPr>
                <w:sz w:val="19"/>
                <w:rFonts w:eastAsia="微软雅黑"/>
              </w:rPr>
              <w:t>用途场景</w:t>
            </w:r>
          </w:p>
        </w:tc>
        <w:tc>
          <w:tcPr>
            <w:tcW w:type="dxa" w:w="4762"/>
          </w:tcPr>
          <w:p>
            <w:r>
              <w:rPr>
                <w:sz w:val="19"/>
                <w:rFonts w:eastAsia="微软雅黑"/>
              </w:rPr>
              <w:t>器件/研究目标</w:t>
            </w:r>
          </w:p>
        </w:tc>
      </w:tr>
    </w:tbl>
    <w:p>
      <w:pPr>
        <w:spacing w:before="22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六、对我们 CVD 纳米材料 ELN 的启发（材料学角度）</w:t>
      </w:r>
    </w:p>
    <w:p>
      <w:pPr>
        <w:spacing w:after="40"/>
        <w:ind w:left="340"/>
      </w:pPr>
      <w:r>
        <w:rPr>
          <w:sz w:val="21"/>
          <w:rFonts w:eastAsia="微软雅黑"/>
        </w:rPr>
        <w:t>• 数据模型以 CPSP 四要素为主干：把“成分–工艺–组织–性能”做成显式关联，再补“测试方法/应用”上下文（对标 MGEdata 六实体）。我们现有的模块划分可对照这条主干重新检视。</w:t>
      </w:r>
    </w:p>
    <w:p>
      <w:pPr>
        <w:spacing w:after="40"/>
        <w:ind w:left="340"/>
      </w:pPr>
      <w:r>
        <w:rPr>
          <w:sz w:val="21"/>
          <w:rFonts w:eastAsia="微软雅黑"/>
        </w:rPr>
        <w:t>• 采用 CSTM 三类数据划分（样品 / 源数据 / 衍生数据）：CVD 里“一次生长 = 一次操作”，原始数据（热电偶/气体/视频）与派生结果（层数、覆盖率、迁移率）分层存储，并给每次操作一个持久标识——可溯源、可被引用。</w:t>
      </w:r>
    </w:p>
    <w:p>
      <w:pPr>
        <w:spacing w:after="40"/>
        <w:ind w:left="340"/>
      </w:pPr>
      <w:r>
        <w:rPr>
          <w:sz w:val="21"/>
          <w:rFonts w:eastAsia="微软雅黑"/>
        </w:rPr>
        <w:t>• 受控术语词典优先（对标 T/CSTM 00839 术语 + 00837 元数据原则）：对气体、衬底、设备、表征方法等建标准词表，消除同物异名，为“做成行业标准”打底。</w:t>
      </w:r>
    </w:p>
    <w:p>
      <w:pPr>
        <w:spacing w:after="40"/>
        <w:ind w:left="340"/>
      </w:pPr>
      <w:r>
        <w:rPr>
          <w:sz w:val="21"/>
          <w:rFonts w:eastAsia="微软雅黑"/>
        </w:rPr>
        <w:t>• 富类型字段而非纯文本：借鉴 NMDMS 的 range（参数区间/允差）、choice（受控词）、container（嵌套，如多段炉温）、image/file（SEM/Raman 原始文件）——与我们正在做的字段重构方向一致。</w:t>
      </w:r>
    </w:p>
    <w:p>
      <w:pPr>
        <w:spacing w:after="40"/>
        <w:ind w:left="340"/>
      </w:pPr>
      <w:r>
        <w:rPr>
          <w:sz w:val="21"/>
          <w:rFonts w:eastAsia="微软雅黑"/>
        </w:rPr>
        <w:t>• FAIR + 持久标识 + 评审发布工作流：每条记录唯一标识、富元数据自描述、可检索；并设“评审后发布”环节，让 ELN 能沉淀为可共享的标准库。</w:t>
      </w:r>
    </w:p>
    <w:p>
      <w:pPr>
        <w:spacing w:after="40"/>
        <w:ind w:left="340"/>
      </w:pPr>
      <w:r>
        <w:rPr>
          <w:sz w:val="21"/>
          <w:rFonts w:eastAsia="微软雅黑"/>
        </w:rPr>
        <w:t>• 录入即建模：按结构化 CPSP 录入，后续可直接做“工艺参数→形貌/性能”的数据挖掘，而非事后清洗——这正是材料基因工程数据库的核心价值。</w:t>
      </w:r>
    </w:p>
    <w:p>
      <w:pPr>
        <w:spacing w:after="120"/>
      </w:pPr>
      <w:r>
        <w:rPr>
          <w:sz w:val="21"/>
          <w:rFonts w:eastAsia="微软雅黑"/>
        </w:rPr>
        <w:t>总体而言：尹老师团队偏金属材料，但其“以操作为条目、样品/源/衍生分层、持久标识、受控词表、FAIR”的数据组织思想是材料无关的，可直接迁移到 CVD 纳米材料。后续我会以这套思想对照检视并完善现有字段设计。</w:t>
      </w:r>
    </w:p>
    <w:p>
      <w:pPr>
        <w:spacing w:before="22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参考文献与链接</w:t>
      </w:r>
    </w:p>
    <w:p>
      <w:pPr>
        <w:spacing w:after="40"/>
        <w:ind w:left="227"/>
      </w:pPr>
      <w:r>
        <w:rPr>
          <w:sz w:val="18"/>
          <w:rFonts w:eastAsia="微软雅黑"/>
        </w:rPr>
        <w:t xml:space="preserve">· T/CSTM 00120-2019 材料基因工程数据通则（全文PDF）　</w:t>
      </w:r>
      <w:hyperlink r:id="rId11">
        <w:r>
          <w:rPr>
            <w:rFonts w:eastAsia="微软雅黑"/>
            <w:color w:val="1155CC"/>
            <w:u w:val="single"/>
            <w:sz w:val="17"/>
          </w:rPr>
          <w:t>https://qxb-img-osscache.qixin.com/standards/584b5e7a6ee1c3180a35c2d6bad4fff1.pdf</w:t>
        </w:r>
      </w:hyperlink>
    </w:p>
    <w:p>
      <w:pPr>
        <w:spacing w:after="40"/>
        <w:ind w:left="227"/>
      </w:pPr>
      <w:r>
        <w:rPr>
          <w:sz w:val="18"/>
          <w:rFonts w:eastAsia="微软雅黑"/>
        </w:rPr>
        <w:t xml:space="preserve">· 宿彦京等《中国材料基因工程研究进展》金属学报2020,56(10):1313 (DOI:10.11900/0412.1961.2020.00199)　</w:t>
      </w:r>
      <w:hyperlink r:id="rId14">
        <w:r>
          <w:rPr>
            <w:rFonts w:eastAsia="微软雅黑"/>
            <w:color w:val="1155CC"/>
            <w:u w:val="single"/>
            <w:sz w:val="17"/>
          </w:rPr>
          <w:t>https://www.ams.org.cn/article/2020/0412-1961/0412-1961-56-10-1313.shtml</w:t>
        </w:r>
      </w:hyperlink>
    </w:p>
    <w:p>
      <w:pPr>
        <w:spacing w:after="40"/>
        <w:ind w:left="227"/>
      </w:pPr>
      <w:r>
        <w:rPr>
          <w:sz w:val="18"/>
          <w:rFonts w:eastAsia="微软雅黑"/>
        </w:rPr>
        <w:t xml:space="preserve">· 谢建新等《机器学习在材料研发中的应用》金属学报2021,57(11):1343 (DOI:10.11900/0412.1961.2021.00357)　</w:t>
      </w:r>
      <w:hyperlink r:id="rId15">
        <w:r>
          <w:rPr>
            <w:rFonts w:eastAsia="微软雅黑"/>
            <w:color w:val="1155CC"/>
            <w:u w:val="single"/>
            <w:sz w:val="17"/>
          </w:rPr>
          <w:t>https://www.ams.org.cn/CN/10.11900/0412.1961.2021.00357</w:t>
        </w:r>
      </w:hyperlink>
    </w:p>
    <w:p>
      <w:pPr>
        <w:spacing w:after="40"/>
        <w:ind w:left="227"/>
      </w:pPr>
      <w:r>
        <w:rPr>
          <w:sz w:val="18"/>
          <w:rFonts w:eastAsia="微软雅黑"/>
        </w:rPr>
        <w:t xml:space="preserve">· NMDMS 异构材料数据仓库 Scientific Data 2022,9:787 (DOI:10.1038/s41597-022-01897-z)　</w:t>
      </w:r>
      <w:hyperlink r:id="rId13">
        <w:r>
          <w:rPr>
            <w:rFonts w:eastAsia="微软雅黑"/>
            <w:color w:val="1155CC"/>
            <w:u w:val="single"/>
            <w:sz w:val="17"/>
          </w:rPr>
          <w:t>https://www.nature.com/articles/s41597-022-01897-z</w:t>
        </w:r>
      </w:hyperlink>
    </w:p>
    <w:p>
      <w:pPr>
        <w:spacing w:after="40"/>
        <w:ind w:left="227"/>
      </w:pPr>
      <w:r>
        <w:rPr>
          <w:sz w:val="18"/>
          <w:rFonts w:eastAsia="微软雅黑"/>
        </w:rPr>
        <w:t xml:space="preserve">· 国家材料科学数据共享网（北京科技大学）　</w:t>
      </w:r>
      <w:hyperlink r:id="rId16">
        <w:r>
          <w:rPr>
            <w:rFonts w:eastAsia="微软雅黑"/>
            <w:color w:val="1155CC"/>
            <w:u w:val="single"/>
            <w:sz w:val="17"/>
          </w:rPr>
          <w:t>http://matsec.ustb.edu.cn</w:t>
        </w:r>
      </w:hyperlink>
    </w:p>
    <w:p>
      <w:pPr>
        <w:spacing w:after="80"/>
      </w:pPr>
      <w:r>
        <w:rPr>
          <w:color w:val="595959"/>
          <w:sz w:val="17"/>
          <w:rFonts w:eastAsia="微软雅黑"/>
        </w:rPr>
        <w:t>注：以上人物、标准、平台、文献信息均经 2026-06-12 网络核查。2010 元数据规范全文（matsec 服务器 502）与 T/CSTM 00837-2022 全文（付费墙）未取到逐条字段，已如实标注、未编造。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mgekeylab.ustb.edu.cn/kexueyanjiu/gongzuorenyuan/2016-06-12/5.html" TargetMode="External"/><Relationship Id="rId10" Type="http://schemas.openxmlformats.org/officeDocument/2006/relationships/hyperlink" Target="http://bjmge.ustb.edu.cn" TargetMode="External"/><Relationship Id="rId11" Type="http://schemas.openxmlformats.org/officeDocument/2006/relationships/hyperlink" Target="https://qxb-img-osscache.qixin.com/standards/584b5e7a6ee1c3180a35c2d6bad4fff1.pdf" TargetMode="External"/><Relationship Id="rId12" Type="http://schemas.openxmlformats.org/officeDocument/2006/relationships/hyperlink" Target="http://www.ttbz.org.cn/StandardManage/Detail/29730/" TargetMode="External"/><Relationship Id="rId13" Type="http://schemas.openxmlformats.org/officeDocument/2006/relationships/hyperlink" Target="https://www.nature.com/articles/s41597-022-01897-z" TargetMode="External"/><Relationship Id="rId14" Type="http://schemas.openxmlformats.org/officeDocument/2006/relationships/hyperlink" Target="https://www.ams.org.cn/article/2020/0412-1961/0412-1961-56-10-1313.shtml" TargetMode="External"/><Relationship Id="rId15" Type="http://schemas.openxmlformats.org/officeDocument/2006/relationships/hyperlink" Target="https://www.ams.org.cn/CN/10.11900/0412.1961.2021.00357" TargetMode="External"/><Relationship Id="rId16" Type="http://schemas.openxmlformats.org/officeDocument/2006/relationships/hyperlink" Target="http://matsec.ustb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