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5F"/>
          <w:sz w:val="32"/>
          <w:rFonts w:eastAsia="微软雅黑"/>
        </w:rPr>
        <w:t>材料合成数据库与电子实验记录本（ELN）的元数据设计</w:t>
      </w:r>
    </w:p>
    <w:p>
      <w:pPr>
        <w:jc w:val="center"/>
      </w:pPr>
      <w:r>
        <w:rPr>
          <w:color w:val="2E75B6"/>
          <w:sz w:val="24"/>
          <w:rFonts w:eastAsia="微软雅黑"/>
        </w:rPr>
        <w:t>——五个代表性工作的调研与对比</w:t>
      </w:r>
    </w:p>
    <w:p>
      <w:pPr>
        <w:jc w:val="center"/>
      </w:pPr>
      <w:r>
        <w:rPr>
          <w:color w:val="595959"/>
          <w:sz w:val="18"/>
          <w:rFonts w:eastAsia="微软雅黑"/>
        </w:rPr>
        <w:t>王思远　整理　·　2026-06-12</w:t>
      </w:r>
    </w:p>
    <w:p>
      <w:pPr>
        <w:spacing w:after="200"/>
      </w:pPr>
      <w:r>
        <w:rPr>
          <w:sz w:val="21"/>
          <w:rFonts w:eastAsia="微软雅黑"/>
        </w:rPr>
        <w:t>为对照我们正在建设的 CVD 二维材料实验记录系统，我调研了材料/合成领域几个较成熟、且公开了数据模型的数据库与电子实验记录本（ELN），选取 5 个代表性工作。它们各有侧重：NOMAD 是与我们最直接对标的 CVD 合成 schema；宾州州立 2DCC 与我们领域完全相同（二维材料生长）；Citrine GEMD 给出材料数据模型中“计划 vs 实际”的范式；ESCALATE 是化学品批次溯源的范式；openBIS 是成熟的通用 ELN 平台。下面分别给出各自的元数据设计要点、具体字段/类结构示例与链接，便于学习与对比；文末附一张横向对比表。</w:t>
      </w:r>
    </w:p>
    <w:p>
      <w:pPr>
        <w:spacing w:before="200" w:after="60"/>
        <w:pBdr>
          <w:bottom w:val="single" w:sz="6" w:space="2" w:color="2E75B6"/>
        </w:pBdr>
      </w:pPr>
      <w:r>
        <w:rPr>
          <w:b/>
          <w:color w:val="1F4E5F"/>
          <w:sz w:val="25"/>
          <w:rFonts w:eastAsia="微软雅黑"/>
        </w:rPr>
        <w:t>一　NOMAD / FAIRmat（nomad-material-processing）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性质　</w:t>
      </w:r>
      <w:r>
        <w:rPr>
          <w:sz w:val="21"/>
          <w:rFonts w:eastAsia="微软雅黑"/>
        </w:rPr>
        <w:t>德国 FAIRmat（NFDI 国家科研数据基础设施联盟）为 NOMAD 平台开发的开源材料合成 schema 插件（Apache-2.0）。是目前国际上对 CVD / MOVPE 等气相沉积建模最系统的公开 schema，与我们的工作最直接可比。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元数据设计要点　</w:t>
      </w:r>
      <w:r>
        <w:rPr>
          <w:sz w:val="21"/>
          <w:rFonts w:eastAsia="微软雅黑"/>
        </w:rPr>
      </w:r>
    </w:p>
    <w:p>
      <w:pPr>
        <w:spacing w:after="40"/>
        <w:ind w:left="340"/>
      </w:pPr>
      <w:r>
        <w:rPr>
          <w:sz w:val="21"/>
          <w:rFonts w:eastAsia="微软雅黑"/>
        </w:rPr>
        <w:t>• 类层次按“沉积方法”逐层继承：SampleDeposition（抽象）→ VaporDeposition → ChemicalVaporDeposition。</w:t>
      </w:r>
    </w:p>
    <w:p>
      <w:pPr>
        <w:spacing w:after="40"/>
        <w:ind w:left="340"/>
      </w:pPr>
      <w:r>
        <w:rPr>
          <w:sz w:val="21"/>
          <w:rFonts w:eastAsia="微软雅黑"/>
        </w:rPr>
        <w:t>• 每个沉积步骤（VaporDepositionStep / CVDStep）固定拆成三块：① sources 物料源；② environment 腔体环境（ChamberEnvironment，含 gas_flow 气流、pressure 压力、heater 加热器）；③ sample_parameters 样品侧参数（SampleParameters，含 substrate_temperature 衬底温度、growth_rate 生长速率）。这种“源 / 环境 / 样品”三分法很清晰。</w:t>
      </w:r>
    </w:p>
    <w:p>
      <w:pPr>
        <w:spacing w:after="40"/>
        <w:ind w:left="340"/>
      </w:pPr>
      <w:r>
        <w:rPr>
          <w:sz w:val="21"/>
          <w:rFonts w:eastAsia="微软雅黑"/>
        </w:rPr>
        <w:t>• 设定值与实测值显式分离：过程量统一继承抽象类 TimeSeries，自带四个数组——set_value/set_time（设定值及时刻）与 value/time（实测值及时刻）；只填设定值也合法，但为将来接入热电偶/流量计实测留好了位置。温度量（Temperature 类）另带 measurement_type 枚举（Heater thermocouple / Thermocouple / Pyrometer / Assumed），一项就标明“这个温度是热电偶测的还是假定的”。</w:t>
      </w:r>
    </w:p>
    <w:p>
      <w:pPr>
        <w:spacing w:after="40"/>
        <w:ind w:left="340"/>
      </w:pPr>
      <w:r>
        <w:rPr>
          <w:sz w:val="21"/>
          <w:rFonts w:eastAsia="微软雅黑"/>
        </w:rPr>
        <w:t>• 前驱体输送按“源对象”建模而非平铺字段：CVDSource、BubblerSource（鼓泡源，其蒸发器对象 BubblerEvaporator 带 carrier_gas 载气、carrier_push_flow_rate 载气推送流量）、GasCylinderSource（气瓶源）等各为一类。</w:t>
      </w:r>
    </w:p>
    <w:p>
      <w:pPr>
        <w:spacing w:after="40"/>
        <w:ind w:left="340"/>
      </w:pPr>
      <w:r>
        <w:rPr>
          <w:sz w:val="21"/>
          <w:rFonts w:eastAsia="微软雅黑"/>
        </w:rPr>
        <w:t>• 衬底 Substrate 类带 supplier 供应商、supplier_id 供应商编号、information_sheet（供应商证书 PDF）。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最值得借鉴　</w:t>
      </w:r>
      <w:r>
        <w:rPr>
          <w:sz w:val="21"/>
          <w:rFonts w:eastAsia="微软雅黑"/>
        </w:rPr>
        <w:t>“设定值/实测值四数组 + 数值来源枚举”，以及“源 / 环境 / 样品”三分的步骤结构。</w:t>
      </w:r>
    </w:p>
    <w:p>
      <w:pPr>
        <w:spacing w:after="80"/>
      </w:pPr>
      <w:r>
        <w:rPr>
          <w:b/>
          <w:color w:val="2E75B6"/>
          <w:sz w:val="21"/>
          <w:rFonts w:eastAsia="微软雅黑"/>
        </w:rPr>
        <w:t xml:space="preserve">链接　</w:t>
      </w:r>
      <w:r>
        <w:rPr>
          <w:color w:val="595959"/>
          <w:sz w:val="18"/>
          <w:rFonts w:eastAsia="微软雅黑"/>
        </w:rPr>
        <w:t>GitHub：</w:t>
      </w:r>
      <w:hyperlink r:id="rId9">
        <w:r>
          <w:rPr>
            <w:rFonts w:eastAsia="微软雅黑"/>
            <w:color w:val="1155CC"/>
            <w:u w:val="single"/>
            <w:sz w:val="18"/>
          </w:rPr>
          <w:t>https://github.com/FAIRmat-NFDI/nomad-material-processing</w:t>
        </w:r>
      </w:hyperlink>
      <w:r>
        <w:rPr>
          <w:color w:val="595959"/>
          <w:sz w:val="18"/>
        </w:rPr>
        <w:t xml:space="preserve">　|　</w:t>
      </w:r>
      <w:r>
        <w:rPr>
          <w:color w:val="595959"/>
          <w:sz w:val="18"/>
          <w:rFonts w:eastAsia="微软雅黑"/>
        </w:rPr>
        <w:t>schema 说明：</w:t>
      </w:r>
      <w:hyperlink r:id="rId10">
        <w:r>
          <w:rPr>
            <w:rFonts w:eastAsia="微软雅黑"/>
            <w:color w:val="1155CC"/>
            <w:u w:val="single"/>
            <w:sz w:val="18"/>
          </w:rPr>
          <w:t>https://fairmat-nfdi.github.io/nomad-material-processing/explanation/schemas.html</w:t>
        </w:r>
      </w:hyperlink>
    </w:p>
    <w:p>
      <w:pPr>
        <w:spacing w:before="200" w:after="60"/>
        <w:pBdr>
          <w:bottom w:val="single" w:sz="6" w:space="2" w:color="2E75B6"/>
        </w:pBdr>
      </w:pPr>
      <w:r>
        <w:rPr>
          <w:b/>
          <w:color w:val="1F4E5F"/>
          <w:sz w:val="25"/>
          <w:rFonts w:eastAsia="微软雅黑"/>
        </w:rPr>
        <w:t>二　宾州州立大学 2DCC-MIP — LiST 数据库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性质　</w:t>
      </w:r>
      <w:r>
        <w:rPr>
          <w:sz w:val="21"/>
          <w:rFonts w:eastAsia="微软雅黑"/>
        </w:rPr>
        <w:t>美国宾州州立大学“二维晶体联盟”（2D Crystal Consortium，2DCC-MIP），NSF 资助的材料创新平台（合作协议 DMR-2039351）。与我们领域完全相同——专做二维材料的生长与表征。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元数据设计要点　</w:t>
      </w:r>
      <w:r>
        <w:rPr>
          <w:sz w:val="21"/>
          <w:rFonts w:eastAsia="微软雅黑"/>
        </w:rPr>
      </w:r>
    </w:p>
    <w:p>
      <w:pPr>
        <w:spacing w:after="40"/>
        <w:ind w:left="340"/>
      </w:pPr>
      <w:r>
        <w:rPr>
          <w:sz w:val="21"/>
          <w:rFonts w:eastAsia="微软雅黑"/>
        </w:rPr>
        <w:t>• 以“样品全生命周期”为主线：制备、生长配方、合成协议与各类表征数据全部挂到同一样品记录；累计约 18,000+ 块体晶体与薄膜样品。</w:t>
      </w:r>
    </w:p>
    <w:p>
      <w:pPr>
        <w:spacing w:after="40"/>
        <w:ind w:left="340"/>
      </w:pPr>
      <w:r>
        <w:rPr>
          <w:sz w:val="21"/>
          <w:rFonts w:eastAsia="微软雅黑"/>
        </w:rPr>
        <w:t>• 分级访问：内部人员 / 外部用户 / 公众三级；公众可通过公开的元数据浏览器查看归档样品摘要。</w:t>
      </w:r>
    </w:p>
    <w:p>
      <w:pPr>
        <w:spacing w:after="40"/>
        <w:ind w:left="340"/>
      </w:pPr>
      <w:r>
        <w:rPr>
          <w:sz w:val="21"/>
          <w:rFonts w:eastAsia="微软雅黑"/>
        </w:rPr>
        <w:t>• 需要说明：该库未发现公开的字段级 schema 文档——这恰恰是我们的工作可以补位、做成公开标准的空间。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最值得借鉴　</w:t>
      </w:r>
      <w:r>
        <w:rPr>
          <w:sz w:val="21"/>
          <w:rFonts w:eastAsia="微软雅黑"/>
        </w:rPr>
        <w:t>“样品全生命周期”作为数据主线（衬底 → 生长 → 表征 → 发表全部串到同一样品）；以及“公开元数据浏览器 + 分级访问”的开放方式。</w:t>
      </w:r>
    </w:p>
    <w:p>
      <w:pPr>
        <w:spacing w:after="80"/>
      </w:pPr>
      <w:r>
        <w:rPr>
          <w:b/>
          <w:color w:val="2E75B6"/>
          <w:sz w:val="21"/>
          <w:rFonts w:eastAsia="微软雅黑"/>
        </w:rPr>
        <w:t xml:space="preserve">链接　</w:t>
      </w:r>
      <w:r>
        <w:rPr>
          <w:color w:val="595959"/>
          <w:sz w:val="18"/>
          <w:rFonts w:eastAsia="微软雅黑"/>
        </w:rPr>
        <w:t>介绍页：</w:t>
      </w:r>
      <w:hyperlink r:id="rId11">
        <w:r>
          <w:rPr>
            <w:rFonts w:eastAsia="微软雅黑"/>
            <w:color w:val="1155CC"/>
            <w:u w:val="single"/>
            <w:sz w:val="18"/>
          </w:rPr>
          <w:t>https://www.mri.psu.edu/2d-crystal-consortium/user-facilities/data-management-list</w:t>
        </w:r>
      </w:hyperlink>
      <w:r>
        <w:rPr>
          <w:color w:val="595959"/>
          <w:sz w:val="18"/>
        </w:rPr>
        <w:t xml:space="preserve">　|　</w:t>
      </w:r>
      <w:r>
        <w:rPr>
          <w:color w:val="595959"/>
          <w:sz w:val="18"/>
          <w:rFonts w:eastAsia="微软雅黑"/>
        </w:rPr>
        <w:t>公开浏览器：</w:t>
      </w:r>
      <w:hyperlink r:id="rId12">
        <w:r>
          <w:rPr>
            <w:rFonts w:eastAsia="微软雅黑"/>
            <w:color w:val="1155CC"/>
            <w:u w:val="single"/>
            <w:sz w:val="18"/>
          </w:rPr>
          <w:t>https://data.2dccmip.org</w:t>
        </w:r>
      </w:hyperlink>
    </w:p>
    <w:p>
      <w:pPr>
        <w:spacing w:before="200" w:after="60"/>
        <w:pBdr>
          <w:bottom w:val="single" w:sz="6" w:space="2" w:color="2E75B6"/>
        </w:pBdr>
      </w:pPr>
      <w:r>
        <w:rPr>
          <w:b/>
          <w:color w:val="1F4E5F"/>
          <w:sz w:val="25"/>
          <w:rFonts w:eastAsia="微软雅黑"/>
        </w:rPr>
        <w:t>三　Citrine GEMD（材料数据图式）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性质　</w:t>
      </w:r>
      <w:r>
        <w:rPr>
          <w:sz w:val="21"/>
          <w:rFonts w:eastAsia="微软雅黑"/>
        </w:rPr>
        <w:t>材料信息学公司 Citrine Informatics 主导的开源材料数据模型（GEMD = Graphical Expression of Materials Data），被广泛用作“材料-工艺-测量”的通用数据模型。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元数据设计要点　</w:t>
      </w:r>
      <w:r>
        <w:rPr>
          <w:sz w:val="21"/>
          <w:rFonts w:eastAsia="微软雅黑"/>
        </w:rPr>
      </w:r>
    </w:p>
    <w:p>
      <w:pPr>
        <w:spacing w:after="40"/>
        <w:ind w:left="340"/>
      </w:pPr>
      <w:r>
        <w:rPr>
          <w:sz w:val="21"/>
          <w:rFonts w:eastAsia="微软雅黑"/>
        </w:rPr>
        <w:t>• 核心是“计划 vs 实际”二象性：每类对象都成对——ProcessSpec/ProcessRun（工艺）、MaterialSpec/MaterialRun（材料）、IngredientSpec/IngredientRun（配料）、MeasurementSpec/MeasurementRun（测量）。Spec 表示意图/配方，Run 表示某一次实际执行，每个 Run 必须引用唯一的 Spec——天然支持“同一配方跑 N 次”的对比。</w:t>
      </w:r>
    </w:p>
    <w:p>
      <w:pPr>
        <w:spacing w:after="40"/>
        <w:ind w:left="340"/>
      </w:pPr>
      <w:r>
        <w:rPr>
          <w:sz w:val="21"/>
          <w:rFonts w:eastAsia="微软雅黑"/>
        </w:rPr>
        <w:t>• 属性分三类：conditions 条件、parameters 工艺参数、properties 材料属性；并可用 Template 对取值范围（bounds）做约束校验。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最值得借鉴　</w:t>
      </w:r>
      <w:r>
        <w:rPr>
          <w:sz w:val="21"/>
          <w:rFonts w:eastAsia="微软雅黑"/>
        </w:rPr>
        <w:t>Spec / Run 分离——正好对应我们的“配方/装置（一次定义）”与“每炉实验（多次执行）”。</w:t>
      </w:r>
    </w:p>
    <w:p>
      <w:pPr>
        <w:spacing w:after="80"/>
      </w:pPr>
      <w:r>
        <w:rPr>
          <w:b/>
          <w:color w:val="2E75B6"/>
          <w:sz w:val="21"/>
          <w:rFonts w:eastAsia="微软雅黑"/>
        </w:rPr>
        <w:t xml:space="preserve">链接　</w:t>
      </w:r>
      <w:r>
        <w:rPr>
          <w:color w:val="595959"/>
          <w:sz w:val="18"/>
          <w:rFonts w:eastAsia="微软雅黑"/>
        </w:rPr>
        <w:t>文档：</w:t>
      </w:r>
      <w:hyperlink r:id="rId13">
        <w:r>
          <w:rPr>
            <w:rFonts w:eastAsia="微软雅黑"/>
            <w:color w:val="1155CC"/>
            <w:u w:val="single"/>
            <w:sz w:val="18"/>
          </w:rPr>
          <w:t>https://citrineinformatics.github.io/gemd-docs/</w:t>
        </w:r>
      </w:hyperlink>
    </w:p>
    <w:p>
      <w:pPr>
        <w:spacing w:before="200" w:after="60"/>
        <w:pBdr>
          <w:bottom w:val="single" w:sz="6" w:space="2" w:color="2E75B6"/>
        </w:pBdr>
      </w:pPr>
      <w:r>
        <w:rPr>
          <w:b/>
          <w:color w:val="1F4E5F"/>
          <w:sz w:val="25"/>
          <w:rFonts w:eastAsia="微软雅黑"/>
        </w:rPr>
        <w:t>四　ESCALATE（“暗反应”项目 Dark Reactions）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性质　</w:t>
      </w:r>
      <w:r>
        <w:rPr>
          <w:sz w:val="21"/>
          <w:rFonts w:eastAsia="微软雅黑"/>
        </w:rPr>
        <w:t>Haverford College 等开发，用于钙钛矿等材料的高通量/机器人实验数据管理（论文 MRS Communications 9(3):846, 2019）；曾驱动约 4336 次钙钛矿实验。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元数据设计要点　</w:t>
      </w:r>
      <w:r>
        <w:rPr>
          <w:sz w:val="21"/>
          <w:rFonts w:eastAsia="微软雅黑"/>
        </w:rPr>
      </w:r>
    </w:p>
    <w:p>
      <w:pPr>
        <w:spacing w:after="40"/>
        <w:ind w:left="340"/>
      </w:pPr>
      <w:r>
        <w:rPr>
          <w:sz w:val="21"/>
          <w:rFonts w:eastAsia="微软雅黑"/>
        </w:rPr>
        <w:t>• 化学品“身份”与“批次”分离：把“理想化学品（material）”与“实验室实际库存批次（inventory_material，带货号、在库量、有效期、存放位置等）”分成两个实体，实验引用的是具体批次——实现 lot（批次）级溯源。</w:t>
      </w:r>
    </w:p>
    <w:p>
      <w:pPr>
        <w:spacing w:after="40"/>
        <w:ind w:left="340"/>
      </w:pPr>
      <w:r>
        <w:rPr>
          <w:sz w:val="21"/>
          <w:rFonts w:eastAsia="微软雅黑"/>
        </w:rPr>
        <w:t>• 标称值与实际值分离：实验结果（outcome）显式区分 nominal（标称/计划）与 actual（实测）。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最值得借鉴　</w:t>
      </w:r>
      <w:r>
        <w:rPr>
          <w:sz w:val="21"/>
          <w:rFonts w:eastAsia="微软雅黑"/>
        </w:rPr>
        <w:t>“化学品身份 vs 库存批次”分表——正是把前驱体的批号 / 纯度 / 粒径等做成可复用、可溯源的标准做法。</w:t>
      </w:r>
    </w:p>
    <w:p>
      <w:pPr>
        <w:spacing w:after="80"/>
      </w:pPr>
      <w:r>
        <w:rPr>
          <w:b/>
          <w:color w:val="2E75B6"/>
          <w:sz w:val="21"/>
          <w:rFonts w:eastAsia="微软雅黑"/>
        </w:rPr>
        <w:t xml:space="preserve">链接　</w:t>
      </w:r>
      <w:r>
        <w:rPr>
          <w:color w:val="595959"/>
          <w:sz w:val="18"/>
          <w:rFonts w:eastAsia="微软雅黑"/>
        </w:rPr>
        <w:t>论文 DOI：</w:t>
      </w:r>
      <w:hyperlink r:id="rId14">
        <w:r>
          <w:rPr>
            <w:rFonts w:eastAsia="微软雅黑"/>
            <w:color w:val="1155CC"/>
            <w:u w:val="single"/>
            <w:sz w:val="18"/>
          </w:rPr>
          <w:t>https://doi.org/10.1557/mrc.2019.72</w:t>
        </w:r>
      </w:hyperlink>
      <w:r>
        <w:rPr>
          <w:color w:val="595959"/>
          <w:sz w:val="18"/>
        </w:rPr>
        <w:t xml:space="preserve">　|　</w:t>
      </w:r>
      <w:r>
        <w:rPr>
          <w:color w:val="595959"/>
          <w:sz w:val="18"/>
          <w:rFonts w:eastAsia="微软雅黑"/>
        </w:rPr>
        <w:t>代码：</w:t>
      </w:r>
      <w:hyperlink r:id="rId15">
        <w:r>
          <w:rPr>
            <w:rFonts w:eastAsia="微软雅黑"/>
            <w:color w:val="1155CC"/>
            <w:u w:val="single"/>
            <w:sz w:val="18"/>
          </w:rPr>
          <w:t>https://github.com/darkreactions/ESCALATE</w:t>
        </w:r>
      </w:hyperlink>
    </w:p>
    <w:p>
      <w:pPr>
        <w:spacing w:before="200" w:after="60"/>
        <w:pBdr>
          <w:bottom w:val="single" w:sz="6" w:space="2" w:color="2E75B6"/>
        </w:pBdr>
      </w:pPr>
      <w:r>
        <w:rPr>
          <w:b/>
          <w:color w:val="1F4E5F"/>
          <w:sz w:val="25"/>
          <w:rFonts w:eastAsia="微软雅黑"/>
        </w:rPr>
        <w:t>五　openBIS ELN-LIMS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性质　</w:t>
      </w:r>
      <w:r>
        <w:rPr>
          <w:sz w:val="21"/>
          <w:rFonts w:eastAsia="微软雅黑"/>
        </w:rPr>
        <w:t>瑞士苏黎世联邦理工（ETH Zurich）开发的开源电子实验记录本 + 实验室信息管理系统（论文 Bioinformatics 32(4):638, 2016），学术实验室广泛使用。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元数据设计要点　</w:t>
      </w:r>
      <w:r>
        <w:rPr>
          <w:sz w:val="21"/>
          <w:rFonts w:eastAsia="微软雅黑"/>
        </w:rPr>
      </w:r>
    </w:p>
    <w:p>
      <w:pPr>
        <w:spacing w:after="40"/>
        <w:ind w:left="340"/>
      </w:pPr>
      <w:r>
        <w:rPr>
          <w:sz w:val="21"/>
          <w:rFonts w:eastAsia="微软雅黑"/>
        </w:rPr>
        <w:t>• 分层组织：Space（空间）→ Project（项目）→ Experiment/Collection（实验/集合）→ Object（对象，如样品）→ Dataset（数据集）。</w:t>
      </w:r>
    </w:p>
    <w:p>
      <w:pPr>
        <w:spacing w:after="40"/>
        <w:ind w:left="340"/>
      </w:pPr>
      <w:r>
        <w:rPr>
          <w:sz w:val="21"/>
          <w:rFonts w:eastAsia="微软雅黑"/>
        </w:rPr>
        <w:t>• 样品、仪器、化学品、实验方法（protocol）都建成“对象”，彼此用父-子（parent–child）关系连成完整溯源链。</w:t>
      </w:r>
    </w:p>
    <w:p>
      <w:pPr>
        <w:spacing w:after="60"/>
      </w:pPr>
      <w:r>
        <w:rPr>
          <w:b/>
          <w:color w:val="2E75B6"/>
          <w:sz w:val="21"/>
          <w:rFonts w:eastAsia="微软雅黑"/>
        </w:rPr>
        <w:t xml:space="preserve">最值得借鉴　</w:t>
      </w:r>
      <w:r>
        <w:rPr>
          <w:sz w:val="21"/>
          <w:rFonts w:eastAsia="微软雅黑"/>
        </w:rPr>
        <w:t>把样品 / 仪器 / 化学品 / 方法都做成“可互相引用的对象”，而不是把信息平铺在一张大表里。</w:t>
      </w:r>
    </w:p>
    <w:p>
      <w:pPr>
        <w:spacing w:after="80"/>
      </w:pPr>
      <w:r>
        <w:rPr>
          <w:b/>
          <w:color w:val="2E75B6"/>
          <w:sz w:val="21"/>
          <w:rFonts w:eastAsia="微软雅黑"/>
        </w:rPr>
        <w:t xml:space="preserve">链接　</w:t>
      </w:r>
      <w:r>
        <w:rPr>
          <w:color w:val="595959"/>
          <w:sz w:val="18"/>
          <w:rFonts w:eastAsia="微软雅黑"/>
        </w:rPr>
        <w:t>论文：</w:t>
      </w:r>
      <w:hyperlink r:id="rId16">
        <w:r>
          <w:rPr>
            <w:rFonts w:eastAsia="微软雅黑"/>
            <w:color w:val="1155CC"/>
            <w:u w:val="single"/>
            <w:sz w:val="18"/>
          </w:rPr>
          <w:t>https://academic.oup.com/bioinformatics/article/32/4/638/1743839</w:t>
        </w:r>
      </w:hyperlink>
      <w:r>
        <w:rPr>
          <w:color w:val="595959"/>
          <w:sz w:val="18"/>
        </w:rPr>
        <w:t xml:space="preserve">　|　</w:t>
      </w:r>
      <w:r>
        <w:rPr>
          <w:color w:val="595959"/>
          <w:sz w:val="18"/>
          <w:rFonts w:eastAsia="微软雅黑"/>
        </w:rPr>
        <w:t>官网：</w:t>
      </w:r>
      <w:hyperlink r:id="rId17">
        <w:r>
          <w:rPr>
            <w:rFonts w:eastAsia="微软雅黑"/>
            <w:color w:val="1155CC"/>
            <w:u w:val="single"/>
            <w:sz w:val="18"/>
          </w:rPr>
          <w:t>https://openbis.ch</w:t>
        </w:r>
      </w:hyperlink>
      <w:r>
        <w:rPr>
          <w:color w:val="595959"/>
          <w:sz w:val="18"/>
        </w:rPr>
        <w:t xml:space="preserve">　|　</w:t>
      </w:r>
      <w:r>
        <w:rPr>
          <w:color w:val="595959"/>
          <w:sz w:val="18"/>
          <w:rFonts w:eastAsia="微软雅黑"/>
        </w:rPr>
        <w:t>文档：</w:t>
      </w:r>
      <w:hyperlink r:id="rId18">
        <w:r>
          <w:rPr>
            <w:rFonts w:eastAsia="微软雅黑"/>
            <w:color w:val="1155CC"/>
            <w:u w:val="single"/>
            <w:sz w:val="18"/>
          </w:rPr>
          <w:t>https://openbis.readthedocs.io</w:t>
        </w:r>
      </w:hyperlink>
    </w:p>
    <w:p>
      <w:pPr>
        <w:spacing w:before="240" w:after="80"/>
      </w:pPr>
      <w:r>
        <w:rPr>
          <w:b/>
          <w:color w:val="1F4E5F"/>
          <w:sz w:val="26"/>
          <w:rFonts w:eastAsia="微软雅黑"/>
        </w:rPr>
        <w:t>横向对比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474"/>
            <w:shd w:val="clear" w:fill="1F4E5F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/>
              </w:rPr>
              <w:t>系统</w:t>
            </w:r>
          </w:p>
        </w:tc>
        <w:tc>
          <w:tcPr>
            <w:tcW w:type="dxa" w:w="1701"/>
            <w:shd w:val="clear" w:fill="1F4E5F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/>
              </w:rPr>
              <w:t>性质 / 领域</w:t>
            </w:r>
          </w:p>
        </w:tc>
        <w:tc>
          <w:tcPr>
            <w:tcW w:type="dxa" w:w="1928"/>
            <w:shd w:val="clear" w:fill="1F4E5F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/>
              </w:rPr>
              <w:t>数据模型核心思想</w:t>
            </w:r>
          </w:p>
        </w:tc>
        <w:tc>
          <w:tcPr>
            <w:tcW w:type="dxa" w:w="1701"/>
            <w:shd w:val="clear" w:fill="1F4E5F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/>
              </w:rPr>
              <w:t>设定值 vs 实测值</w:t>
            </w:r>
          </w:p>
        </w:tc>
        <w:tc>
          <w:tcPr>
            <w:tcW w:type="dxa" w:w="1928"/>
            <w:shd w:val="clear" w:fill="1F4E5F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/>
              </w:rPr>
              <w:t>化学品 / 批次溯源</w:t>
            </w:r>
          </w:p>
        </w:tc>
        <w:tc>
          <w:tcPr>
            <w:tcW w:type="dxa" w:w="1361"/>
            <w:shd w:val="clear" w:fill="1F4E5F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/>
              </w:rPr>
              <w:t>样品全生命周期</w:t>
            </w:r>
          </w:p>
        </w:tc>
        <w:tc>
          <w:tcPr>
            <w:tcW w:type="dxa" w:w="1474"/>
            <w:shd w:val="clear" w:fill="1F4E5F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/>
              </w:rPr>
              <w:t>开放程度</w:t>
            </w:r>
          </w:p>
        </w:tc>
      </w:tr>
      <w:tr>
        <w:tc>
          <w:tcPr>
            <w:tcW w:type="dxa" w:w="1474"/>
          </w:tcPr>
          <w:p>
            <w:r>
              <w:rPr>
                <w:b/>
                <w:color w:val="1F4E5F"/>
                <w:sz w:val="17"/>
                <w:rFonts w:eastAsia="微软雅黑"/>
              </w:rPr>
              <w:t>NOMAD / FAIRmat</w:t>
            </w:r>
          </w:p>
        </w:tc>
        <w:tc>
          <w:tcPr>
            <w:tcW w:type="dxa" w:w="1701"/>
          </w:tcPr>
          <w:p>
            <w:r>
              <w:rPr>
                <w:sz w:val="17"/>
                <w:rFonts w:eastAsia="微软雅黑"/>
              </w:rPr>
              <w:t>国家级合成 schema（气相沉积）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微软雅黑"/>
              </w:rPr>
              <w:t>按方法继承 + 步骤三分（源/环境/样品）</w:t>
            </w:r>
          </w:p>
        </w:tc>
        <w:tc>
          <w:tcPr>
            <w:tcW w:type="dxa" w:w="1701"/>
          </w:tcPr>
          <w:p>
            <w:r>
              <w:rPr>
                <w:sz w:val="17"/>
                <w:rFonts w:eastAsia="微软雅黑"/>
              </w:rPr>
              <w:t>✔ TimeSeries 四数组 + 来源枚举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微软雅黑"/>
              </w:rPr>
              <w:t>衬底带供应商/证书（侧重化学身份）</w:t>
            </w:r>
          </w:p>
        </w:tc>
        <w:tc>
          <w:tcPr>
            <w:tcW w:type="dxa" w:w="1361"/>
          </w:tcPr>
          <w:p>
            <w:r>
              <w:rPr>
                <w:sz w:val="17"/>
                <w:rFonts w:eastAsia="微软雅黑"/>
              </w:rPr>
              <w:t>以样品/薄膜为中心</w:t>
            </w:r>
          </w:p>
        </w:tc>
        <w:tc>
          <w:tcPr>
            <w:tcW w:type="dxa" w:w="1474"/>
          </w:tcPr>
          <w:p>
            <w:r>
              <w:rPr>
                <w:sz w:val="17"/>
                <w:rFonts w:eastAsia="微软雅黑"/>
              </w:rPr>
              <w:t>开源 Apache-2.0</w:t>
            </w:r>
          </w:p>
        </w:tc>
      </w:tr>
      <w:tr>
        <w:tc>
          <w:tcPr>
            <w:tcW w:type="dxa" w:w="1474"/>
          </w:tcPr>
          <w:p>
            <w:r>
              <w:rPr>
                <w:b/>
                <w:color w:val="1F4E5F"/>
                <w:sz w:val="17"/>
                <w:rFonts w:eastAsia="微软雅黑"/>
              </w:rPr>
              <w:t>宾州州立 2DCC（LiST）</w:t>
            </w:r>
          </w:p>
        </w:tc>
        <w:tc>
          <w:tcPr>
            <w:tcW w:type="dxa" w:w="1701"/>
          </w:tcPr>
          <w:p>
            <w:r>
              <w:rPr>
                <w:sz w:val="17"/>
                <w:rFonts w:eastAsia="微软雅黑"/>
              </w:rPr>
              <w:t>二维材料生长平台（同领域）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微软雅黑"/>
              </w:rPr>
              <w:t>样品全生命周期为主线</w:t>
            </w:r>
          </w:p>
        </w:tc>
        <w:tc>
          <w:tcPr>
            <w:tcW w:type="dxa" w:w="1701"/>
          </w:tcPr>
          <w:p>
            <w:r>
              <w:rPr>
                <w:sz w:val="17"/>
                <w:rFonts w:eastAsia="微软雅黑"/>
              </w:rPr>
              <w:t>未公开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微软雅黑"/>
              </w:rPr>
              <w:t>未见公开字段级设计</w:t>
            </w:r>
          </w:p>
        </w:tc>
        <w:tc>
          <w:tcPr>
            <w:tcW w:type="dxa" w:w="1361"/>
          </w:tcPr>
          <w:p>
            <w:r>
              <w:rPr>
                <w:sz w:val="17"/>
                <w:rFonts w:eastAsia="微软雅黑"/>
              </w:rPr>
              <w:t>✔ 核心理念</w:t>
            </w:r>
          </w:p>
        </w:tc>
        <w:tc>
          <w:tcPr>
            <w:tcW w:type="dxa" w:w="1474"/>
          </w:tcPr>
          <w:p>
            <w:r>
              <w:rPr>
                <w:sz w:val="17"/>
                <w:rFonts w:eastAsia="微软雅黑"/>
              </w:rPr>
              <w:t>数据公开浏览；schema 未公开</w:t>
            </w:r>
          </w:p>
        </w:tc>
      </w:tr>
      <w:tr>
        <w:tc>
          <w:tcPr>
            <w:tcW w:type="dxa" w:w="1474"/>
          </w:tcPr>
          <w:p>
            <w:r>
              <w:rPr>
                <w:b/>
                <w:color w:val="1F4E5F"/>
                <w:sz w:val="17"/>
                <w:rFonts w:eastAsia="微软雅黑"/>
              </w:rPr>
              <w:t>Citrine GEMD</w:t>
            </w:r>
          </w:p>
        </w:tc>
        <w:tc>
          <w:tcPr>
            <w:tcW w:type="dxa" w:w="1701"/>
          </w:tcPr>
          <w:p>
            <w:r>
              <w:rPr>
                <w:sz w:val="17"/>
                <w:rFonts w:eastAsia="微软雅黑"/>
              </w:rPr>
              <w:t>通用材料数据模型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微软雅黑"/>
              </w:rPr>
              <w:t>Spec/Run（计划 vs 实际）二象性</w:t>
            </w:r>
          </w:p>
        </w:tc>
        <w:tc>
          <w:tcPr>
            <w:tcW w:type="dxa" w:w="1701"/>
          </w:tcPr>
          <w:p>
            <w:r>
              <w:rPr>
                <w:sz w:val="17"/>
                <w:rFonts w:eastAsia="微软雅黑"/>
              </w:rPr>
              <w:t>✔ 对象级（Spec=计划 / Run=实际）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微软雅黑"/>
              </w:rPr>
              <w:t>以唯一标识 + 标签表达</w:t>
            </w:r>
          </w:p>
        </w:tc>
        <w:tc>
          <w:tcPr>
            <w:tcW w:type="dxa" w:w="1361"/>
          </w:tcPr>
          <w:p>
            <w:r>
              <w:rPr>
                <w:sz w:val="17"/>
                <w:rFonts w:eastAsia="微软雅黑"/>
              </w:rPr>
              <w:t>材料-工艺-测量图</w:t>
            </w:r>
          </w:p>
        </w:tc>
        <w:tc>
          <w:tcPr>
            <w:tcW w:type="dxa" w:w="1474"/>
          </w:tcPr>
          <w:p>
            <w:r>
              <w:rPr>
                <w:sz w:val="17"/>
                <w:rFonts w:eastAsia="微软雅黑"/>
              </w:rPr>
              <w:t>开源</w:t>
            </w:r>
          </w:p>
        </w:tc>
      </w:tr>
      <w:tr>
        <w:tc>
          <w:tcPr>
            <w:tcW w:type="dxa" w:w="1474"/>
          </w:tcPr>
          <w:p>
            <w:r>
              <w:rPr>
                <w:b/>
                <w:color w:val="1F4E5F"/>
                <w:sz w:val="17"/>
                <w:rFonts w:eastAsia="微软雅黑"/>
              </w:rPr>
              <w:t>ESCALATE</w:t>
            </w:r>
          </w:p>
        </w:tc>
        <w:tc>
          <w:tcPr>
            <w:tcW w:type="dxa" w:w="1701"/>
          </w:tcPr>
          <w:p>
            <w:r>
              <w:rPr>
                <w:sz w:val="17"/>
                <w:rFonts w:eastAsia="微软雅黑"/>
              </w:rPr>
              <w:t>高通量实验数据管理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微软雅黑"/>
              </w:rPr>
              <w:t>定义/实例成对 + 材料/库存分离</w:t>
            </w:r>
          </w:p>
        </w:tc>
        <w:tc>
          <w:tcPr>
            <w:tcW w:type="dxa" w:w="1701"/>
          </w:tcPr>
          <w:p>
            <w:r>
              <w:rPr>
                <w:sz w:val="17"/>
                <w:rFonts w:eastAsia="微软雅黑"/>
              </w:rPr>
              <w:t>✔ nominal / actual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微软雅黑"/>
              </w:rPr>
              <w:t>✔ material vs inventory_material 分表</w:t>
            </w:r>
          </w:p>
        </w:tc>
        <w:tc>
          <w:tcPr>
            <w:tcW w:type="dxa" w:w="1361"/>
          </w:tcPr>
          <w:p>
            <w:r>
              <w:rPr>
                <w:sz w:val="17"/>
                <w:rFonts w:eastAsia="微软雅黑"/>
              </w:rPr>
              <w:t>实验-材料溯源链</w:t>
            </w:r>
          </w:p>
        </w:tc>
        <w:tc>
          <w:tcPr>
            <w:tcW w:type="dxa" w:w="1474"/>
          </w:tcPr>
          <w:p>
            <w:r>
              <w:rPr>
                <w:sz w:val="17"/>
                <w:rFonts w:eastAsia="微软雅黑"/>
              </w:rPr>
              <w:t>开源</w:t>
            </w:r>
          </w:p>
        </w:tc>
      </w:tr>
      <w:tr>
        <w:tc>
          <w:tcPr>
            <w:tcW w:type="dxa" w:w="1474"/>
          </w:tcPr>
          <w:p>
            <w:r>
              <w:rPr>
                <w:b/>
                <w:color w:val="1F4E5F"/>
                <w:sz w:val="17"/>
                <w:rFonts w:eastAsia="微软雅黑"/>
              </w:rPr>
              <w:t>openBIS ELN-LIMS</w:t>
            </w:r>
          </w:p>
        </w:tc>
        <w:tc>
          <w:tcPr>
            <w:tcW w:type="dxa" w:w="1701"/>
          </w:tcPr>
          <w:p>
            <w:r>
              <w:rPr>
                <w:sz w:val="17"/>
                <w:rFonts w:eastAsia="微软雅黑"/>
              </w:rPr>
              <w:t>通用 ELN-LIMS 平台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微软雅黑"/>
              </w:rPr>
              <w:t>对象层级 + 父子溯源图</w:t>
            </w:r>
          </w:p>
        </w:tc>
        <w:tc>
          <w:tcPr>
            <w:tcW w:type="dxa" w:w="1701"/>
          </w:tcPr>
          <w:p>
            <w:r>
              <w:rPr>
                <w:sz w:val="17"/>
                <w:rFonts w:eastAsia="微软雅黑"/>
              </w:rPr>
              <w:t>由模板自定义</w:t>
            </w:r>
          </w:p>
        </w:tc>
        <w:tc>
          <w:tcPr>
            <w:tcW w:type="dxa" w:w="1928"/>
          </w:tcPr>
          <w:p>
            <w:r>
              <w:rPr>
                <w:sz w:val="17"/>
                <w:rFonts w:eastAsia="微软雅黑"/>
              </w:rPr>
              <w:t>化学品作为对象可带批次</w:t>
            </w:r>
          </w:p>
        </w:tc>
        <w:tc>
          <w:tcPr>
            <w:tcW w:type="dxa" w:w="1361"/>
          </w:tcPr>
          <w:p>
            <w:r>
              <w:rPr>
                <w:sz w:val="17"/>
                <w:rFonts w:eastAsia="微软雅黑"/>
              </w:rPr>
              <w:t>✔ 对象溯源链</w:t>
            </w:r>
          </w:p>
        </w:tc>
        <w:tc>
          <w:tcPr>
            <w:tcW w:type="dxa" w:w="1474"/>
          </w:tcPr>
          <w:p>
            <w:r>
              <w:rPr>
                <w:sz w:val="17"/>
                <w:rFonts w:eastAsia="微软雅黑"/>
              </w:rPr>
              <w:t>开源</w:t>
            </w:r>
          </w:p>
        </w:tc>
      </w:tr>
    </w:tbl>
    <w:p>
      <w:pPr>
        <w:spacing w:before="240" w:after="80"/>
      </w:pPr>
      <w:r>
        <w:rPr>
          <w:b/>
          <w:color w:val="1F4E5F"/>
          <w:sz w:val="26"/>
          <w:rFonts w:eastAsia="微软雅黑"/>
        </w:rPr>
        <w:t>几点共性观察</w:t>
      </w:r>
    </w:p>
    <w:p>
      <w:pPr>
        <w:spacing w:after="40"/>
        <w:ind w:left="340"/>
      </w:pPr>
      <w:r>
        <w:rPr>
          <w:sz w:val="21"/>
          <w:rFonts w:eastAsia="微软雅黑"/>
        </w:rPr>
        <w:t>• 几乎都把“实物”（化学品、衬底、仪器）做成可引用的独立对象/批次，而不是把名字平铺在实验表里——纯度、粒径、批号等只录一次、可复用、可溯源。</w:t>
      </w:r>
    </w:p>
    <w:p>
      <w:pPr>
        <w:spacing w:after="40"/>
        <w:ind w:left="340"/>
      </w:pPr>
      <w:r>
        <w:rPr>
          <w:sz w:val="21"/>
          <w:rFonts w:eastAsia="微软雅黑"/>
        </w:rPr>
        <w:t>• 做得好的系统普遍显式区分“设定值/计划”与“实测值/实际”（NOMAD 的四数组、GEMD 的 Spec/Run、ESCALATE 的 nominal/actual）。</w:t>
      </w:r>
    </w:p>
    <w:p>
      <w:pPr>
        <w:spacing w:after="40"/>
        <w:ind w:left="340"/>
      </w:pPr>
      <w:r>
        <w:rPr>
          <w:sz w:val="21"/>
          <w:rFonts w:eastAsia="微软雅黑"/>
        </w:rPr>
        <w:t>• 普遍以“样品（或薄膜）的全生命周期”为数据主线，把生长、表征、后续处理串到同一样品。</w:t>
      </w:r>
    </w:p>
    <w:p>
      <w:pPr>
        <w:spacing w:after="40"/>
        <w:ind w:left="340"/>
      </w:pPr>
      <w:r>
        <w:rPr>
          <w:sz w:val="21"/>
          <w:rFonts w:eastAsia="微软雅黑"/>
        </w:rPr>
        <w:t>• 越是面向“标准/互操作”的系统，越倾向用受控词表 + 取值范围约束（bounds / template），而不是自由文本。</w:t>
      </w:r>
    </w:p>
    <w:p>
      <w:pPr>
        <w:spacing w:before="160"/>
      </w:pPr>
      <w:r>
        <w:rPr>
          <w:color w:val="595959"/>
          <w:sz w:val="17"/>
          <w:rFonts w:eastAsia="微软雅黑"/>
        </w:rPr>
        <w:t>注：以上系统的名称、类/字段结构、样本数与文献信息均经 2026-06-12 网络核查，链接当前可访问。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AIRmat-NFDI/nomad-material-processing" TargetMode="External"/><Relationship Id="rId10" Type="http://schemas.openxmlformats.org/officeDocument/2006/relationships/hyperlink" Target="https://fairmat-nfdi.github.io/nomad-material-processing/explanation/schemas.html" TargetMode="External"/><Relationship Id="rId11" Type="http://schemas.openxmlformats.org/officeDocument/2006/relationships/hyperlink" Target="https://www.mri.psu.edu/2d-crystal-consortium/user-facilities/data-management-list" TargetMode="External"/><Relationship Id="rId12" Type="http://schemas.openxmlformats.org/officeDocument/2006/relationships/hyperlink" Target="https://data.2dccmip.org" TargetMode="External"/><Relationship Id="rId13" Type="http://schemas.openxmlformats.org/officeDocument/2006/relationships/hyperlink" Target="https://citrineinformatics.github.io/gemd-docs/" TargetMode="External"/><Relationship Id="rId14" Type="http://schemas.openxmlformats.org/officeDocument/2006/relationships/hyperlink" Target="https://doi.org/10.1557/mrc.2019.72" TargetMode="External"/><Relationship Id="rId15" Type="http://schemas.openxmlformats.org/officeDocument/2006/relationships/hyperlink" Target="https://github.com/darkreactions/ESCALATE" TargetMode="External"/><Relationship Id="rId16" Type="http://schemas.openxmlformats.org/officeDocument/2006/relationships/hyperlink" Target="https://academic.oup.com/bioinformatics/article/32/4/638/1743839" TargetMode="External"/><Relationship Id="rId17" Type="http://schemas.openxmlformats.org/officeDocument/2006/relationships/hyperlink" Target="https://openbis.ch" TargetMode="External"/><Relationship Id="rId18" Type="http://schemas.openxmlformats.org/officeDocument/2006/relationships/hyperlink" Target="https://openbis.readthedocs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