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7A8B"/>
          <w:sz w:val="18"/>
        </w:rPr>
        <w:t>THG-OPS-PMP-NNN  ·  Planning</w:t>
      </w:r>
    </w:p>
    <w:p>
      <w:r>
        <w:rPr>
          <w:b/>
          <w:color w:val="0F2A4A"/>
          <w:sz w:val="44"/>
        </w:rPr>
        <w:t>Project Management Plan</w:t>
      </w:r>
    </w:p>
    <w:p>
      <w:r>
        <w:rPr>
          <w:i/>
          <w:color w:val="555B66"/>
          <w:sz w:val="21"/>
        </w:rPr>
        <w:t>The integrated master plan describing how the project is executed, monitored, controlled, and closed across all PMBOK knowledge areas and cross-functional departments.</w:t>
      </w:r>
    </w:p>
    <w:p>
      <w:pPr>
        <w:spacing w:before="40" w:after="160"/>
        <w:pBdr>
          <w:bottom w:val="single" w:sz="12" w:color="127A8B"/>
        </w:pBdr>
      </w:pPr>
    </w:p>
    <w:p>
      <w:pPr>
        <w:pStyle w:val="Heading1"/>
      </w:pPr>
      <w:r>
        <w:t>A.  Document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THG-OPS-PMP-NNN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Version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Effective Date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Owner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Project Manager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Approver / Signatory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Project Sponsor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Review Cycle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Classification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Confidential – Internal</w:t>
            </w:r>
          </w:p>
        </w:tc>
      </w:tr>
    </w:tbl>
    <w:p>
      <w:pPr>
        <w:pStyle w:val="Heading1"/>
      </w:pPr>
      <w:r>
        <w:t>B.  Intake Linkage</w:t>
      </w:r>
    </w:p>
    <w:p>
      <w:r>
        <w:rPr>
          <w:i/>
          <w:color w:val="555B66"/>
          <w:sz w:val="21"/>
        </w:rPr>
        <w:t>Links this document to the originating cross-departmental request. Maintains traceability from intake to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Intake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«auto-assigned at intake»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Originating Request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«linked Intake Form ID»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Triggering Department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«primary requesting department»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Lifecycle Phase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Planning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Linked Charter / Workstream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«Project / Program / Workstream reference»</w:t>
            </w:r>
          </w:p>
        </w:tc>
      </w:tr>
    </w:tbl>
    <w:p>
      <w:pPr>
        <w:pStyle w:val="Heading1"/>
      </w:pPr>
      <w:r>
        <w:t>C.  Cross-Functional RACI Footprint</w:t>
      </w:r>
    </w:p>
    <w:p>
      <w:r>
        <w:rPr>
          <w:i/>
          <w:color w:val="555B66"/>
          <w:sz w:val="21"/>
        </w:rPr>
        <w:t>How each department engages with this document. R = Responsible, A = Accountable, C = Consulted, I = Informed. Leave blank if not engaged.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6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Specific Touchpoint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</w:tbl>
    <w:p>
      <w:pPr>
        <w:pStyle w:val="Heading1"/>
      </w:pPr>
      <w:r>
        <w:t>D.  Compliance &amp; Traceability</w:t>
      </w:r>
    </w:p>
    <w:p>
      <w:r>
        <w:rPr>
          <w:i/>
          <w:color w:val="555B66"/>
          <w:sz w:val="21"/>
        </w:rPr>
        <w:t>Regulatory and methodological frames that govern this artifact. Cite specific clauses where they apply.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Frame</w:t>
            </w:r>
          </w:p>
        </w:tc>
        <w:tc>
          <w:tcPr>
            <w:tcW w:type="dxa" w:w="33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Applies To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FDA 21 CFR Part 11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HIPAA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PMBOK 7th Ed.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</w:tbl>
    <w:p>
      <w:pPr>
        <w:pStyle w:val="Heading1"/>
      </w:pPr>
      <w:r>
        <w:t>1.  Project overview</w:t>
      </w:r>
    </w:p>
    <w:p>
      <w:r>
        <w:rPr>
          <w:i w:val="0"/>
          <w:sz w:val="21"/>
        </w:rPr>
        <w:t>Brief recap of purpose, objectives, approved approach (predictive, agile, hybrid), and tailoring rationale per PMBOK 7.</w:t>
      </w:r>
    </w:p>
    <w:p>
      <w:pPr>
        <w:pStyle w:val="Heading1"/>
      </w:pPr>
      <w:r>
        <w:t>2.  Scope management</w:t>
      </w:r>
    </w:p>
    <w:p>
      <w:pPr>
        <w:pStyle w:val="ListBullet"/>
      </w:pPr>
      <w:r>
        <w:rPr>
          <w:sz w:val="21"/>
        </w:rPr>
        <w:t>How scope is defined, validated, and controlled</w:t>
      </w:r>
    </w:p>
    <w:p>
      <w:pPr>
        <w:pStyle w:val="ListBullet"/>
      </w:pPr>
      <w:r>
        <w:rPr>
          <w:sz w:val="21"/>
        </w:rPr>
        <w:t>Reference: Scope Statement, WBS, WBS Dictionary</w:t>
      </w:r>
    </w:p>
    <w:p>
      <w:pPr>
        <w:pStyle w:val="Heading1"/>
      </w:pPr>
      <w:r>
        <w:t>3.  Schedule management</w:t>
      </w:r>
    </w:p>
    <w:p>
      <w:pPr>
        <w:pStyle w:val="ListBullet"/>
      </w:pPr>
      <w:r>
        <w:rPr>
          <w:sz w:val="21"/>
        </w:rPr>
        <w:t>Tool and methodology</w:t>
      </w:r>
    </w:p>
    <w:p>
      <w:pPr>
        <w:pStyle w:val="ListBullet"/>
      </w:pPr>
      <w:r>
        <w:rPr>
          <w:sz w:val="21"/>
        </w:rPr>
        <w:t>How baseline is set and progress measured</w:t>
      </w:r>
    </w:p>
    <w:p>
      <w:pPr>
        <w:pStyle w:val="ListBullet"/>
      </w:pPr>
      <w:r>
        <w:rPr>
          <w:sz w:val="21"/>
        </w:rPr>
        <w:t>Reference: Project Schedule</w:t>
      </w:r>
    </w:p>
    <w:p>
      <w:pPr>
        <w:pStyle w:val="Heading1"/>
      </w:pPr>
      <w:r>
        <w:t>4.  Cost management</w:t>
      </w:r>
    </w:p>
    <w:p>
      <w:pPr>
        <w:pStyle w:val="ListBullet"/>
      </w:pPr>
      <w:r>
        <w:rPr>
          <w:sz w:val="21"/>
        </w:rPr>
        <w:t>Estimating method and baseline</w:t>
      </w:r>
    </w:p>
    <w:p>
      <w:pPr>
        <w:pStyle w:val="ListBullet"/>
      </w:pPr>
      <w:r>
        <w:rPr>
          <w:sz w:val="21"/>
        </w:rPr>
        <w:t>How cost performance is tracked (variance, EVM)</w:t>
      </w:r>
    </w:p>
    <w:p>
      <w:pPr>
        <w:pStyle w:val="ListBullet"/>
      </w:pPr>
      <w:r>
        <w:rPr>
          <w:sz w:val="21"/>
        </w:rPr>
        <w:t>Reference: Budget Estimate</w:t>
      </w:r>
    </w:p>
    <w:p>
      <w:pPr>
        <w:pStyle w:val="Heading1"/>
      </w:pPr>
      <w:r>
        <w:t>5.  Quality management</w:t>
      </w:r>
    </w:p>
    <w:p>
      <w:pPr>
        <w:pStyle w:val="ListBullet"/>
      </w:pPr>
      <w:r>
        <w:rPr>
          <w:sz w:val="21"/>
        </w:rPr>
        <w:t>Standards, review and test cadence</w:t>
      </w:r>
    </w:p>
    <w:p>
      <w:pPr>
        <w:pStyle w:val="ListBullet"/>
      </w:pPr>
      <w:r>
        <w:rPr>
          <w:sz w:val="21"/>
        </w:rPr>
        <w:t>Acceptance criteria sourced from Scope Statement</w:t>
      </w:r>
    </w:p>
    <w:p>
      <w:pPr>
        <w:pStyle w:val="ListBullet"/>
      </w:pPr>
      <w:r>
        <w:rPr>
          <w:sz w:val="21"/>
        </w:rPr>
        <w:t>Reference: Quality Management Plan</w:t>
      </w:r>
    </w:p>
    <w:p>
      <w:pPr>
        <w:pStyle w:val="Heading1"/>
      </w:pPr>
      <w:r>
        <w:t>6.  Resource &amp; team management</w:t>
      </w:r>
    </w:p>
    <w:p>
      <w:pPr>
        <w:pStyle w:val="ListBullet"/>
      </w:pPr>
      <w:r>
        <w:rPr>
          <w:sz w:val="21"/>
        </w:rPr>
        <w:t>Team structure with cross-dept representation</w:t>
      </w:r>
    </w:p>
    <w:p>
      <w:pPr>
        <w:pStyle w:val="ListBullet"/>
      </w:pPr>
      <w:r>
        <w:rPr>
          <w:sz w:val="21"/>
        </w:rPr>
        <w:t>Skills, availability, escalation paths</w:t>
      </w:r>
    </w:p>
    <w:p>
      <w:pPr>
        <w:pStyle w:val="Heading1"/>
      </w:pPr>
      <w:r>
        <w:t>7.  Communications</w:t>
      </w:r>
    </w:p>
    <w:p>
      <w:pPr>
        <w:pStyle w:val="ListBullet"/>
      </w:pPr>
      <w:r>
        <w:rPr>
          <w:sz w:val="21"/>
        </w:rPr>
        <w:t>Cadence, audience, format, channel</w:t>
      </w:r>
    </w:p>
    <w:p>
      <w:pPr>
        <w:pStyle w:val="ListBullet"/>
      </w:pPr>
      <w:r>
        <w:rPr>
          <w:sz w:val="21"/>
        </w:rPr>
        <w:t>Reference: Communications Management Plan</w:t>
      </w:r>
    </w:p>
    <w:p>
      <w:pPr>
        <w:pStyle w:val="Heading1"/>
      </w:pPr>
      <w:r>
        <w:t>8.  Risk management</w:t>
      </w:r>
    </w:p>
    <w:p>
      <w:pPr>
        <w:pStyle w:val="ListBullet"/>
      </w:pPr>
      <w:r>
        <w:rPr>
          <w:sz w:val="21"/>
        </w:rPr>
        <w:t>Identification, scoring, escalation thresholds</w:t>
      </w:r>
    </w:p>
    <w:p>
      <w:pPr>
        <w:pStyle w:val="ListBullet"/>
      </w:pPr>
      <w:r>
        <w:rPr>
          <w:sz w:val="21"/>
        </w:rPr>
        <w:t>Reference: Risk Register &amp; Plan</w:t>
      </w:r>
    </w:p>
    <w:p>
      <w:pPr>
        <w:pStyle w:val="Heading1"/>
      </w:pPr>
      <w:r>
        <w:t>9.  Change management</w:t>
      </w:r>
    </w:p>
    <w:p>
      <w:pPr>
        <w:pStyle w:val="ListBullet"/>
      </w:pPr>
      <w:r>
        <w:rPr>
          <w:sz w:val="21"/>
        </w:rPr>
        <w:t>How change requests are submitted, assessed, approved</w:t>
      </w:r>
    </w:p>
    <w:p>
      <w:pPr>
        <w:pStyle w:val="ListBullet"/>
      </w:pPr>
      <w:r>
        <w:rPr>
          <w:sz w:val="21"/>
        </w:rPr>
        <w:t>Reference: Change Log &amp; Change Request</w:t>
      </w:r>
    </w:p>
    <w:p>
      <w:pPr>
        <w:pStyle w:val="Heading1"/>
      </w:pPr>
      <w:r>
        <w:t>10.  Procurement &amp; vendor management</w:t>
      </w:r>
    </w:p>
    <w:p>
      <w:pPr>
        <w:pStyle w:val="ListBullet"/>
      </w:pPr>
      <w:r>
        <w:rPr>
          <w:sz w:val="21"/>
        </w:rPr>
        <w:t>Vendors engaged, contract types</w:t>
      </w:r>
    </w:p>
    <w:p>
      <w:pPr>
        <w:pStyle w:val="ListBullet"/>
      </w:pPr>
      <w:r>
        <w:rPr>
          <w:sz w:val="21"/>
        </w:rPr>
        <w:t>Finance and Legal touchpoints</w:t>
      </w:r>
    </w:p>
    <w:p>
      <w:pPr>
        <w:pStyle w:val="Heading1"/>
      </w:pPr>
      <w:r>
        <w:t>11.  Stakeholder engagement</w:t>
      </w:r>
    </w:p>
    <w:p>
      <w:pPr>
        <w:pStyle w:val="ListBullet"/>
      </w:pPr>
      <w:r>
        <w:rPr>
          <w:sz w:val="21"/>
        </w:rPr>
        <w:t>Reference: Stakeholder Register</w:t>
      </w:r>
    </w:p>
    <w:p>
      <w:pPr>
        <w:pStyle w:val="ListBullet"/>
      </w:pPr>
      <w:r>
        <w:rPr>
          <w:sz w:val="21"/>
        </w:rPr>
        <w:t>Engagement strategy and cadence</w:t>
      </w:r>
    </w:p>
    <w:p>
      <w:pPr>
        <w:pStyle w:val="Heading1"/>
      </w:pPr>
      <w:r>
        <w:t>12.  Compliance &amp; regulatory approach</w:t>
      </w:r>
    </w:p>
    <w:p>
      <w:pPr>
        <w:pStyle w:val="ListBullet"/>
      </w:pPr>
      <w:r>
        <w:rPr>
          <w:sz w:val="21"/>
        </w:rPr>
        <w:t>Applicable frames (21 CFR Part 11, HIPAA, ISO 13485, GxP)</w:t>
      </w:r>
    </w:p>
    <w:p>
      <w:pPr>
        <w:pStyle w:val="ListBullet"/>
      </w:pPr>
      <w:r>
        <w:rPr>
          <w:sz w:val="21"/>
        </w:rPr>
        <w:t>Evidence trail and audit readiness</w:t>
      </w:r>
    </w:p>
    <w:p>
      <w:pPr>
        <w:pStyle w:val="Heading1"/>
      </w:pPr>
      <w:r>
        <w:t>13.  Performance baselines</w:t>
      </w:r>
    </w:p>
    <w:p>
      <w:r>
        <w:rPr>
          <w:i w:val="0"/>
          <w:sz w:val="21"/>
        </w:rPr>
        <w:t>Scope baseline, schedule baseline, cost baseline. Any change requires Change Request.</w:t>
      </w:r>
    </w:p>
    <w:p>
      <w:pPr>
        <w:pStyle w:val="Heading1"/>
      </w:pPr>
      <w:r>
        <w:t>14.  Lifecycle phase gates</w:t>
      </w:r>
    </w:p>
    <w:p>
      <w:r>
        <w:rPr>
          <w:i w:val="0"/>
          <w:sz w:val="21"/>
        </w:rPr>
        <w:t>Phase gate criteria mapped to PMI process groups: Initiating, Planning, Executing, Monitoring &amp; Controlling, Closing.</w:t>
      </w:r>
    </w:p>
    <w:p>
      <w:pPr>
        <w:pStyle w:val="Heading1"/>
      </w:pPr>
      <w:r>
        <w:t>Z-1.  Handoffs &amp; Downstream Artifacts</w:t>
      </w:r>
    </w:p>
    <w:p>
      <w:r>
        <w:rPr>
          <w:i/>
          <w:color w:val="555B66"/>
          <w:sz w:val="21"/>
        </w:rPr>
        <w:t>Predecessors and successors in the integrated document lifecycle.</w:t>
      </w:r>
    </w:p>
    <w:p>
      <w:pPr>
        <w:pStyle w:val="Heading2"/>
      </w:pPr>
      <w:r>
        <w:t>Receives input from</w:t>
      </w:r>
    </w:p>
    <w:p>
      <w:pPr>
        <w:pStyle w:val="ListBullet"/>
      </w:pPr>
      <w:r>
        <w:rPr>
          <w:sz w:val="21"/>
        </w:rPr>
        <w:t>Project Charter (THG-OPS-CHR-NNN)</w:t>
      </w:r>
    </w:p>
    <w:p>
      <w:pPr>
        <w:pStyle w:val="ListBullet"/>
      </w:pPr>
      <w:r>
        <w:rPr>
          <w:sz w:val="21"/>
        </w:rPr>
        <w:t>Project Scope Statement (THG-OPS-SCP-NNN)</w:t>
      </w:r>
    </w:p>
    <w:p>
      <w:pPr>
        <w:pStyle w:val="ListBullet"/>
      </w:pPr>
      <w:r>
        <w:rPr>
          <w:sz w:val="21"/>
        </w:rPr>
        <w:t>WBS / WBS Dictionary / Schedule / Budget</w:t>
      </w:r>
    </w:p>
    <w:p>
      <w:pPr>
        <w:pStyle w:val="ListBullet"/>
      </w:pPr>
      <w:r>
        <w:rPr>
          <w:sz w:val="21"/>
        </w:rPr>
        <w:t>Risk, Comms, Quality plans</w:t>
      </w:r>
    </w:p>
    <w:p>
      <w:pPr>
        <w:pStyle w:val="Heading2"/>
      </w:pPr>
      <w:r>
        <w:t>Feeds into</w:t>
      </w:r>
    </w:p>
    <w:p>
      <w:pPr>
        <w:pStyle w:val="ListBullet"/>
      </w:pPr>
      <w:r>
        <w:rPr>
          <w:sz w:val="21"/>
        </w:rPr>
        <w:t>Status Reports (THG-OPS-STA-NNN, recurring)</w:t>
      </w:r>
    </w:p>
    <w:p>
      <w:pPr>
        <w:pStyle w:val="ListBullet"/>
      </w:pPr>
      <w:r>
        <w:rPr>
          <w:sz w:val="21"/>
        </w:rPr>
        <w:t>Change Requests (THG-OPS-CHG-NNN, as needed)</w:t>
      </w:r>
    </w:p>
    <w:p>
      <w:pPr>
        <w:pStyle w:val="ListBullet"/>
      </w:pPr>
      <w:r>
        <w:rPr>
          <w:sz w:val="21"/>
        </w:rPr>
        <w:t>Lessons Learned &amp; Closure (THG-OPS-LLN-NNN)</w:t>
      </w:r>
    </w:p>
    <w:p>
      <w:pPr>
        <w:pStyle w:val="Heading1"/>
      </w:pPr>
      <w:r>
        <w:t>Z-2.  Approval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Sponsor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/ Regulatory Lead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Department Head (Primary)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Z-3. 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58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Summary of Change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Initial draft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Approved baseline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 xml:space="preserve">Confidential – Theragen Internal  ·  Controlled Document  ·  Page </w:t>
    </w:r>
    <w:fldSimple w:instr="PAGE">
      <w:r>
        <w:t>1</w:t>
      </w:r>
    </w:fldSimple>
    <w:r>
      <w:rPr>
        <w:color w:val="555B66"/>
        <w:sz w:val="16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/>
          <w:r>
            <w:rPr>
              <w:b/>
              <w:color w:val="0F2A4A"/>
              <w:sz w:val="22"/>
            </w:rPr>
            <w:t>THERAGEN</w:t>
          </w:r>
          <w:r>
            <w:rPr>
              <w:sz w:val="18"/>
            </w:rPr>
            <w:t xml:space="preserve">   |   OPERATIONS / PMO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color w:val="555B66"/>
              <w:sz w:val="18"/>
            </w:rPr>
            <w:t>Integrated Documentation System 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