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7A8B"/>
          <w:sz w:val="18"/>
        </w:rPr>
        <w:t>THG-OPS-COM-NNN  ·  Planning</w:t>
      </w:r>
    </w:p>
    <w:p>
      <w:r>
        <w:rPr>
          <w:b/>
          <w:color w:val="0F2A4A"/>
          <w:sz w:val="44"/>
        </w:rPr>
        <w:t>Communications Management Plan</w:t>
      </w:r>
    </w:p>
    <w:p>
      <w:r>
        <w:rPr>
          <w:i/>
          <w:color w:val="555B66"/>
          <w:sz w:val="21"/>
        </w:rPr>
        <w:t>Defines who needs what information, when, in what format, and through which channel throughout the project — across all departments.</w:t>
      </w:r>
    </w:p>
    <w:p>
      <w:pPr>
        <w:spacing w:before="40" w:after="160"/>
        <w:pBdr>
          <w:bottom w:val="single" w:sz="12" w:color="127A8B"/>
        </w:pBdr>
      </w:pPr>
    </w:p>
    <w:p>
      <w:pPr>
        <w:pStyle w:val="Heading1"/>
      </w:pPr>
      <w:r>
        <w:t>A.  Document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THG-OPS-COM-NNN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Version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Status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Effective Date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YYYY-MM-DD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Owner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Project Manager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Approver / Signatory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Project Sponsor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Review Cycle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Classification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Confidential – Internal</w:t>
            </w:r>
          </w:p>
        </w:tc>
      </w:tr>
    </w:tbl>
    <w:p>
      <w:pPr>
        <w:pStyle w:val="Heading1"/>
      </w:pPr>
      <w:r>
        <w:t>B.  Intake Linkage</w:t>
      </w:r>
    </w:p>
    <w:p>
      <w:r>
        <w:rPr>
          <w:i/>
          <w:color w:val="555B66"/>
          <w:sz w:val="21"/>
        </w:rPr>
        <w:t>Links this document to the originating cross-departmental request. Maintains traceability from intake to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Intake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«auto-assigned at intake»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Originating Request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«linked Intake Form ID»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Triggering Department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«primary requesting department»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Lifecycle Phase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Planning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Linked Charter / Workstream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«Project / Program / Workstream reference»</w:t>
            </w:r>
          </w:p>
        </w:tc>
      </w:tr>
    </w:tbl>
    <w:p>
      <w:pPr>
        <w:pStyle w:val="Heading1"/>
      </w:pPr>
      <w:r>
        <w:t>C.  Cross-Functional RACI Footprint</w:t>
      </w:r>
    </w:p>
    <w:p>
      <w:r>
        <w:rPr>
          <w:i/>
          <w:color w:val="555B66"/>
          <w:sz w:val="21"/>
        </w:rPr>
        <w:t>How each department engages with this document. R = Responsible, A = Accountable, C = Consulted, I = Informed. Leave blank if not engaged.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6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Specific Touchpoint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Clinical / Medical Affairs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Regulatory / Quality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R&amp;D / Engineering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Operations / PMO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Finance / Procurement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Commercial / Marketing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 / Data / Security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People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</w:tbl>
    <w:p>
      <w:pPr>
        <w:pStyle w:val="Heading1"/>
      </w:pPr>
      <w:r>
        <w:t>D.  Compliance &amp; Traceability</w:t>
      </w:r>
    </w:p>
    <w:p>
      <w:r>
        <w:rPr>
          <w:i/>
          <w:color w:val="555B66"/>
          <w:sz w:val="21"/>
        </w:rPr>
        <w:t>Regulatory and methodological frames that govern this artifact. Cite specific clauses where they apply.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Frame</w:t>
            </w:r>
          </w:p>
        </w:tc>
        <w:tc>
          <w:tcPr>
            <w:tcW w:type="dxa" w:w="33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Applies To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FDA 21 CFR Part 11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HIPAA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PMBOK 7th Ed.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</w:tbl>
    <w:p>
      <w:pPr>
        <w:pStyle w:val="Heading1"/>
      </w:pPr>
      <w:r>
        <w:t>1.  Communication objectives</w:t>
      </w:r>
    </w:p>
    <w:p>
      <w:pPr>
        <w:pStyle w:val="ListBullet"/>
      </w:pPr>
      <w:r>
        <w:rPr>
          <w:sz w:val="21"/>
        </w:rPr>
        <w:t>Keep stakeholders informed and engaged across all engaged departments</w:t>
      </w:r>
    </w:p>
    <w:p>
      <w:pPr>
        <w:pStyle w:val="ListBullet"/>
      </w:pPr>
      <w:r>
        <w:rPr>
          <w:sz w:val="21"/>
        </w:rPr>
        <w:t>Surface risks and issues early through a known escalation path</w:t>
      </w:r>
    </w:p>
    <w:p>
      <w:pPr>
        <w:pStyle w:val="ListBullet"/>
      </w:pPr>
      <w:r>
        <w:rPr>
          <w:sz w:val="21"/>
        </w:rPr>
        <w:t>Maintain a clear, auditable trail of decisions</w:t>
      </w:r>
    </w:p>
    <w:p>
      <w:pPr>
        <w:pStyle w:val="Heading1"/>
      </w:pPr>
      <w:r>
        <w:t>2.  Communications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57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58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Information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115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Cadence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«dept»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Report / Email / Meeting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Teams / Email / Dashboard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Weekly / Monthly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«role»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«dept»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Report / Email / Meeting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Teams / Email / Dashboard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Weekly / Monthly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«role»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«dept»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Report / Email / Meeting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Teams / Email / Dashboard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Weekly / Monthly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«role»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«dept»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Report / Email / Meeting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Teams / Email / Dashboard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Weekly / Monthly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«role»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«dept»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Report / Email / Meeting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Teams / Email / Dashboard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Weekly / Monthly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«role»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«dept»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Report / Email / Meeting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Teams / Email / Dashboard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Weekly / Monthly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«role»</w:t>
            </w:r>
          </w:p>
        </w:tc>
      </w:tr>
    </w:tbl>
    <w:p>
      <w:pPr>
        <w:pStyle w:val="Heading1"/>
      </w:pPr>
      <w:r>
        <w:t>3.  Meeting cadence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Meeting</w:t>
            </w:r>
          </w:p>
        </w:tc>
        <w:tc>
          <w:tcPr>
            <w:tcW w:type="dxa" w:w="244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Cadence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Daily standup</w:t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Core team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Daily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15 min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Status review</w:t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Sponsor + leads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Weekly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Steering committee</w:t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Cross-dept exec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Monthly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Sponsor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60 min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Risk &amp; change board</w:t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Risk owners + leads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Bi-weekly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Risk owner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45 min</w:t>
            </w:r>
          </w:p>
        </w:tc>
      </w:tr>
    </w:tbl>
    <w:p>
      <w:pPr>
        <w:pStyle w:val="Heading1"/>
      </w:pPr>
      <w:r>
        <w:t>4.  Escalation path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48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230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Routed to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SLA</w:t>
            </w:r>
          </w:p>
        </w:tc>
      </w:tr>
      <w:tr>
        <w:tc>
          <w:tcPr>
            <w:tcW w:type="dxa" w:w="86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Risk realized or status RED for one cycle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Same day</w:t>
            </w:r>
          </w:p>
        </w:tc>
      </w:tr>
      <w:tr>
        <w:tc>
          <w:tcPr>
            <w:tcW w:type="dxa" w:w="86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Sustained RED or scope/quality material change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Sponsor + dept leads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48 hours</w:t>
            </w:r>
          </w:p>
        </w:tc>
      </w:tr>
      <w:tr>
        <w:tc>
          <w:tcPr>
            <w:tcW w:type="dxa" w:w="86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Regulatory, safety, or strategic impact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Steering committee + COO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24 hours</w:t>
            </w:r>
          </w:p>
        </w:tc>
      </w:tr>
    </w:tbl>
    <w:p>
      <w:pPr>
        <w:pStyle w:val="Heading1"/>
      </w:pPr>
      <w:r>
        <w:t>5.  Tools &amp; repositories</w:t>
      </w:r>
    </w:p>
    <w:p>
      <w:pPr>
        <w:pStyle w:val="ListBullet"/>
      </w:pPr>
      <w:r>
        <w:rPr>
          <w:sz w:val="21"/>
        </w:rPr>
        <w:t>Document repository: PMO SharePoint / Teams</w:t>
      </w:r>
    </w:p>
    <w:p>
      <w:pPr>
        <w:pStyle w:val="ListBullet"/>
      </w:pPr>
      <w:r>
        <w:rPr>
          <w:sz w:val="21"/>
        </w:rPr>
        <w:t>Reporting / dashboard: Power BI (or stated equivalent)</w:t>
      </w:r>
    </w:p>
    <w:p>
      <w:pPr>
        <w:pStyle w:val="ListBullet"/>
      </w:pPr>
      <w:r>
        <w:rPr>
          <w:sz w:val="21"/>
        </w:rPr>
        <w:t>Issue &amp; task tracking: «tool of record»</w:t>
      </w:r>
    </w:p>
    <w:p>
      <w:pPr>
        <w:pStyle w:val="ListBullet"/>
      </w:pPr>
      <w:r>
        <w:rPr>
          <w:sz w:val="21"/>
        </w:rPr>
        <w:t>Validated records: eQMS / eTMF / ERP where applicable</w:t>
      </w:r>
    </w:p>
    <w:p>
      <w:pPr>
        <w:pStyle w:val="Heading1"/>
      </w:pPr>
      <w:r>
        <w:t>Z-1.  Handoffs &amp; Downstream Artifacts</w:t>
      </w:r>
    </w:p>
    <w:p>
      <w:r>
        <w:rPr>
          <w:i/>
          <w:color w:val="555B66"/>
          <w:sz w:val="21"/>
        </w:rPr>
        <w:t>Predecessors and successors in the integrated document lifecycle.</w:t>
      </w:r>
    </w:p>
    <w:p>
      <w:pPr>
        <w:pStyle w:val="Heading2"/>
      </w:pPr>
      <w:r>
        <w:t>Receives input from</w:t>
      </w:r>
    </w:p>
    <w:p>
      <w:pPr>
        <w:pStyle w:val="ListBullet"/>
      </w:pPr>
      <w:r>
        <w:rPr>
          <w:sz w:val="21"/>
        </w:rPr>
        <w:t>Stakeholder Register (THG-OPS-STK-NNN) — audiences and engagement level</w:t>
      </w:r>
    </w:p>
    <w:p>
      <w:pPr>
        <w:pStyle w:val="ListBullet"/>
      </w:pPr>
      <w:r>
        <w:rPr>
          <w:sz w:val="21"/>
        </w:rPr>
        <w:t>Project Management Plan (THG-OPS-PMP-NNN) — governance frame</w:t>
      </w:r>
    </w:p>
    <w:p>
      <w:pPr>
        <w:pStyle w:val="Heading2"/>
      </w:pPr>
      <w:r>
        <w:t>Feeds into</w:t>
      </w:r>
    </w:p>
    <w:p>
      <w:pPr>
        <w:pStyle w:val="ListBullet"/>
      </w:pPr>
      <w:r>
        <w:rPr>
          <w:sz w:val="21"/>
        </w:rPr>
        <w:t>Status Reports (THG-OPS-STA-NNN, recurring)</w:t>
      </w:r>
    </w:p>
    <w:p>
      <w:pPr>
        <w:pStyle w:val="ListBullet"/>
      </w:pPr>
      <w:r>
        <w:rPr>
          <w:sz w:val="21"/>
        </w:rPr>
        <w:t>Change Requests and Risk escalations route through this plan</w:t>
      </w:r>
    </w:p>
    <w:p>
      <w:pPr>
        <w:pStyle w:val="Heading1"/>
      </w:pPr>
      <w:r>
        <w:t>Z-2.  Approval 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4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Sponsor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/ Regulatory Lead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Department Head (Primary)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Z-3.  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58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Summary of Change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Initial draft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Approved baseline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 xml:space="preserve">Confidential – Theragen Internal  ·  Controlled Document  ·  Page </w:t>
    </w:r>
    <w:fldSimple w:instr="PAGE">
      <w:r>
        <w:t>1</w:t>
      </w:r>
    </w:fldSimple>
    <w:r>
      <w:rPr>
        <w:color w:val="555B66"/>
        <w:sz w:val="16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/>
          <w:r>
            <w:rPr>
              <w:b/>
              <w:color w:val="0F2A4A"/>
              <w:sz w:val="22"/>
            </w:rPr>
            <w:t>THERAGEN</w:t>
          </w:r>
          <w:r>
            <w:rPr>
              <w:sz w:val="18"/>
            </w:rPr>
            <w:t xml:space="preserve">   |   OPERATIONS / PMO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color w:val="555B66"/>
              <w:sz w:val="18"/>
            </w:rPr>
            <w:t>Integrated Documentation System 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