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THG-ENT-INT-001  ·  Intake  ·  Triage  ·  Routing</w:t>
      </w:r>
    </w:p>
    <w:p>
      <w:r>
        <w:rPr>
          <w:b/>
          <w:color w:val="0F2A4A"/>
          <w:sz w:val="44"/>
        </w:rPr>
        <w:t>Integrated Cross-Department Intake Form</w:t>
      </w:r>
    </w:p>
    <w:p>
      <w:r>
        <w:rPr>
          <w:i/>
          <w:color w:val="555B66"/>
          <w:sz w:val="21"/>
        </w:rPr>
        <w:t>The unified front door for any request that crosses departmental boundaries — new initiatives, clinical studies, system changes, vendor onboarding, or cross-functional work.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THG-ENT-INT-001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PMO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this IS the intake instrument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Documentation Standardization Initiative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Operations / PMO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Intake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Privacy &amp; Security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(when applicable)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How to use this form</w:t>
      </w:r>
    </w:p>
    <w:p>
      <w:r>
        <w:rPr>
          <w:i w:val="0"/>
          <w:sz w:val="21"/>
        </w:rPr>
        <w:t>Anyone at Theragen may submit a request. Triage reviews submissions within two business days, assigns an Intake ID, and either routes the request to the responsible department, returns it for clarification, or declines it with a documented reason. Every approved submission produces a thread of artifacts that all carry the Intake ID for traceability.</w:t>
      </w:r>
    </w:p>
    <w:p>
      <w:pPr>
        <w:pStyle w:val="ListBullet"/>
      </w:pPr>
      <w:r>
        <w:rPr>
          <w:sz w:val="21"/>
        </w:rPr>
        <w:t>Submit by saving a completed copy in PMO SharePoint → Intake → New Submissions.</w:t>
      </w:r>
    </w:p>
    <w:p>
      <w:pPr>
        <w:pStyle w:val="ListBullet"/>
      </w:pPr>
      <w:r>
        <w:rPr>
          <w:sz w:val="21"/>
        </w:rPr>
        <w:t>Use plain language; do not include patient names or other PHI in this form.</w:t>
      </w:r>
    </w:p>
    <w:p>
      <w:pPr>
        <w:pStyle w:val="ListBullet"/>
      </w:pPr>
      <w:r>
        <w:rPr>
          <w:sz w:val="21"/>
        </w:rPr>
        <w:t>If unsure where a request belongs, submit it anyway — Triage will route.</w:t>
      </w:r>
    </w:p>
    <w:p>
      <w:pPr>
        <w:pStyle w:val="Heading1"/>
      </w:pPr>
      <w:r>
        <w:t>2.  Requester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Submitted by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«Full name»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Role / Title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«Title»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«Choose one of the eight departments»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Manager / Sponsor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«Name»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Submission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Preferred contact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Email / Teams / Phone</w:t>
            </w:r>
          </w:p>
        </w:tc>
      </w:tr>
    </w:tbl>
    <w:p>
      <w:pPr>
        <w:pStyle w:val="Heading1"/>
      </w:pPr>
      <w:r>
        <w:t>3.  Request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Request title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«One-line title»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Request type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/ Initiative   |   Clinical or study request   |   Cross-dept work request   |   System change   |   Vendor / procurement   |   Other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Business problem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«2–4 sentences: what is broken or what opportunity exists»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Desired outcome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«What does success look like»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Strategic linkage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«Which corporate or portfolio objective this supports»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Requested by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  (and reason for the date)</w:t>
            </w:r>
          </w:p>
        </w:tc>
      </w:tr>
    </w:tbl>
    <w:p>
      <w:pPr>
        <w:pStyle w:val="Heading1"/>
      </w:pPr>
      <w:r>
        <w:t>4.  Scope sketch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74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In scope (initial view)</w:t>
            </w:r>
          </w:p>
        </w:tc>
        <w:tc>
          <w:tcPr>
            <w:tcW w:type="dxa" w:w="374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Out of scope (initial view)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Products / services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Sites / geographies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Populations / users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Systems / data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Time window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5.  Cross-department impact (requester's best estimate)</w:t>
      </w:r>
    </w:p>
    <w:p>
      <w:r>
        <w:rPr>
          <w:i/>
          <w:color w:val="555B66"/>
          <w:sz w:val="21"/>
        </w:rPr>
        <w:t>Mark which departments you believe will be engaged. Triage will validate.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Likely role</w:t>
            </w:r>
          </w:p>
        </w:tc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«1–2 sentences»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 / —</w:t>
            </w:r>
          </w:p>
        </w:tc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«1–2 sentences»</w:t>
            </w:r>
          </w:p>
        </w:tc>
      </w:tr>
    </w:tbl>
    <w:p>
      <w:pPr>
        <w:pStyle w:val="Heading1"/>
      </w:pPr>
      <w:r>
        <w:t>6.  Compliance &amp; data screening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Y / 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Will this work touch protected health information (PHI)?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Will this work touch electronic records subject to 21 CFR Part 11?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Will this work involve a clinical study, investigational product, or trial subjects?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Will this work involve patient consent, IRB / ethics, or regulatory submissions?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Will this work change a validated system or its data?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Will this work share data outside Theragen?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Are external vendors, CROs, or partners involved?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Are there contractual or budget thresholds requiring Finance review?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7.  Estimated effort &amp; resources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Estimated effort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Small (&lt; 4 weeks)   |   Medium (1–3 months)   |   Large (3–12 months)   |   Program (&gt;12 months)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Budget envelope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«$0–25k / $25–250k / $250k–1M / &gt;$1M / unknown»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Funding source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«Department budget / capital / grant / unfunded»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Skills needed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«List of departments, roles, vendors»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Known constraints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«deadlines, regulatory windows, dependencies»</w:t>
            </w:r>
          </w:p>
        </w:tc>
      </w:tr>
    </w:tbl>
    <w:p>
      <w:pPr>
        <w:pStyle w:val="Heading1"/>
      </w:pPr>
      <w:r>
        <w:t>8.  Risks &amp; assumptions (initial)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7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Initial severity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R-1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Low / Med / High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R-2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Risk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Low / Med / High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A-1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Assumption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A-2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Assumption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pStyle w:val="Heading1"/>
      </w:pPr>
      <w:r>
        <w:t>9.  Attachments</w:t>
      </w:r>
    </w:p>
    <w:p>
      <w:pPr>
        <w:pStyle w:val="ListBullet"/>
      </w:pPr>
      <w:r>
        <w:rPr>
          <w:sz w:val="21"/>
        </w:rPr>
        <w:t>Strategic plan reference or memo (if available).</w:t>
      </w:r>
    </w:p>
    <w:p>
      <w:pPr>
        <w:pStyle w:val="ListBullet"/>
      </w:pPr>
      <w:r>
        <w:rPr>
          <w:sz w:val="21"/>
        </w:rPr>
        <w:t>Existing analysis, business case, or supporting data.</w:t>
      </w:r>
    </w:p>
    <w:p>
      <w:pPr>
        <w:pStyle w:val="ListBullet"/>
      </w:pPr>
      <w:r>
        <w:rPr>
          <w:sz w:val="21"/>
        </w:rPr>
        <w:t>Prior related artifacts (charters, contracts, system diagrams).</w:t>
      </w:r>
    </w:p>
    <w:p>
      <w:pPr>
        <w:pStyle w:val="ListBullet"/>
      </w:pPr>
      <w:r>
        <w:rPr>
          <w:sz w:val="21"/>
        </w:rPr>
        <w:t>External materials (RFPs, vendor info, regulatory guidance).</w:t>
      </w:r>
    </w:p>
    <w:p>
      <w:pPr>
        <w:pStyle w:val="Heading1"/>
      </w:pPr>
      <w:r>
        <w:t>10.  Triage decision  (PMO use 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 assigned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INT-{YYYY}-{NNNN}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Date triaged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Triaged by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«PMO triage lead»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Primary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«Owning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Secondary departments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«Engaged in C or I»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Compliance flags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FDA 21 CFR Part 11 / HIPAA / GxP / SOC 2 / None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Routing decision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Approved → Charter   |   Approved → Work Order   |   Returned for clarification   |   Declined (reason)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Project ID assigned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THG-{DEPT}-{TYPE}-NNN  (if approved)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«Doc ID once issued»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Notes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«rationale, conditions, watch items»</w:t>
            </w:r>
          </w:p>
        </w:tc>
      </w:tr>
    </w:tbl>
    <w:p>
      <w:pPr>
        <w:pStyle w:val="Heading1"/>
      </w:pPr>
      <w:r>
        <w:t>11.  Downstream artifact tree</w:t>
      </w:r>
    </w:p>
    <w:p>
      <w:r>
        <w:rPr>
          <w:i/>
          <w:color w:val="555B66"/>
          <w:sz w:val="21"/>
        </w:rPr>
        <w:t>On approval, the Intake ID propagates into every artifact created in support of this request. Each artifact's Block B references this Intake ID; each Change Request, Status Report, and Lessons Learned entry references the same.</w:t>
      </w:r>
    </w:p>
    <w:p>
      <w:pPr>
        <w:pStyle w:val="ListBullet"/>
      </w:pPr>
      <w:r>
        <w:rPr>
          <w:sz w:val="21"/>
        </w:rPr>
        <w:t>Charter (THG-{DEPT}-CHR-NNN)</w:t>
      </w:r>
    </w:p>
    <w:p>
      <w:pPr>
        <w:pStyle w:val="ListBullet"/>
      </w:pPr>
      <w:r>
        <w:rPr>
          <w:sz w:val="21"/>
        </w:rPr>
        <w:t>Stakeholder Register, Scope, WBS, WBS Dictionary, Schedule, Budget</w:t>
      </w:r>
    </w:p>
    <w:p>
      <w:pPr>
        <w:pStyle w:val="ListBullet"/>
      </w:pPr>
      <w:r>
        <w:rPr>
          <w:sz w:val="21"/>
        </w:rPr>
        <w:t>Project Management Plan + subsidiary plans (Risk, Comms, Quality)</w:t>
      </w:r>
    </w:p>
    <w:p>
      <w:pPr>
        <w:pStyle w:val="ListBullet"/>
      </w:pPr>
      <w:r>
        <w:rPr>
          <w:sz w:val="21"/>
        </w:rPr>
        <w:t>Change Log, Status Reports (recurring), Lessons Learned (closure)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Theragen Documentation Standards Guide (THG-ENT-STD-001).</w:t>
      </w:r>
    </w:p>
    <w:p>
      <w:pPr>
        <w:pStyle w:val="ListBullet"/>
      </w:pPr>
      <w:r>
        <w:rPr>
          <w:sz w:val="21"/>
        </w:rPr>
        <w:t>Cross-Department RACI Matrix (THG-ENT-RAC-001).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Project Charter (THG-{DEPT}-CHR-NNN).</w:t>
      </w:r>
    </w:p>
    <w:p>
      <w:pPr>
        <w:pStyle w:val="ListBullet"/>
      </w:pPr>
      <w:r>
        <w:rPr>
          <w:sz w:val="21"/>
        </w:rPr>
        <w:t>Intake Log workbook (THG-ENT-INT-LOG.xlsx).</w:t>
      </w:r>
    </w:p>
    <w:p>
      <w:pPr>
        <w:pStyle w:val="ListBullet"/>
      </w:pPr>
      <w:r>
        <w:rPr>
          <w:sz w:val="21"/>
        </w:rPr>
        <w:t>All triggered project artifacts inherit the assigned Intake ID.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Triage Reviewer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 (approval)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Owning Department Lead (acceptance)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ENTERPRISE  ·  INTEGRATED INTAKE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