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7A8B"/>
          <w:sz w:val="18"/>
        </w:rPr>
        <w:t>THG-ENT-SOP-001  ·  Cross-Lifecycle  ·  Governance Procedure</w:t>
      </w:r>
    </w:p>
    <w:p>
      <w:r>
        <w:rPr>
          <w:b/>
          <w:color w:val="0F2A4A"/>
          <w:sz w:val="44"/>
        </w:rPr>
        <w:t>Standard Operating Procedure — Document Control</w:t>
      </w:r>
    </w:p>
    <w:p>
      <w:r>
        <w:rPr>
          <w:i/>
          <w:color w:val="555B66"/>
          <w:sz w:val="21"/>
        </w:rPr>
        <w:t>Establishes how every controlled document at Theragen is created, reviewed, approved, versioned, periodically reviewed, and retired. Aligned to ISO 13485 §4.2.4 and 21 CFR Part 11 §11.10(k).</w:t>
      </w:r>
    </w:p>
    <w:p>
      <w:pPr>
        <w:spacing w:before="40" w:after="160"/>
        <w:pBdr>
          <w:bottom w:val="single" w:sz="12" w:color="127A8B"/>
        </w:pBdr>
      </w:pPr>
    </w:p>
    <w:p>
      <w:pPr>
        <w:pStyle w:val="Heading1"/>
      </w:pPr>
      <w:r>
        <w:t>A.  Document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THG-ENT-SOP-001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Version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Effective Date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Owner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Quality / Regulatory Director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Approver / Signatory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Chief Operating Officer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Review Cycle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Classification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Confidential – Internal</w:t>
            </w:r>
          </w:p>
        </w:tc>
      </w:tr>
    </w:tbl>
    <w:p>
      <w:pPr>
        <w:pStyle w:val="Heading1"/>
      </w:pPr>
      <w:r>
        <w:t>B.  Intake Linkage</w:t>
      </w:r>
    </w:p>
    <w:p>
      <w:r>
        <w:rPr>
          <w:i/>
          <w:color w:val="555B66"/>
          <w:sz w:val="21"/>
        </w:rPr>
        <w:t>Links this document to the originating cross-departmental request. Maintains traceability from intake to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Intake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N/A — governing SOP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Originating Request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Documentation Standardization Initiative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Triggering Department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Regulatory / Quality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Lifecycle Phase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N/A — Governance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Linked Charter / Workstream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«Project / Program / Workstream reference»</w:t>
            </w:r>
          </w:p>
        </w:tc>
      </w:tr>
    </w:tbl>
    <w:p>
      <w:pPr>
        <w:pStyle w:val="Heading1"/>
      </w:pPr>
      <w:r>
        <w:t>C.  Cross-Functional RACI Footprint</w:t>
      </w:r>
    </w:p>
    <w:p>
      <w:r>
        <w:rPr>
          <w:i/>
          <w:color w:val="555B66"/>
          <w:sz w:val="21"/>
        </w:rPr>
        <w:t>How each department engages with this document. R = Responsible, A = Accountable, C = Consulted, I = Informed. Leave blank if not engaged.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6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Specific Touchpoint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</w:tbl>
    <w:p>
      <w:pPr>
        <w:pStyle w:val="Heading1"/>
      </w:pPr>
      <w:r>
        <w:t>D.  Compliance &amp; Traceability</w:t>
      </w:r>
    </w:p>
    <w:p>
      <w:r>
        <w:rPr>
          <w:i/>
          <w:color w:val="555B66"/>
          <w:sz w:val="21"/>
        </w:rPr>
        <w:t>Regulatory and methodological frames that govern this artifact. Cite specific clauses where they apply.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Frame</w:t>
            </w:r>
          </w:p>
        </w:tc>
        <w:tc>
          <w:tcPr>
            <w:tcW w:type="dxa" w:w="33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Applies To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FDA 21 CFR Part 11 §11.10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HIPAA Security Rule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ISO 13485 §4.2.4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PMBOK 7th Ed.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</w:tbl>
    <w:p>
      <w:pPr>
        <w:pStyle w:val="Heading1"/>
      </w:pPr>
      <w:r>
        <w:t>1.  Purpose</w:t>
      </w:r>
    </w:p>
    <w:p>
      <w:r>
        <w:rPr>
          <w:i w:val="0"/>
          <w:sz w:val="21"/>
        </w:rPr>
        <w:t>To define the controlled lifecycle of Theragen documents — from initial draft through baseline, periodic review, and retirement — so that every record meets regulatory expectations for integrity, traceability, and access control.</w:t>
      </w:r>
    </w:p>
    <w:p>
      <w:pPr>
        <w:pStyle w:val="Heading1"/>
      </w:pPr>
      <w:r>
        <w:t>2.  Scope</w:t>
      </w:r>
    </w:p>
    <w:p>
      <w:pPr>
        <w:pStyle w:val="Heading2"/>
      </w:pPr>
      <w:r>
        <w:t>In scope</w:t>
      </w:r>
    </w:p>
    <w:p>
      <w:pPr>
        <w:pStyle w:val="ListBullet"/>
      </w:pPr>
      <w:r>
        <w:rPr>
          <w:sz w:val="21"/>
        </w:rPr>
        <w:t>All artifacts produced under the Documentation Standards Guide (THG-ENT-STD-001).</w:t>
      </w:r>
    </w:p>
    <w:p>
      <w:pPr>
        <w:pStyle w:val="ListBullet"/>
      </w:pPr>
      <w:r>
        <w:rPr>
          <w:sz w:val="21"/>
        </w:rPr>
        <w:t>Templates published by the PMO and adopted by any department.</w:t>
      </w:r>
    </w:p>
    <w:p>
      <w:pPr>
        <w:pStyle w:val="ListBullet"/>
      </w:pPr>
      <w:r>
        <w:rPr>
          <w:sz w:val="21"/>
        </w:rPr>
        <w:t>Records that support 21 CFR Part 11 or ISO 13485 controlled activities.</w:t>
      </w:r>
    </w:p>
    <w:p>
      <w:pPr>
        <w:pStyle w:val="Heading2"/>
      </w:pPr>
      <w:r>
        <w:t>Out of scope</w:t>
      </w:r>
    </w:p>
    <w:p>
      <w:pPr>
        <w:pStyle w:val="ListBullet"/>
      </w:pPr>
      <w:r>
        <w:rPr>
          <w:sz w:val="21"/>
        </w:rPr>
        <w:t>Day-to-day working notes that are not declared records.</w:t>
      </w:r>
    </w:p>
    <w:p>
      <w:pPr>
        <w:pStyle w:val="ListBullet"/>
      </w:pPr>
      <w:r>
        <w:rPr>
          <w:sz w:val="21"/>
        </w:rPr>
        <w:t>Email correspondence not archived as a record.</w:t>
      </w:r>
    </w:p>
    <w:p>
      <w:pPr>
        <w:pStyle w:val="ListBullet"/>
      </w:pPr>
      <w:r>
        <w:rPr>
          <w:sz w:val="21"/>
        </w:rPr>
        <w:t>Records governed by an existing department QMS SOP (those SOPs prevail in their scope).</w:t>
      </w:r>
    </w:p>
    <w:p>
      <w:pPr>
        <w:pStyle w:val="Heading1"/>
      </w:pPr>
      <w:r>
        <w:t>3.  Definitions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69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Baseline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An approved version of a document. Subsequent changes require a Change Request (SOP-003).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Controlled doc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 document carrying a Document ID, Document Control block, and Revision History.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 Owner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Named individual accountable for content accuracy and the review cycle.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Approver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Named individual with authority to baseline, retire, or accept a revision.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Registrar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role that maintains the Master Document Index and assigns Document IDs.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Retire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Move a document to RETIRED status; retain for audit; remove from active circulation.</w:t>
            </w:r>
          </w:p>
        </w:tc>
      </w:tr>
    </w:tbl>
    <w:p>
      <w:pPr>
        <w:pStyle w:val="Heading1"/>
      </w:pPr>
      <w:r>
        <w:t>4.  Roles &amp; Responsibilities</w:t>
      </w:r>
    </w:p>
    <w:p>
      <w:r>
        <w:rPr>
          <w:i/>
          <w:color w:val="555B66"/>
          <w:sz w:val="21"/>
        </w:rPr>
        <w:t>These role assignments are binding under this SOP. They tighten — never loosen — the enterprise baseline in THG-ENT-RAC-001.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662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Responsibility under this SOP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 Owner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Drafts, maintains, and runs the periodic review of the document.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Reviewer(s)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Provide technical and quality input during review windows.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Approver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Signs the baseline; authorizes retirement.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Registrar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Assigns Document IDs; publishes to Master Index; archives retired docs.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/ Regulatory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Confirms compliance frame mapping; reviews controlled records during audits.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Trainees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Read and attest to SOPs before performing controlled work (see SOP-005).</w:t>
            </w:r>
          </w:p>
        </w:tc>
      </w:tr>
    </w:tbl>
    <w:p>
      <w:pPr>
        <w:pStyle w:val="Heading1"/>
      </w:pPr>
      <w:r>
        <w:t>5.  Procedure</w:t>
      </w:r>
    </w:p>
    <w:p>
      <w:r>
        <w:rPr>
          <w:i/>
          <w:color w:val="555B66"/>
          <w:sz w:val="21"/>
        </w:rPr>
        <w:t>The procedure below is mandatory. Deviations require a documented justification and follow §9 (Deviations &amp; CAPA).</w:t>
      </w:r>
    </w:p>
    <w:p>
      <w:pPr>
        <w:pStyle w:val="Heading2"/>
      </w:pPr>
      <w:r>
        <w:t>5.1  Identify need &amp; assign Document ID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Document Owner</w:t>
      </w:r>
    </w:p>
    <w:p>
      <w:pPr>
        <w:pStyle w:val="ListBullet"/>
      </w:pPr>
      <w:r>
        <w:rPr>
          <w:sz w:val="21"/>
        </w:rPr>
        <w:t>Confirm the artifact does not duplicate an existing controlled document.</w:t>
      </w:r>
    </w:p>
    <w:p>
      <w:pPr>
        <w:pStyle w:val="ListBullet"/>
      </w:pPr>
      <w:r>
        <w:rPr>
          <w:sz w:val="21"/>
        </w:rPr>
        <w:t>Request Document ID from PMO Registrar in the form THG-{DEPT}-{TYPE}-{NNN}.</w:t>
      </w:r>
    </w:p>
    <w:p>
      <w:pPr>
        <w:pStyle w:val="ListBullet"/>
      </w:pPr>
      <w:r>
        <w:rPr>
          <w:sz w:val="21"/>
        </w:rPr>
        <w:t>Open draft as v0.1 (status DRAFT) using the standard template from the Master Index.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Draft saved to PMO SharePoint / Drafts; entry created in Master Index with status DRAFT.</w:t>
      </w:r>
    </w:p>
    <w:p>
      <w:pPr>
        <w:pStyle w:val="Heading2"/>
      </w:pPr>
      <w:r>
        <w:t>5.2  Technical &amp; QA review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Reviewers (cross-functional)</w:t>
      </w:r>
    </w:p>
    <w:p>
      <w:pPr>
        <w:pStyle w:val="ListBullet"/>
      </w:pPr>
      <w:r>
        <w:rPr>
          <w:sz w:val="21"/>
        </w:rPr>
        <w:t>Reviewers complete review within 5 business days of receipt (10 days for major artifacts).</w:t>
      </w:r>
    </w:p>
    <w:p>
      <w:pPr>
        <w:pStyle w:val="ListBullet"/>
      </w:pPr>
      <w:r>
        <w:rPr>
          <w:sz w:val="21"/>
        </w:rPr>
        <w:t>All comments are addressed or formally dispositioned by the Document Owner.</w:t>
      </w:r>
    </w:p>
    <w:p>
      <w:pPr>
        <w:pStyle w:val="ListBullet"/>
      </w:pPr>
      <w:r>
        <w:rPr>
          <w:sz w:val="21"/>
        </w:rPr>
        <w:t>If material changes result, the review is reissued.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Reviewer comments and dispositions logged in the document review log.</w:t>
      </w:r>
    </w:p>
    <w:p>
      <w:pPr>
        <w:pStyle w:val="Heading2"/>
      </w:pPr>
      <w:r>
        <w:t>5.3  Approve &amp; baseline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Approver</w:t>
      </w:r>
    </w:p>
    <w:p>
      <w:pPr>
        <w:pStyle w:val="ListBullet"/>
      </w:pPr>
      <w:r>
        <w:rPr>
          <w:sz w:val="21"/>
        </w:rPr>
        <w:t>Approver verifies the document meets the Standards Guide and applicable compliance frame.</w:t>
      </w:r>
    </w:p>
    <w:p>
      <w:pPr>
        <w:pStyle w:val="ListBullet"/>
      </w:pPr>
      <w:r>
        <w:rPr>
          <w:sz w:val="21"/>
        </w:rPr>
        <w:t>On approval, Document Owner increments to v1.0 and changes status to BASELINE.</w:t>
      </w:r>
    </w:p>
    <w:p>
      <w:pPr>
        <w:pStyle w:val="ListBullet"/>
      </w:pPr>
      <w:r>
        <w:rPr>
          <w:sz w:val="21"/>
        </w:rPr>
        <w:t>Approver signature is recorded under 21 CFR Part 11 §11.50 with signature meaning 'Approval'.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Approval signature in the document Z-2 block and in the eQMS or SharePoint approval log.</w:t>
      </w:r>
    </w:p>
    <w:p>
      <w:pPr>
        <w:pStyle w:val="Heading2"/>
      </w:pPr>
      <w:r>
        <w:t>5.4  Publish &amp; index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PMO Registrar</w:t>
      </w:r>
    </w:p>
    <w:p>
      <w:pPr>
        <w:pStyle w:val="ListBullet"/>
      </w:pPr>
      <w:r>
        <w:rPr>
          <w:sz w:val="21"/>
        </w:rPr>
        <w:t>Move approved document to the PMO Library (read-only) and update the Master Index.</w:t>
      </w:r>
    </w:p>
    <w:p>
      <w:pPr>
        <w:pStyle w:val="ListBullet"/>
      </w:pPr>
      <w:r>
        <w:rPr>
          <w:sz w:val="21"/>
        </w:rPr>
        <w:t>Notify the audience listed in the document's Communications block (or department-wide).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Master Index updated; notification archived in PMO records.</w:t>
      </w:r>
    </w:p>
    <w:p>
      <w:pPr>
        <w:pStyle w:val="Heading2"/>
      </w:pPr>
      <w:r>
        <w:t>5.5  Periodic review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Document Owner</w:t>
      </w:r>
    </w:p>
    <w:p>
      <w:pPr>
        <w:pStyle w:val="ListBullet"/>
      </w:pPr>
      <w:r>
        <w:rPr>
          <w:sz w:val="21"/>
        </w:rPr>
        <w:t>Each Baselined document is reviewed at the cadence stated in Block A (default annual).</w:t>
      </w:r>
    </w:p>
    <w:p>
      <w:pPr>
        <w:pStyle w:val="ListBullet"/>
      </w:pPr>
      <w:r>
        <w:rPr>
          <w:sz w:val="21"/>
        </w:rPr>
        <w:t>Owner confirms continued accuracy or initiates a revision via Change Control (SOP-003).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Review attestation recorded in the document Z-3 (Revision History) row 'Periodic review — no change' or new revision.</w:t>
      </w:r>
    </w:p>
    <w:p>
      <w:pPr>
        <w:pStyle w:val="Heading2"/>
      </w:pPr>
      <w:r>
        <w:t>5.6  Retire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Approver + PMO Registrar</w:t>
      </w:r>
    </w:p>
    <w:p>
      <w:pPr>
        <w:pStyle w:val="ListBullet"/>
      </w:pPr>
      <w:r>
        <w:rPr>
          <w:sz w:val="21"/>
        </w:rPr>
        <w:t>When a document is superseded or no longer applicable, Approver authorizes retirement.</w:t>
      </w:r>
    </w:p>
    <w:p>
      <w:pPr>
        <w:pStyle w:val="ListBullet"/>
      </w:pPr>
      <w:r>
        <w:rPr>
          <w:sz w:val="21"/>
        </w:rPr>
        <w:t>Registrar marks the document RETIRED, removes from active circulation, and retains in archive.</w:t>
      </w:r>
    </w:p>
    <w:p>
      <w:pPr>
        <w:pStyle w:val="ListBullet"/>
      </w:pPr>
      <w:r>
        <w:rPr>
          <w:sz w:val="21"/>
        </w:rPr>
        <w:t>Master Index entry updated to RETIRED with effective date and successor (if any).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RETIRED stamp on the document; Master Index reflects retirement and successor reference.</w:t>
      </w:r>
    </w:p>
    <w:p>
      <w:pPr>
        <w:pStyle w:val="Heading1"/>
      </w:pPr>
      <w:r>
        <w:t>6.  Process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60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01_document_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Figure 1.  Document lifecycle — draft, review, approval, baseline, periodic review, retirement.</w:t>
      </w:r>
    </w:p>
    <w:p>
      <w:pPr>
        <w:pStyle w:val="Heading1"/>
      </w:pPr>
      <w:r>
        <w:t>7.  Decision Authority / Approval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Decision class</w:t>
            </w:r>
          </w:p>
        </w:tc>
        <w:tc>
          <w:tcPr>
            <w:tcW w:type="dxa" w:w="360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Threshold / criteria</w:t>
            </w:r>
          </w:p>
        </w:tc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Approval authority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Records location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Class A — minor (typos, layout)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No change to meaning, controls, or scope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 Owner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 Z-3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Class B — substantive (non-compliance)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Wording or process change without compliance impact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Approver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Z-2 + Z-3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Class C — controlling clauses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Change to controls, scope, or compliance frame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Approver + Quality / Regulatory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eQMS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Retire / supersede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Document obsolete or replaced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Approver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Master Index + archive</w:t>
            </w:r>
          </w:p>
        </w:tc>
      </w:tr>
    </w:tbl>
    <w:p>
      <w:pPr>
        <w:pStyle w:val="Heading1"/>
      </w:pPr>
      <w:r>
        <w:t>8.  KPIs &amp; Monitoring</w:t>
      </w:r>
    </w:p>
    <w:p>
      <w:r>
        <w:rPr>
          <w:i/>
          <w:color w:val="555B66"/>
          <w:sz w:val="21"/>
        </w:rPr>
        <w:t>Process owner reports the following KPIs to the Quality Council on the stated cadence.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Cadence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Documents overdue for periodic review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Master Index report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Monthly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Registrar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Review-cycle adherence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≥95%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Master Index report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Monthly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Average review turnaround time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≤5 business days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Review log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Quarterly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Registrar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RETIRED docs still in circulation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Audit spot-check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Quarterly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</w:t>
            </w:r>
          </w:p>
        </w:tc>
      </w:tr>
    </w:tbl>
    <w:p>
      <w:pPr>
        <w:pStyle w:val="Heading1"/>
      </w:pPr>
      <w:r>
        <w:t>9.  Deviations, Nonconformities &amp; CAPA</w:t>
      </w:r>
    </w:p>
    <w:p>
      <w:r>
        <w:rPr>
          <w:i w:val="0"/>
          <w:sz w:val="21"/>
        </w:rPr>
        <w:t>Any deviation from this procedure shall be documented at the time of occurrence. The Document Owner evaluates each deviation for severity and may open a Corrective and Preventive Action (CAPA) record in the eQMS. Repeat deviations require root-cause analysis and SOP revision.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60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Required action</w:t>
            </w:r>
          </w:p>
        </w:tc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Minor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Isolated, no impact on record integrity or compliance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Log in deviation log; corrective action by next review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 Owner</w:t>
            </w:r>
          </w:p>
        </w:tc>
      </w:tr>
      <w:tr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Major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Impact on record integrity, traceability, or stakeholder trust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Open CAPA; root-cause within 14 days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 Lead</w:t>
            </w:r>
          </w:p>
        </w:tc>
      </w:tr>
      <w:tr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Critical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Impact on regulatory submission, patient safety, or audit findings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Open CAPA immediately; notify Sponsor and Regulatory within 24 hours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/ Regulatory Director</w:t>
            </w:r>
          </w:p>
        </w:tc>
      </w:tr>
    </w:tbl>
    <w:p>
      <w:pPr>
        <w:pStyle w:val="Heading1"/>
      </w:pPr>
      <w:r>
        <w:t>10.  Training Requirements</w:t>
      </w:r>
    </w:p>
    <w:p>
      <w:r>
        <w:rPr>
          <w:i w:val="0"/>
          <w:sz w:val="21"/>
        </w:rPr>
        <w:t>Personnel performing work under this SOP shall complete the training listed below before performing controlled activities, and again whenever a major revision is issued.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Training content</w:t>
            </w:r>
          </w:p>
        </w:tc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Comprehension check</w:t>
            </w:r>
          </w:p>
        </w:tc>
        <w:tc>
          <w:tcPr>
            <w:tcW w:type="dxa" w:w="172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Refresh cadence</w:t>
            </w:r>
          </w:p>
        </w:tc>
        <w:tc>
          <w:tcPr>
            <w:tcW w:type="dxa" w:w="172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 Owners, Approvers, PMO Registrar, Reviewers performing controlled reviews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Read this SOP; review the linked Standards Guide block where referenced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Short comprehension quiz (≥80% pass)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Annual or upon major revision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HR / Compliance training records</w:t>
            </w:r>
          </w:p>
        </w:tc>
      </w:tr>
    </w:tbl>
    <w:p>
      <w:pPr>
        <w:pStyle w:val="Heading1"/>
      </w:pPr>
      <w:r>
        <w:t>11.  References &amp; Related Documents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Reference</w:t>
            </w:r>
          </w:p>
        </w:tc>
        <w:tc>
          <w:tcPr>
            <w:tcW w:type="dxa" w:w="54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Relationship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THG-ENT-STD-001 — Documentation Standards Guide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Defines document anatomy referenced throughout.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THG-ENT-IDX-001 — Master Document Index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System of record for active and retired documents.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THG-ENT-RAC-001 — Cross-Department RACI Matrix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Enterprise role baseline.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SOP-003 — Change Control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Governs revisions to baselined documents.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SOP-004 — Records Management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Governs retention and disposition.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SOP-005 — Training &amp; Competency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Governs training attestation for this SOP.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ISO 13485 §4.2.4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External standard for document control.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21 CFR Part 11 §11.10(k), §11.50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External regulation for electronic records &amp; signatures.</w:t>
            </w:r>
          </w:p>
        </w:tc>
      </w:tr>
    </w:tbl>
    <w:p>
      <w:pPr>
        <w:pStyle w:val="Heading1"/>
      </w:pPr>
      <w:r>
        <w:t>12.  Records &amp; Retention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Record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System of record</w:t>
            </w:r>
          </w:p>
        </w:tc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Retention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Disposition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Approved baselined documents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Library / eQMS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Life of asset + 7 yrs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Archive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Review logs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SharePoint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7 years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Archive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Approval signatures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eQMS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Per ISO 13485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Archive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Retired documents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Archive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7 years post-retire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Archive then destroy per disposition</w:t>
            </w:r>
          </w:p>
        </w:tc>
      </w:tr>
    </w:tbl>
    <w:p>
      <w:pPr>
        <w:pStyle w:val="Heading1"/>
      </w:pPr>
      <w:r>
        <w:t>Z-1.  Handoffs &amp; Downstream Artifacts</w:t>
      </w:r>
    </w:p>
    <w:p>
      <w:r>
        <w:rPr>
          <w:i/>
          <w:color w:val="555B66"/>
          <w:sz w:val="21"/>
        </w:rPr>
        <w:t>Predecessors and successors in the integrated document lifecycle.</w:t>
      </w:r>
    </w:p>
    <w:p>
      <w:pPr>
        <w:pStyle w:val="Heading2"/>
      </w:pPr>
      <w:r>
        <w:t>Receives input from</w:t>
      </w:r>
    </w:p>
    <w:p>
      <w:pPr>
        <w:pStyle w:val="ListBullet"/>
      </w:pPr>
      <w:r>
        <w:rPr>
          <w:sz w:val="21"/>
        </w:rPr>
        <w:t>THG-ENT-STD-001 — Documentation Standards Guide</w:t>
      </w:r>
    </w:p>
    <w:p>
      <w:pPr>
        <w:pStyle w:val="Heading2"/>
      </w:pPr>
      <w:r>
        <w:t>Feeds into</w:t>
      </w:r>
    </w:p>
    <w:p>
      <w:pPr>
        <w:pStyle w:val="ListBullet"/>
      </w:pPr>
      <w:r>
        <w:rPr>
          <w:sz w:val="21"/>
        </w:rPr>
        <w:t>All controlled artifacts produced under the Standards Guide.</w:t>
      </w:r>
    </w:p>
    <w:p>
      <w:pPr>
        <w:pStyle w:val="ListBullet"/>
      </w:pPr>
      <w:r>
        <w:rPr>
          <w:sz w:val="21"/>
        </w:rPr>
        <w:t>SOP-003 Change Control; SOP-004 Records Management; SOP-005 Training.</w:t>
      </w:r>
    </w:p>
    <w:p>
      <w:pPr>
        <w:pStyle w:val="Heading1"/>
      </w:pPr>
      <w:r>
        <w:t>Z-2.  Approval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Chief Operating Officer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 / Regulatory Director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Director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Z-3. 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58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Summary of Change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Initial draft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Approved baseline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 xml:space="preserve">Confidential – Theragen Internal  ·  Controlled Document  ·  Page </w:t>
    </w:r>
    <w:fldSimple w:instr="PAGE">
      <w:r>
        <w:t>1</w:t>
      </w:r>
    </w:fldSimple>
    <w:r>
      <w:rPr>
        <w:color w:val="555B66"/>
        <w:sz w:val="16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/>
          <w:r>
            <w:rPr>
              <w:b/>
              <w:color w:val="0F2A4A"/>
              <w:sz w:val="22"/>
            </w:rPr>
            <w:t>THERAGEN</w:t>
          </w:r>
          <w:r>
            <w:rPr>
              <w:sz w:val="18"/>
            </w:rPr>
            <w:t xml:space="preserve">   |   REGULATORY / QUALITY  ·  CONTROLLED PROCEDURE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color w:val="555B66"/>
              <w:sz w:val="18"/>
            </w:rPr>
            <w:t>Integrated Documentation System 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