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7A8B"/>
          <w:sz w:val="18"/>
        </w:rPr>
        <w:t>THG-ENT-SOP-002  ·  Intake  ·  Triage  ·  Routing</w:t>
      </w:r>
    </w:p>
    <w:p>
      <w:r>
        <w:rPr>
          <w:b/>
          <w:color w:val="0F2A4A"/>
          <w:sz w:val="44"/>
        </w:rPr>
        <w:t>Standard Operating Procedure — Integrated Intake &amp; Triage</w:t>
      </w:r>
    </w:p>
    <w:p>
      <w:r>
        <w:rPr>
          <w:i/>
          <w:color w:val="555B66"/>
          <w:sz w:val="21"/>
        </w:rPr>
        <w:t>Defines how cross-departmental work requests are submitted, triaged, compliance-screened, decided, and routed into project execution.</w:t>
      </w:r>
    </w:p>
    <w:p>
      <w:pPr>
        <w:spacing w:before="40" w:after="160"/>
        <w:pBdr>
          <w:bottom w:val="single" w:sz="12" w:color="127A8B"/>
        </w:pBdr>
      </w:pPr>
    </w:p>
    <w:p>
      <w:pPr>
        <w:pStyle w:val="Heading1"/>
      </w:pPr>
      <w:r>
        <w:t>A.  Document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THG-ENT-SOP-002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Version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Status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Effective Date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YYYY-MM-DD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Owner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PMO Director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Approver / Signatory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Chief Operating Officer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Review Cycle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Classification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Confidential – Internal</w:t>
            </w:r>
          </w:p>
        </w:tc>
      </w:tr>
    </w:tbl>
    <w:p>
      <w:pPr>
        <w:pStyle w:val="Heading1"/>
      </w:pPr>
      <w:r>
        <w:t>B.  Intake Linkage</w:t>
      </w:r>
    </w:p>
    <w:p>
      <w:r>
        <w:rPr>
          <w:i/>
          <w:color w:val="555B66"/>
          <w:sz w:val="21"/>
        </w:rPr>
        <w:t>Links this document to the originating cross-departmental request. Maintains traceability from intake to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Intake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«auto-assigned at intake»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Originating Request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«linked Intake Form ID»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Triggering Department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Operations / PMO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Lifecycle Phase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N/A — Governance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Linked Charter / Workstream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«Project / Program / Workstream reference»</w:t>
            </w:r>
          </w:p>
        </w:tc>
      </w:tr>
    </w:tbl>
    <w:p>
      <w:pPr>
        <w:pStyle w:val="Heading1"/>
      </w:pPr>
      <w:r>
        <w:t>C.  Cross-Functional RACI Footprint</w:t>
      </w:r>
    </w:p>
    <w:p>
      <w:r>
        <w:rPr>
          <w:i/>
          <w:color w:val="555B66"/>
          <w:sz w:val="21"/>
        </w:rPr>
        <w:t>How each department engages with this document. R = Responsible, A = Accountable, C = Consulted, I = Informed. Leave blank if not engaged.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6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Specific Touchpoint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Clinical / Medical Affairs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Regulatory / Quality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R&amp;D / Engineering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Operations / PMO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Finance / Procurement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Commercial / Marketing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 / Data / Security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People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</w:tbl>
    <w:p>
      <w:pPr>
        <w:pStyle w:val="Heading1"/>
      </w:pPr>
      <w:r>
        <w:t>D.  Compliance &amp; Traceability</w:t>
      </w:r>
    </w:p>
    <w:p>
      <w:r>
        <w:rPr>
          <w:i/>
          <w:color w:val="555B66"/>
          <w:sz w:val="21"/>
        </w:rPr>
        <w:t>Regulatory and methodological frames that govern this artifact. Cite specific clauses where they apply.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Frame</w:t>
            </w:r>
          </w:p>
        </w:tc>
        <w:tc>
          <w:tcPr>
            <w:tcW w:type="dxa" w:w="33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Applies To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FDA 21 CFR Part 11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HIPAA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PMBOK 7th Ed.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</w:tbl>
    <w:p>
      <w:pPr>
        <w:pStyle w:val="Heading1"/>
      </w:pPr>
      <w:r>
        <w:t>1.  Purpose</w:t>
      </w:r>
    </w:p>
    <w:p>
      <w:r>
        <w:rPr>
          <w:i w:val="0"/>
          <w:sz w:val="21"/>
        </w:rPr>
        <w:t>To ensure every work request that crosses department boundaries is captured, screened for compliance impact, decided by the appropriate authority, and routed into the right execution path — with full traceability via an Intake ID.</w:t>
      </w:r>
    </w:p>
    <w:p>
      <w:pPr>
        <w:pStyle w:val="Heading1"/>
      </w:pPr>
      <w:r>
        <w:t>2.  Scope</w:t>
      </w:r>
    </w:p>
    <w:p>
      <w:pPr>
        <w:pStyle w:val="Heading2"/>
      </w:pPr>
      <w:r>
        <w:t>In scope</w:t>
      </w:r>
    </w:p>
    <w:p>
      <w:pPr>
        <w:pStyle w:val="ListBullet"/>
      </w:pPr>
      <w:r>
        <w:rPr>
          <w:sz w:val="21"/>
        </w:rPr>
        <w:t>All requests submitted via the Integrated Intake Form (THG-ENT-INT-001).</w:t>
      </w:r>
    </w:p>
    <w:p>
      <w:pPr>
        <w:pStyle w:val="ListBullet"/>
      </w:pPr>
      <w:r>
        <w:rPr>
          <w:sz w:val="21"/>
        </w:rPr>
        <w:t>Requests initiated by any department or by external partners on behalf of a sponsor.</w:t>
      </w:r>
    </w:p>
    <w:p>
      <w:pPr>
        <w:pStyle w:val="ListBullet"/>
      </w:pPr>
      <w:r>
        <w:rPr>
          <w:sz w:val="21"/>
        </w:rPr>
        <w:t>Requests that may produce a project, work order, system change, or vendor onboarding.</w:t>
      </w:r>
    </w:p>
    <w:p>
      <w:pPr>
        <w:pStyle w:val="Heading2"/>
      </w:pPr>
      <w:r>
        <w:t>Out of scope</w:t>
      </w:r>
    </w:p>
    <w:p>
      <w:pPr>
        <w:pStyle w:val="ListBullet"/>
      </w:pPr>
      <w:r>
        <w:rPr>
          <w:sz w:val="21"/>
        </w:rPr>
        <w:t>Routine, single-department operational tasks that do not cross boundaries.</w:t>
      </w:r>
    </w:p>
    <w:p>
      <w:pPr>
        <w:pStyle w:val="ListBullet"/>
      </w:pPr>
      <w:r>
        <w:rPr>
          <w:sz w:val="21"/>
        </w:rPr>
        <w:t>Emergency clinical decisions governed by clinical safety SOPs.</w:t>
      </w:r>
    </w:p>
    <w:p>
      <w:pPr>
        <w:pStyle w:val="ListBullet"/>
      </w:pPr>
      <w:r>
        <w:rPr>
          <w:sz w:val="21"/>
        </w:rPr>
        <w:t>Pre-existing portfolio commitments already under a baselined charter.</w:t>
      </w:r>
    </w:p>
    <w:p>
      <w:pPr>
        <w:pStyle w:val="Heading1"/>
      </w:pPr>
      <w:r>
        <w:t>3.  Definitions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69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Intake ID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Unique identifier INT-YYYY-NNNN assigned at triage; propagates into every downstream artifact.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Triage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activity of categorizing, screening, routing, and assigning a request.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Compliance pre-screen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Targeted review by Regulatory and IT to flag PHI, 21 CFR Part 11, or GxP impact.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Routing decision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One of: Approved → Charter, Approved → Work Order, Returned for clarification, Declined.</w:t>
            </w:r>
          </w:p>
        </w:tc>
      </w:tr>
    </w:tbl>
    <w:p>
      <w:pPr>
        <w:pStyle w:val="Heading1"/>
      </w:pPr>
      <w:r>
        <w:t>4.  Roles &amp; Responsibilities</w:t>
      </w:r>
    </w:p>
    <w:p>
      <w:r>
        <w:rPr>
          <w:i/>
          <w:color w:val="555B66"/>
          <w:sz w:val="21"/>
        </w:rPr>
        <w:t>These role assignments are binding under this SOP. They tighten — never loosen — the enterprise baseline in THG-ENT-RAC-001.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662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Responsibility under this SOP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Requester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Completes the Integrated Intake Form with required fields and attachments.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Triage Reviewer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Logs the request, performs initial categorization, and coordinates compliance pre-screen.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Compliance Reviewers (REG / IT)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Complete the compliance pre-screen within SLA.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Director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Issues the routing decision.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Owning Department Lead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Accepts the work and initiates the appropriate execution artifact.</w:t>
            </w:r>
          </w:p>
        </w:tc>
      </w:tr>
    </w:tbl>
    <w:p>
      <w:pPr>
        <w:pStyle w:val="Heading1"/>
      </w:pPr>
      <w:r>
        <w:t>5.  Procedure</w:t>
      </w:r>
    </w:p>
    <w:p>
      <w:r>
        <w:rPr>
          <w:i/>
          <w:color w:val="555B66"/>
          <w:sz w:val="21"/>
        </w:rPr>
        <w:t>The procedure below is mandatory. Deviations require a documented justification and follow §9 (Deviations &amp; CAPA).</w:t>
      </w:r>
    </w:p>
    <w:p>
      <w:pPr>
        <w:pStyle w:val="Heading2"/>
      </w:pPr>
      <w:r>
        <w:t>5.1  Submission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Requester</w:t>
      </w:r>
    </w:p>
    <w:p>
      <w:pPr>
        <w:pStyle w:val="ListBullet"/>
      </w:pPr>
      <w:r>
        <w:rPr>
          <w:sz w:val="21"/>
        </w:rPr>
        <w:t>Complete every required field of the Integrated Intake Form.</w:t>
      </w:r>
    </w:p>
    <w:p>
      <w:pPr>
        <w:pStyle w:val="ListBullet"/>
      </w:pPr>
      <w:r>
        <w:rPr>
          <w:sz w:val="21"/>
        </w:rPr>
        <w:t>Attach supporting materials; do not include patient names or other PHI in the form itself.</w:t>
      </w:r>
    </w:p>
    <w:p>
      <w:pPr>
        <w:pStyle w:val="ListBullet"/>
      </w:pPr>
      <w:r>
        <w:rPr>
          <w:sz w:val="21"/>
        </w:rPr>
        <w:t>Submit by saving the form in PMO SharePoint → Intake → New Submissions.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Form filed in Intake → New Submissions; auto-notification to PMO Triage.</w:t>
      </w:r>
    </w:p>
    <w:p>
      <w:pPr>
        <w:pStyle w:val="Heading2"/>
      </w:pPr>
      <w:r>
        <w:t>5.2  Log in Intake Register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PMO Triage Reviewer</w:t>
      </w:r>
    </w:p>
    <w:p>
      <w:pPr>
        <w:pStyle w:val="ListBullet"/>
      </w:pPr>
      <w:r>
        <w:rPr>
          <w:sz w:val="21"/>
        </w:rPr>
        <w:t>Acknowledge receipt within 1 business day.</w:t>
      </w:r>
    </w:p>
    <w:p>
      <w:pPr>
        <w:pStyle w:val="ListBullet"/>
      </w:pPr>
      <w:r>
        <w:rPr>
          <w:sz w:val="21"/>
        </w:rPr>
        <w:t>Create an entry in the Intake Log with status SUBMITTED.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Intake Log entry (THG-ENT-INT-LOG.xlsx) row created.</w:t>
      </w:r>
    </w:p>
    <w:p>
      <w:pPr>
        <w:pStyle w:val="Heading2"/>
      </w:pPr>
      <w:r>
        <w:t>5.3  Categorize &amp; route to compliance pre-screen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PMO Triage Reviewer</w:t>
      </w:r>
    </w:p>
    <w:p>
      <w:pPr>
        <w:pStyle w:val="ListBullet"/>
      </w:pPr>
      <w:r>
        <w:rPr>
          <w:sz w:val="21"/>
        </w:rPr>
        <w:t>Categorize as project, study, work request, system change, or vendor onboarding.</w:t>
      </w:r>
    </w:p>
    <w:p>
      <w:pPr>
        <w:pStyle w:val="ListBullet"/>
      </w:pPr>
      <w:r>
        <w:rPr>
          <w:sz w:val="21"/>
        </w:rPr>
        <w:t>Send to Regulatory and IT for compliance pre-screen if any of these are flagged: PHI, 21 CFR Part 11, GxP, system change, vendor data sharing.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Categorization recorded in Intake Log; compliance pre-screen request sent.</w:t>
      </w:r>
    </w:p>
    <w:p>
      <w:pPr>
        <w:pStyle w:val="Heading2"/>
      </w:pPr>
      <w:r>
        <w:t>5.4  Compliance pre-screen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Regulatory + IT Reviewers</w:t>
      </w:r>
    </w:p>
    <w:p>
      <w:pPr>
        <w:pStyle w:val="ListBullet"/>
      </w:pPr>
      <w:r>
        <w:rPr>
          <w:sz w:val="21"/>
        </w:rPr>
        <w:t>Complete within 2 business days for standard requests; 1 business day for clinical-flagged.</w:t>
      </w:r>
    </w:p>
    <w:p>
      <w:pPr>
        <w:pStyle w:val="ListBullet"/>
      </w:pPr>
      <w:r>
        <w:rPr>
          <w:sz w:val="21"/>
        </w:rPr>
        <w:t>Document any blocking conditions or required mitigations.</w:t>
      </w:r>
    </w:p>
    <w:p>
      <w:pPr>
        <w:pStyle w:val="ListBullet"/>
      </w:pPr>
      <w:r>
        <w:rPr>
          <w:sz w:val="21"/>
        </w:rPr>
        <w:t>Return a 'Cleared' or 'Block' decision with rationale.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Pre-screen attestation logged in the Intake Log compliance-flag column.</w:t>
      </w:r>
    </w:p>
    <w:p>
      <w:pPr>
        <w:pStyle w:val="Heading2"/>
      </w:pPr>
      <w:r>
        <w:t>5.5  Routing decision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PMO Director</w:t>
      </w:r>
    </w:p>
    <w:p>
      <w:pPr>
        <w:pStyle w:val="ListBullet"/>
      </w:pPr>
      <w:r>
        <w:rPr>
          <w:sz w:val="21"/>
        </w:rPr>
        <w:t>Review the categorized request and compliance findings.</w:t>
      </w:r>
    </w:p>
    <w:p>
      <w:pPr>
        <w:pStyle w:val="ListBullet"/>
      </w:pPr>
      <w:r>
        <w:rPr>
          <w:sz w:val="21"/>
        </w:rPr>
        <w:t>Issue one of: Approved → Charter, Approved → Work Order, Returned for clarification, Declined (with reason).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Decision and rationale recorded in the Intake Log.</w:t>
      </w:r>
    </w:p>
    <w:p>
      <w:pPr>
        <w:pStyle w:val="Heading2"/>
      </w:pPr>
      <w:r>
        <w:t>5.6  Assign Intake ID &amp; primary owner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PMO Triage Reviewer</w:t>
      </w:r>
    </w:p>
    <w:p>
      <w:pPr>
        <w:pStyle w:val="ListBullet"/>
      </w:pPr>
      <w:r>
        <w:rPr>
          <w:sz w:val="21"/>
        </w:rPr>
        <w:t>Generate Intake ID in the form INT-YYYY-NNNN.</w:t>
      </w:r>
    </w:p>
    <w:p>
      <w:pPr>
        <w:pStyle w:val="ListBullet"/>
      </w:pPr>
      <w:r>
        <w:rPr>
          <w:sz w:val="21"/>
        </w:rPr>
        <w:t>Assign primary department; notify the owning Department Lead.</w:t>
      </w:r>
    </w:p>
    <w:p>
      <w:pPr>
        <w:pStyle w:val="ListBullet"/>
      </w:pPr>
      <w:r>
        <w:rPr>
          <w:sz w:val="21"/>
        </w:rPr>
        <w:t>On approval, request that the Department Lead acknowledge within 3 business days.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Intake ID issued; ownership acknowledged by the Department Lead.</w:t>
      </w:r>
    </w:p>
    <w:p>
      <w:pPr>
        <w:pStyle w:val="Heading2"/>
      </w:pPr>
      <w:r>
        <w:t>5.7  Handoff to execution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Owning Department Lead</w:t>
      </w:r>
    </w:p>
    <w:p>
      <w:pPr>
        <w:pStyle w:val="ListBullet"/>
      </w:pPr>
      <w:r>
        <w:rPr>
          <w:sz w:val="21"/>
        </w:rPr>
        <w:t>For Charter: initiate Project Charter (THG-OPS-CHR-NNN) within 10 business days.</w:t>
      </w:r>
    </w:p>
    <w:p>
      <w:pPr>
        <w:pStyle w:val="ListBullet"/>
      </w:pPr>
      <w:r>
        <w:rPr>
          <w:sz w:val="21"/>
        </w:rPr>
        <w:t>For Work Order: open a tracked work item; reference the Intake ID.</w:t>
      </w:r>
    </w:p>
    <w:p>
      <w:pPr>
        <w:pStyle w:val="ListBullet"/>
      </w:pPr>
      <w:r>
        <w:rPr>
          <w:sz w:val="21"/>
        </w:rPr>
        <w:t>Inherit the Intake ID into every downstream artifact (Block B of the document anatomy).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Charter or Work Order created; Intake Log status updated to IN FLIGHT.</w:t>
      </w:r>
    </w:p>
    <w:p>
      <w:pPr>
        <w:pStyle w:val="Heading1"/>
      </w:pPr>
      <w:r>
        <w:t>6.  Process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33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002_intake_tri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Figure 1.  Intake to assignment — submission, log, compliance pre-screen, decision, and routing.</w:t>
      </w:r>
    </w:p>
    <w:p>
      <w:pPr>
        <w:pStyle w:val="Heading1"/>
      </w:pPr>
      <w:r>
        <w:t>7.  Decision Authority / Approval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Decision class</w:t>
            </w:r>
          </w:p>
        </w:tc>
        <w:tc>
          <w:tcPr>
            <w:tcW w:type="dxa" w:w="360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Threshold / criteria</w:t>
            </w:r>
          </w:p>
        </w:tc>
        <w:tc>
          <w:tcPr>
            <w:tcW w:type="dxa" w:w="230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Approval authority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Records location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Approved → Charter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Effort ≥ medium or budget ≥ $250k or compliance flagged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Director (+ Sponsor if budget &gt; $1M)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Intake Log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Approved → Work Order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Effort small, no compliance flag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Director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Intake Log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Returned for clarification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Missing fields / unclear scope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Triage Reviewer (delegated)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Intake Log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Declined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Out of scope / not feasible / duplicate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Director (+ COO if strategic ask)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Intake Log</w:t>
            </w:r>
          </w:p>
        </w:tc>
      </w:tr>
    </w:tbl>
    <w:p>
      <w:pPr>
        <w:pStyle w:val="Heading1"/>
      </w:pPr>
      <w:r>
        <w:t>8.  KPIs &amp; Monitoring</w:t>
      </w:r>
    </w:p>
    <w:p>
      <w:r>
        <w:rPr>
          <w:i/>
          <w:color w:val="555B66"/>
          <w:sz w:val="21"/>
        </w:rPr>
        <w:t>Process owner reports the following KPIs to the Quality Council on the stated cadence.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Cadence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Triage SLA — initial acknowledgement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≤1 business day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Intake Log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Weekly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Director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Compliance pre-screen SLA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≤2 business days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Intake Log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Weekly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Routing decision SLA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≤5 business days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Intake Log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Weekly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Director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Returned submissions rate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&lt;20%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Intake Log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Monthly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Director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Declined with documented reason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Audit spot-check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Quarterly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</w:t>
            </w:r>
          </w:p>
        </w:tc>
      </w:tr>
    </w:tbl>
    <w:p>
      <w:pPr>
        <w:pStyle w:val="Heading1"/>
      </w:pPr>
      <w:r>
        <w:t>9.  Deviations, Nonconformities &amp; CAPA</w:t>
      </w:r>
    </w:p>
    <w:p>
      <w:r>
        <w:rPr>
          <w:i w:val="0"/>
          <w:sz w:val="21"/>
        </w:rPr>
        <w:t>Any deviation from this procedure shall be documented at the time of occurrence. The Document Owner evaluates each deviation for severity and may open a Corrective and Preventive Action (CAPA) record in the eQMS. Repeat deviations require root-cause analysis and SOP revision.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60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Required action</w:t>
            </w:r>
          </w:p>
        </w:tc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Minor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Isolated, no impact on record integrity or compliance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Log in deviation log; corrective action by next review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Document Owner</w:t>
            </w:r>
          </w:p>
        </w:tc>
      </w:tr>
      <w:tr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Major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Impact on record integrity, traceability, or stakeholder trust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Open CAPA; root-cause within 14 days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 Lead</w:t>
            </w:r>
          </w:p>
        </w:tc>
      </w:tr>
      <w:tr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Critical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Impact on regulatory submission, patient safety, or audit findings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Open CAPA immediately; notify Sponsor and Regulatory within 24 hours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/ Regulatory Director</w:t>
            </w:r>
          </w:p>
        </w:tc>
      </w:tr>
    </w:tbl>
    <w:p>
      <w:pPr>
        <w:pStyle w:val="Heading1"/>
      </w:pPr>
      <w:r>
        <w:t>10.  Training Requirements</w:t>
      </w:r>
    </w:p>
    <w:p>
      <w:r>
        <w:rPr>
          <w:i w:val="0"/>
          <w:sz w:val="21"/>
        </w:rPr>
        <w:t>Personnel performing work under this SOP shall complete the training listed below before performing controlled activities, and again whenever a major revision is issued.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Training content</w:t>
            </w:r>
          </w:p>
        </w:tc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Comprehension check</w:t>
            </w:r>
          </w:p>
        </w:tc>
        <w:tc>
          <w:tcPr>
            <w:tcW w:type="dxa" w:w="172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Refresh cadence</w:t>
            </w:r>
          </w:p>
        </w:tc>
        <w:tc>
          <w:tcPr>
            <w:tcW w:type="dxa" w:w="172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Triage Reviewers, Compliance Reviewers (REG/IT), Department Leads receiving work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Read this SOP; review the linked Standards Guide block where referenced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Short comprehension quiz (≥80% pass)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Annual or upon major revision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HR / Compliance training records</w:t>
            </w:r>
          </w:p>
        </w:tc>
      </w:tr>
    </w:tbl>
    <w:p>
      <w:pPr>
        <w:pStyle w:val="Heading1"/>
      </w:pPr>
      <w:r>
        <w:t>11.  References &amp; Related Documents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Reference</w:t>
            </w:r>
          </w:p>
        </w:tc>
        <w:tc>
          <w:tcPr>
            <w:tcW w:type="dxa" w:w="54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Relationship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THG-ENT-INT-001 — Integrated Intake Form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The form this SOP operates on.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THG-ENT-INT-LOG — Intake Log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Workbook of record for every intake.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THG-ENT-STD-001 — Standards Guide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Document anatomy applied to all triggered artifacts.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SOP-001 — Document Control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Governs the artifacts produced from intake.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SOP-003 — Change Control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Governs changes to scope after approval.</w:t>
            </w:r>
          </w:p>
        </w:tc>
      </w:tr>
    </w:tbl>
    <w:p>
      <w:pPr>
        <w:pStyle w:val="Heading1"/>
      </w:pPr>
      <w:r>
        <w:t>12.  Records &amp; Retention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Record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System of record</w:t>
            </w:r>
          </w:p>
        </w:tc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Retention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Disposition</w:t>
            </w:r>
          </w:p>
        </w:tc>
      </w:tr>
      <w:tr>
        <w:tc>
          <w:tcPr>
            <w:tcW w:type="dxa" w:w="30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Intake submissions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SharePoint / Intake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7 years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Archive</w:t>
            </w:r>
          </w:p>
        </w:tc>
      </w:tr>
      <w:tr>
        <w:tc>
          <w:tcPr>
            <w:tcW w:type="dxa" w:w="30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Intake Log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SharePoint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Life of organization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Active master record</w:t>
            </w:r>
          </w:p>
        </w:tc>
      </w:tr>
      <w:tr>
        <w:tc>
          <w:tcPr>
            <w:tcW w:type="dxa" w:w="30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Compliance pre-screen attestations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Intake Log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7 years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Archive</w:t>
            </w:r>
          </w:p>
        </w:tc>
      </w:tr>
      <w:tr>
        <w:tc>
          <w:tcPr>
            <w:tcW w:type="dxa" w:w="30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Routing decisions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Intake Log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7 years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Archive</w:t>
            </w:r>
          </w:p>
        </w:tc>
      </w:tr>
    </w:tbl>
    <w:p>
      <w:pPr>
        <w:pStyle w:val="Heading1"/>
      </w:pPr>
      <w:r>
        <w:t>Z-1.  Handoffs &amp; Downstream Artifacts</w:t>
      </w:r>
    </w:p>
    <w:p>
      <w:r>
        <w:rPr>
          <w:i/>
          <w:color w:val="555B66"/>
          <w:sz w:val="21"/>
        </w:rPr>
        <w:t>Predecessors and successors in the integrated document lifecycle.</w:t>
      </w:r>
    </w:p>
    <w:p>
      <w:pPr>
        <w:pStyle w:val="Heading2"/>
      </w:pPr>
      <w:r>
        <w:t>Receives input from</w:t>
      </w:r>
    </w:p>
    <w:p>
      <w:pPr>
        <w:pStyle w:val="ListBullet"/>
      </w:pPr>
      <w:r>
        <w:rPr>
          <w:sz w:val="21"/>
        </w:rPr>
        <w:t>THG-ENT-STD-001 Standards Guide</w:t>
      </w:r>
    </w:p>
    <w:p>
      <w:pPr>
        <w:pStyle w:val="ListBullet"/>
      </w:pPr>
      <w:r>
        <w:rPr>
          <w:sz w:val="21"/>
        </w:rPr>
        <w:t>Theragen Strategic Plan</w:t>
      </w:r>
    </w:p>
    <w:p>
      <w:pPr>
        <w:pStyle w:val="Heading2"/>
      </w:pPr>
      <w:r>
        <w:t>Feeds into</w:t>
      </w:r>
    </w:p>
    <w:p>
      <w:pPr>
        <w:pStyle w:val="ListBullet"/>
      </w:pPr>
      <w:r>
        <w:rPr>
          <w:sz w:val="21"/>
        </w:rPr>
        <w:t>Project Charter; Work Order; downstream PMBOK artifacts (all carry Intake ID).</w:t>
      </w:r>
    </w:p>
    <w:p>
      <w:pPr>
        <w:pStyle w:val="Heading1"/>
      </w:pPr>
      <w:r>
        <w:t>Z-2.  Approval 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4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Chief Operating Officer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Director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/ Regulatory Director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Z-3.  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58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Summary of Change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Initial draft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Approved baseline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 xml:space="preserve">Confidential – Theragen Internal  ·  Controlled Document  ·  Page </w:t>
    </w:r>
    <w:fldSimple w:instr="PAGE">
      <w:r>
        <w:t>1</w:t>
      </w:r>
    </w:fldSimple>
    <w:r>
      <w:rPr>
        <w:color w:val="555B66"/>
        <w:sz w:val="16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/>
          <w:r>
            <w:rPr>
              <w:b/>
              <w:color w:val="0F2A4A"/>
              <w:sz w:val="22"/>
            </w:rPr>
            <w:t>THERAGEN</w:t>
          </w:r>
          <w:r>
            <w:rPr>
              <w:sz w:val="18"/>
            </w:rPr>
            <w:t xml:space="preserve">   |   OPERATIONS / PMO  ·  CONTROLLED PROCEDURE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color w:val="555B66"/>
              <w:sz w:val="18"/>
            </w:rPr>
            <w:t>Integrated Documentation System 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